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11809" w14:textId="77777777" w:rsidR="00413A96" w:rsidRDefault="00413A96" w:rsidP="00413A96"/>
    <w:p w14:paraId="5CB3D72D" w14:textId="77777777" w:rsidR="00413A96" w:rsidRDefault="00413A96" w:rsidP="00413A96">
      <w:r>
        <w:t>Régimen Legal de Bogotá D.C.  © Propiedad de la Secretaría General de la Alcaldía Mayor de Bogotá D.C.</w:t>
      </w:r>
    </w:p>
    <w:p w14:paraId="7A52C53E" w14:textId="77777777" w:rsidR="00413A96" w:rsidRDefault="00413A96" w:rsidP="00413A96">
      <w:r>
        <w:t>Ley 1753 de 2015 Nivel Nacional</w:t>
      </w:r>
    </w:p>
    <w:p w14:paraId="5465CAF1" w14:textId="77777777" w:rsidR="00413A96" w:rsidRDefault="00413A96" w:rsidP="00413A96"/>
    <w:p w14:paraId="60275D49" w14:textId="77777777" w:rsidR="00413A96" w:rsidRDefault="00413A96" w:rsidP="00413A96">
      <w:r>
        <w:t xml:space="preserve"> </w:t>
      </w:r>
    </w:p>
    <w:p w14:paraId="61329C46" w14:textId="77777777" w:rsidR="00413A96" w:rsidRDefault="00413A96" w:rsidP="00413A96"/>
    <w:p w14:paraId="6DA212B4" w14:textId="77777777" w:rsidR="00413A96" w:rsidRDefault="00413A96" w:rsidP="00413A96">
      <w:r>
        <w:t>Fecha de Expedición:</w:t>
      </w:r>
      <w:r>
        <w:tab/>
        <w:t>09/06/2015</w:t>
      </w:r>
    </w:p>
    <w:p w14:paraId="7DB46518" w14:textId="77777777" w:rsidR="00413A96" w:rsidRDefault="00413A96" w:rsidP="00413A96">
      <w:r>
        <w:t>Fecha de Entrada en Vigencia:</w:t>
      </w:r>
      <w:r>
        <w:tab/>
      </w:r>
      <w:r>
        <w:tab/>
      </w:r>
    </w:p>
    <w:p w14:paraId="0C974488" w14:textId="77777777" w:rsidR="00413A96" w:rsidRDefault="00413A96" w:rsidP="00413A96">
      <w:r>
        <w:t>Medio de Publicación:</w:t>
      </w:r>
    </w:p>
    <w:p w14:paraId="222CBDCB" w14:textId="77777777" w:rsidR="00413A96" w:rsidRDefault="00413A96" w:rsidP="00413A96"/>
    <w:p w14:paraId="2979EAEA" w14:textId="77777777" w:rsidR="00413A96" w:rsidRDefault="00413A96" w:rsidP="00413A96"/>
    <w:p w14:paraId="4535E880" w14:textId="77777777" w:rsidR="00413A96" w:rsidRDefault="00413A96" w:rsidP="00413A96"/>
    <w:p w14:paraId="40255A01" w14:textId="77777777" w:rsidR="00413A96" w:rsidRDefault="00413A96" w:rsidP="00413A96"/>
    <w:p w14:paraId="73FABA97" w14:textId="77777777" w:rsidR="00413A96" w:rsidRDefault="00413A96" w:rsidP="00413A96">
      <w:r>
        <w:t>LEY 1753 DE 2015</w:t>
      </w:r>
    </w:p>
    <w:p w14:paraId="74D53813" w14:textId="77777777" w:rsidR="00413A96" w:rsidRDefault="00413A96" w:rsidP="00413A96"/>
    <w:p w14:paraId="32D52F9B" w14:textId="77777777" w:rsidR="00413A96" w:rsidRDefault="00413A96" w:rsidP="00413A96">
      <w:r>
        <w:t>(Junio 9)</w:t>
      </w:r>
    </w:p>
    <w:p w14:paraId="37902D25" w14:textId="77777777" w:rsidR="00413A96" w:rsidRDefault="00413A96" w:rsidP="00413A96"/>
    <w:p w14:paraId="3120A422" w14:textId="77777777" w:rsidR="00413A96" w:rsidRDefault="00413A96" w:rsidP="00413A96">
      <w:r>
        <w:t>“Por la cual se expide el Plan Nacional de Desarrollo 2014­2018 “Todos por un nuevo país”.</w:t>
      </w:r>
    </w:p>
    <w:p w14:paraId="4C456EF6" w14:textId="77777777" w:rsidR="00413A96" w:rsidRDefault="00413A96" w:rsidP="00413A96"/>
    <w:p w14:paraId="1EBEBF91" w14:textId="77777777" w:rsidR="00413A96" w:rsidRDefault="00413A96" w:rsidP="00413A96">
      <w:r>
        <w:t>EL CONGRESO DE LA REPÚBLICA DE COLOMBIA DECRETA:</w:t>
      </w:r>
    </w:p>
    <w:p w14:paraId="16C7DC3E" w14:textId="77777777" w:rsidR="00413A96" w:rsidRDefault="00413A96" w:rsidP="00413A96">
      <w:r>
        <w:t>TÍTULO I DISPOSICIONES GENERALES</w:t>
      </w:r>
    </w:p>
    <w:p w14:paraId="0C5903B4" w14:textId="77777777" w:rsidR="00413A96" w:rsidRDefault="00413A96" w:rsidP="00413A96">
      <w:r>
        <w:t>ARTÍCULO 1°. Objetivos del Plan Nacional de Desarrollo. El Plan Nacional de Desarrollo 2014­ 2018 “Todos por un nuevo país”, que se expide por medio de la presente ley, tiene como objetivo construir una Colombia en paz, equitativa y educada, en armonía con los propósitos del Gobierno nacional, con las mejores prácticas y estándares internacionales, y con la visión de planificación, de largo plazo prevista por los objetivos de desarrollo sostenible.</w:t>
      </w:r>
    </w:p>
    <w:p w14:paraId="4DEFC750" w14:textId="77777777" w:rsidR="00413A96" w:rsidRDefault="00413A96" w:rsidP="00413A96"/>
    <w:p w14:paraId="02BE2760" w14:textId="77777777" w:rsidR="00413A96" w:rsidRDefault="00413A96" w:rsidP="00413A96">
      <w:r>
        <w:t>ARTÍCULO 2°. Parte integral de esta ley. El documento denominado “Bases del Plan Nacional de Desarrollo 2014­2018: Todos por un nuevo país”, elaborado por el Gobierno Nacional con la participación del Consejo Superior de la Judicatura y del Consejo Nacional de Planeación, con las modificaciones realizadas en el trámite legislativo, es parte integral del Plan Nacional de Desarrollo y se incorpora a la presente ley como un anexo.</w:t>
      </w:r>
    </w:p>
    <w:p w14:paraId="53F94326" w14:textId="77777777" w:rsidR="00413A96" w:rsidRDefault="00413A96" w:rsidP="00413A96"/>
    <w:p w14:paraId="1C91E845" w14:textId="77777777" w:rsidR="00413A96" w:rsidRDefault="00413A96" w:rsidP="00413A96">
      <w:r>
        <w:t>ARTÍCULO 3°. Pilares del Plan Nacional de Desarrollo. El Plan Nacional de Desarrollo se basa en los siguientes tres pilares:</w:t>
      </w:r>
    </w:p>
    <w:p w14:paraId="248852EB" w14:textId="77777777" w:rsidR="00413A96" w:rsidRDefault="00413A96" w:rsidP="00413A96"/>
    <w:p w14:paraId="1CE1CF86" w14:textId="77777777" w:rsidR="00413A96" w:rsidRDefault="00413A96" w:rsidP="00413A96">
      <w:r>
        <w:t>1.</w:t>
      </w:r>
      <w:r>
        <w:tab/>
        <w:t>Paz. El Plan refleja la voluntad política del Gobierno para construir una paz sostenible bajo un enfoque de goce efectivo de derechos.</w:t>
      </w:r>
    </w:p>
    <w:p w14:paraId="1DE30C77" w14:textId="77777777" w:rsidR="00413A96" w:rsidRDefault="00413A96" w:rsidP="00413A96"/>
    <w:p w14:paraId="2A620155" w14:textId="77777777" w:rsidR="00413A96" w:rsidRDefault="00413A96" w:rsidP="00413A96">
      <w:r>
        <w:t>2.</w:t>
      </w:r>
      <w:r>
        <w:tab/>
        <w:t>Equidad. El Plan contempla una visión de desarrollo humano integral en una sociedad con oportunidades para todos.</w:t>
      </w:r>
    </w:p>
    <w:p w14:paraId="0CD9D407" w14:textId="77777777" w:rsidR="00413A96" w:rsidRDefault="00413A96" w:rsidP="00413A96"/>
    <w:p w14:paraId="1BA7C239" w14:textId="77777777" w:rsidR="00413A96" w:rsidRDefault="00413A96" w:rsidP="00413A96">
      <w:r>
        <w:t>3.</w:t>
      </w:r>
      <w:r>
        <w:tab/>
        <w:t>Educación. El Plan asume la educación como el más poderoso instrumento de igualdad social y crecimiento económico en el largo plazo, con una visión orientada a cerrar brechas en acceso y</w:t>
      </w:r>
    </w:p>
    <w:p w14:paraId="0DD2C898" w14:textId="77777777" w:rsidR="00413A96" w:rsidRDefault="00413A96" w:rsidP="00413A96">
      <w:r>
        <w:t xml:space="preserve"> </w:t>
      </w:r>
    </w:p>
    <w:p w14:paraId="6A66386C" w14:textId="77777777" w:rsidR="00413A96" w:rsidRDefault="00413A96" w:rsidP="00413A96">
      <w:r>
        <w:t>calidad al sistema educativo, entre individuos, grupos poblacionales y entre regiones, acercando al país a altos estándares internacionales y logrando la igualdad de oportunidades para todos los ciudadanos.</w:t>
      </w:r>
    </w:p>
    <w:p w14:paraId="6E8F72D4" w14:textId="77777777" w:rsidR="00413A96" w:rsidRDefault="00413A96" w:rsidP="00413A96"/>
    <w:p w14:paraId="103528ED" w14:textId="77777777" w:rsidR="00413A96" w:rsidRDefault="00413A96" w:rsidP="00413A96">
      <w:r>
        <w:t>ARTÍCULO 4°. Estrategias transversales y regionales. Para la consolidación de los tres Pilares descritos en el artículo anterior y la transformación hacia un nuevo país, en el Plan Nacional de Desarrollo 2014­2018 se incorporarán las siguientes estrategias transversales:</w:t>
      </w:r>
    </w:p>
    <w:p w14:paraId="626FD3F4" w14:textId="77777777" w:rsidR="00413A96" w:rsidRDefault="00413A96" w:rsidP="00413A96"/>
    <w:p w14:paraId="772318E5" w14:textId="77777777" w:rsidR="00413A96" w:rsidRDefault="00413A96" w:rsidP="00413A96">
      <w:r>
        <w:t>1.</w:t>
      </w:r>
      <w:r>
        <w:tab/>
        <w:t>Competitividad e infraestructura estratégicas</w:t>
      </w:r>
    </w:p>
    <w:p w14:paraId="187F008E" w14:textId="77777777" w:rsidR="00413A96" w:rsidRDefault="00413A96" w:rsidP="00413A96"/>
    <w:p w14:paraId="5B4508B3" w14:textId="77777777" w:rsidR="00413A96" w:rsidRDefault="00413A96" w:rsidP="00413A96">
      <w:r>
        <w:t>2.</w:t>
      </w:r>
      <w:r>
        <w:tab/>
        <w:t>Movilidad social</w:t>
      </w:r>
    </w:p>
    <w:p w14:paraId="026B8EF3" w14:textId="77777777" w:rsidR="00413A96" w:rsidRDefault="00413A96" w:rsidP="00413A96"/>
    <w:p w14:paraId="7357C489" w14:textId="77777777" w:rsidR="00413A96" w:rsidRDefault="00413A96" w:rsidP="00413A96">
      <w:r>
        <w:t>3.</w:t>
      </w:r>
      <w:r>
        <w:tab/>
        <w:t>Transformación del campo</w:t>
      </w:r>
    </w:p>
    <w:p w14:paraId="091BA7D2" w14:textId="77777777" w:rsidR="00413A96" w:rsidRDefault="00413A96" w:rsidP="00413A96"/>
    <w:p w14:paraId="0501EB00" w14:textId="77777777" w:rsidR="00413A96" w:rsidRDefault="00413A96" w:rsidP="00413A96">
      <w:r>
        <w:lastRenderedPageBreak/>
        <w:t>4.</w:t>
      </w:r>
      <w:r>
        <w:tab/>
        <w:t>Seguridad, justicia y democracia para la construcción de paz</w:t>
      </w:r>
    </w:p>
    <w:p w14:paraId="35A10BF5" w14:textId="77777777" w:rsidR="00413A96" w:rsidRDefault="00413A96" w:rsidP="00413A96"/>
    <w:p w14:paraId="7E548F3D" w14:textId="77777777" w:rsidR="00413A96" w:rsidRDefault="00413A96" w:rsidP="00413A96">
      <w:r>
        <w:t>5.</w:t>
      </w:r>
      <w:r>
        <w:tab/>
        <w:t>Buen gobierno</w:t>
      </w:r>
    </w:p>
    <w:p w14:paraId="0D08242E" w14:textId="77777777" w:rsidR="00413A96" w:rsidRDefault="00413A96" w:rsidP="00413A96"/>
    <w:p w14:paraId="0C60A67F" w14:textId="77777777" w:rsidR="00413A96" w:rsidRDefault="00413A96" w:rsidP="00413A96">
      <w:r>
        <w:t>6.</w:t>
      </w:r>
      <w:r>
        <w:tab/>
        <w:t>Crecimiento verde</w:t>
      </w:r>
    </w:p>
    <w:p w14:paraId="72E008EF" w14:textId="77777777" w:rsidR="00413A96" w:rsidRDefault="00413A96" w:rsidP="00413A96"/>
    <w:p w14:paraId="17C3BEE0" w14:textId="77777777" w:rsidR="00413A96" w:rsidRDefault="00413A96" w:rsidP="00413A96">
      <w:r>
        <w:t>De igual manera se incorporarán las siguientes estrategias regionales, para establecer las prioridades para la gestión territorial y promover su desarrollo:</w:t>
      </w:r>
    </w:p>
    <w:p w14:paraId="4B7E4934" w14:textId="77777777" w:rsidR="00413A96" w:rsidRDefault="00413A96" w:rsidP="00413A96"/>
    <w:p w14:paraId="46CB21B6" w14:textId="77777777" w:rsidR="00413A96" w:rsidRDefault="00413A96" w:rsidP="00413A96">
      <w:r>
        <w:t>•</w:t>
      </w:r>
      <w:r>
        <w:tab/>
        <w:t>Caribe: Próspero, equitativo y sin pobreza extrema.</w:t>
      </w:r>
    </w:p>
    <w:p w14:paraId="79D92A71" w14:textId="77777777" w:rsidR="00413A96" w:rsidRDefault="00413A96" w:rsidP="00413A96"/>
    <w:p w14:paraId="1B3E1D66" w14:textId="77777777" w:rsidR="00413A96" w:rsidRDefault="00413A96" w:rsidP="00413A96">
      <w:r>
        <w:t>•</w:t>
      </w:r>
      <w:r>
        <w:tab/>
        <w:t>Eje Cafetero y Antioquia: Capital humano innovador en territorios incluyentes.</w:t>
      </w:r>
    </w:p>
    <w:p w14:paraId="38FA9EB5" w14:textId="77777777" w:rsidR="00413A96" w:rsidRDefault="00413A96" w:rsidP="00413A96"/>
    <w:p w14:paraId="01A758A1" w14:textId="77777777" w:rsidR="00413A96" w:rsidRDefault="00413A96" w:rsidP="00413A96">
      <w:r>
        <w:t>•</w:t>
      </w:r>
      <w:r>
        <w:tab/>
        <w:t>Centro Oriente y Distrito Capital de Bogotá: Conectividad para la integración y desarrollo productivo sostenible de la región.</w:t>
      </w:r>
    </w:p>
    <w:p w14:paraId="0BFFC7EC" w14:textId="77777777" w:rsidR="00413A96" w:rsidRDefault="00413A96" w:rsidP="00413A96"/>
    <w:p w14:paraId="6EA55B62" w14:textId="77777777" w:rsidR="00413A96" w:rsidRDefault="00413A96" w:rsidP="00413A96">
      <w:r>
        <w:t>•</w:t>
      </w:r>
      <w:r>
        <w:tab/>
        <w:t>Pacífico: Desarrollo socioeconómico con equidad, integración y sostenibilidad ambiental.</w:t>
      </w:r>
    </w:p>
    <w:p w14:paraId="58AFC236" w14:textId="77777777" w:rsidR="00413A96" w:rsidRDefault="00413A96" w:rsidP="00413A96"/>
    <w:p w14:paraId="69BA80BC" w14:textId="77777777" w:rsidR="00413A96" w:rsidRDefault="00413A96" w:rsidP="00413A96">
      <w:r>
        <w:t>•</w:t>
      </w:r>
      <w:r>
        <w:tab/>
        <w:t>Llanos Orientales: Medio ambiente, agroindustria y desarrollo humano: para el crecimiento y bienestar.</w:t>
      </w:r>
    </w:p>
    <w:p w14:paraId="32E99473" w14:textId="77777777" w:rsidR="00413A96" w:rsidRDefault="00413A96" w:rsidP="00413A96"/>
    <w:p w14:paraId="45F0C5AF" w14:textId="77777777" w:rsidR="00413A96" w:rsidRDefault="00413A96" w:rsidP="00413A96">
      <w:r>
        <w:t>•</w:t>
      </w:r>
      <w:r>
        <w:tab/>
        <w:t>Centro Sur Amazonía: Tierra de oportunidades y paz: desarrollo del campo y conservación ambiental.</w:t>
      </w:r>
    </w:p>
    <w:p w14:paraId="40DCB679" w14:textId="77777777" w:rsidR="00413A96" w:rsidRDefault="00413A96" w:rsidP="00413A96"/>
    <w:p w14:paraId="6E510902" w14:textId="77777777" w:rsidR="00413A96" w:rsidRDefault="00413A96" w:rsidP="00413A96">
      <w:r>
        <w:t>Las estrategias trasversales que se puedan aplicar acorde con la normatividad vigente cobijarán a los colombianos residentes en el exterior.</w:t>
      </w:r>
    </w:p>
    <w:p w14:paraId="35D395C0" w14:textId="77777777" w:rsidR="00413A96" w:rsidRDefault="00413A96" w:rsidP="00413A96"/>
    <w:p w14:paraId="1124C2B1" w14:textId="77777777" w:rsidR="00413A96" w:rsidRDefault="00413A96" w:rsidP="00413A96">
      <w:r>
        <w:t>TÍTULO II</w:t>
      </w:r>
    </w:p>
    <w:p w14:paraId="4A4DAEE8" w14:textId="77777777" w:rsidR="00413A96" w:rsidRDefault="00413A96" w:rsidP="00413A96"/>
    <w:p w14:paraId="213BD360" w14:textId="77777777" w:rsidR="00413A96" w:rsidRDefault="00413A96" w:rsidP="00413A96">
      <w:r>
        <w:t>PLAN DE INVERSIONES Y PRESUPUESTOS PLURIANUALES</w:t>
      </w:r>
    </w:p>
    <w:p w14:paraId="0F28BC3B" w14:textId="77777777" w:rsidR="00413A96" w:rsidRDefault="00413A96" w:rsidP="00413A96"/>
    <w:p w14:paraId="28C9D94F" w14:textId="77777777" w:rsidR="00413A96" w:rsidRDefault="00413A96" w:rsidP="00413A96">
      <w:r>
        <w:t>ARTÍCULO 5°. Plan Nacional de Inversiones Públicas 2015­2018. El Plan Nacional de Inversiones Públicas 2015­2018 se estima en un valor de setecientos tres coma nueve ($703,9) billones, a pesos constantes de 2014, financiados de la siguiente manera:</w:t>
      </w:r>
    </w:p>
    <w:p w14:paraId="62A2762D" w14:textId="77777777" w:rsidR="00413A96" w:rsidRDefault="00413A96" w:rsidP="00413A96"/>
    <w:p w14:paraId="0D9C8B52" w14:textId="77777777" w:rsidR="00413A96" w:rsidRDefault="00413A96" w:rsidP="00413A96">
      <w:r>
        <w:t>Estrategias Transversales y Objetivos Plan de Inversiones 2015­2018</w:t>
      </w:r>
    </w:p>
    <w:p w14:paraId="49997CA4" w14:textId="77777777" w:rsidR="00413A96" w:rsidRDefault="00413A96" w:rsidP="00413A96">
      <w:r>
        <w:t>Cifras en millones de pesos de 2014</w:t>
      </w:r>
    </w:p>
    <w:p w14:paraId="204F6DBB" w14:textId="77777777" w:rsidR="00413A96" w:rsidRDefault="00413A96" w:rsidP="00413A96">
      <w:r>
        <w:t xml:space="preserve"> </w:t>
      </w:r>
    </w:p>
    <w:p w14:paraId="223163B8" w14:textId="77777777" w:rsidR="00413A96" w:rsidRDefault="00413A96" w:rsidP="00413A96"/>
    <w:p w14:paraId="5BCB59F1" w14:textId="77777777" w:rsidR="00413A96" w:rsidRDefault="00413A96" w:rsidP="00413A96"/>
    <w:p w14:paraId="2346530F" w14:textId="77777777" w:rsidR="00413A96" w:rsidRDefault="00413A96" w:rsidP="00413A96">
      <w:r>
        <w:t>Estrategia Objetivo</w:t>
      </w:r>
      <w:r>
        <w:tab/>
        <w:t>Fuentes de financiación</w:t>
      </w:r>
    </w:p>
    <w:p w14:paraId="5BED3E7D" w14:textId="77777777" w:rsidR="00413A96" w:rsidRDefault="00413A96" w:rsidP="00413A96">
      <w:r>
        <w:tab/>
        <w:t>Central</w:t>
      </w:r>
      <w:r>
        <w:tab/>
        <w:t>Descentralizado</w:t>
      </w:r>
      <w:r>
        <w:tab/>
        <w:t>E.</w:t>
      </w:r>
    </w:p>
    <w:p w14:paraId="37832BA9" w14:textId="77777777" w:rsidR="00413A96" w:rsidRDefault="00413A96" w:rsidP="00413A96">
      <w:r>
        <w:t>Territoriales</w:t>
      </w:r>
      <w:r>
        <w:tab/>
        <w:t>Privado</w:t>
      </w:r>
      <w:r>
        <w:tab/>
        <w:t>SGP</w:t>
      </w:r>
      <w:r>
        <w:tab/>
        <w:t>SGR</w:t>
      </w:r>
      <w:r>
        <w:tab/>
        <w:t>Total</w:t>
      </w:r>
    </w:p>
    <w:p w14:paraId="3E2EBB9A" w14:textId="77777777" w:rsidR="00413A96" w:rsidRDefault="00413A96" w:rsidP="00413A96">
      <w:r>
        <w:t>Competitividad e</w:t>
      </w:r>
    </w:p>
    <w:p w14:paraId="21DFC82E" w14:textId="77777777" w:rsidR="00413A96" w:rsidRDefault="00413A96" w:rsidP="00413A96">
      <w:r>
        <w:t>infraestructura estratégicas</w:t>
      </w:r>
      <w:r>
        <w:tab/>
      </w:r>
    </w:p>
    <w:p w14:paraId="210F6042" w14:textId="77777777" w:rsidR="00413A96" w:rsidRDefault="00413A96" w:rsidP="00413A96">
      <w:r>
        <w:t>40.442.775</w:t>
      </w:r>
      <w:r>
        <w:tab/>
      </w:r>
    </w:p>
    <w:p w14:paraId="65EC8BC2" w14:textId="77777777" w:rsidR="00413A96" w:rsidRDefault="00413A96" w:rsidP="00413A96">
      <w:r>
        <w:t>3.003.731</w:t>
      </w:r>
      <w:r>
        <w:tab/>
      </w:r>
    </w:p>
    <w:p w14:paraId="3EBA6BC4" w14:textId="77777777" w:rsidR="00413A96" w:rsidRDefault="00413A96" w:rsidP="00413A96">
      <w:r>
        <w:t>10.299.194</w:t>
      </w:r>
      <w:r>
        <w:tab/>
      </w:r>
    </w:p>
    <w:p w14:paraId="10C51353" w14:textId="77777777" w:rsidR="00413A96" w:rsidRDefault="00413A96" w:rsidP="00413A96">
      <w:r>
        <w:t>121.296.863</w:t>
      </w:r>
      <w:r>
        <w:tab/>
      </w:r>
    </w:p>
    <w:p w14:paraId="738317D0" w14:textId="77777777" w:rsidR="00413A96" w:rsidRDefault="00413A96" w:rsidP="00413A96">
      <w:r>
        <w:t>3.403.565</w:t>
      </w:r>
      <w:r>
        <w:tab/>
      </w:r>
    </w:p>
    <w:p w14:paraId="07357D67" w14:textId="77777777" w:rsidR="00413A96" w:rsidRDefault="00413A96" w:rsidP="00413A96">
      <w:r>
        <w:t>10.601.843</w:t>
      </w:r>
      <w:r>
        <w:tab/>
      </w:r>
    </w:p>
    <w:p w14:paraId="2A188F31" w14:textId="77777777" w:rsidR="00413A96" w:rsidRDefault="00413A96" w:rsidP="00413A96">
      <w:r>
        <w:t>189.047.971</w:t>
      </w:r>
    </w:p>
    <w:p w14:paraId="0B3A1C2D" w14:textId="77777777" w:rsidR="00413A96" w:rsidRDefault="00413A96" w:rsidP="00413A96">
      <w:r>
        <w:t>Desarrollo minero­ energético para la</w:t>
      </w:r>
      <w:r>
        <w:tab/>
        <w:t>equidad</w:t>
      </w:r>
    </w:p>
    <w:p w14:paraId="4F57A7DD" w14:textId="77777777" w:rsidR="00413A96" w:rsidRDefault="00413A96" w:rsidP="00413A96">
      <w:r>
        <w:t>regional</w:t>
      </w:r>
      <w:r>
        <w:tab/>
      </w:r>
    </w:p>
    <w:p w14:paraId="70CFA7FE" w14:textId="77777777" w:rsidR="00413A96" w:rsidRDefault="00413A96" w:rsidP="00413A96"/>
    <w:p w14:paraId="696CABE3" w14:textId="77777777" w:rsidR="00413A96" w:rsidRDefault="00413A96" w:rsidP="00413A96">
      <w:r>
        <w:t>8.944.717</w:t>
      </w:r>
      <w:r>
        <w:tab/>
      </w:r>
    </w:p>
    <w:p w14:paraId="090B23F8" w14:textId="77777777" w:rsidR="00413A96" w:rsidRDefault="00413A96" w:rsidP="00413A96"/>
    <w:p w14:paraId="0B6FA847" w14:textId="77777777" w:rsidR="00413A96" w:rsidRDefault="00413A96" w:rsidP="00413A96">
      <w:r>
        <w:t>1.683.814</w:t>
      </w:r>
      <w:r>
        <w:tab/>
      </w:r>
    </w:p>
    <w:p w14:paraId="559774B2" w14:textId="77777777" w:rsidR="00413A96" w:rsidRDefault="00413A96" w:rsidP="00413A96"/>
    <w:p w14:paraId="2E64C6C1" w14:textId="77777777" w:rsidR="00413A96" w:rsidRDefault="00413A96" w:rsidP="00413A96">
      <w:r>
        <w:t>1.019.537</w:t>
      </w:r>
      <w:r>
        <w:tab/>
      </w:r>
    </w:p>
    <w:p w14:paraId="6B2997C7" w14:textId="77777777" w:rsidR="00413A96" w:rsidRDefault="00413A96" w:rsidP="00413A96"/>
    <w:p w14:paraId="35B099F1" w14:textId="77777777" w:rsidR="00413A96" w:rsidRDefault="00413A96" w:rsidP="00413A96">
      <w:r>
        <w:t>65.731.739</w:t>
      </w:r>
      <w:r>
        <w:tab/>
      </w:r>
    </w:p>
    <w:p w14:paraId="530E74B6" w14:textId="77777777" w:rsidR="00413A96" w:rsidRDefault="00413A96" w:rsidP="00413A96"/>
    <w:p w14:paraId="6CA052DD" w14:textId="77777777" w:rsidR="00413A96" w:rsidRDefault="00413A96" w:rsidP="00413A96">
      <w:r>
        <w:t>380.634</w:t>
      </w:r>
      <w:r>
        <w:tab/>
      </w:r>
    </w:p>
    <w:p w14:paraId="5D97E5F0" w14:textId="77777777" w:rsidR="00413A96" w:rsidRDefault="00413A96" w:rsidP="00413A96"/>
    <w:p w14:paraId="275D198E" w14:textId="77777777" w:rsidR="00413A96" w:rsidRDefault="00413A96" w:rsidP="00413A96">
      <w:r>
        <w:t>743.173</w:t>
      </w:r>
      <w:r>
        <w:tab/>
      </w:r>
    </w:p>
    <w:p w14:paraId="39AA2F9B" w14:textId="77777777" w:rsidR="00413A96" w:rsidRDefault="00413A96" w:rsidP="00413A96"/>
    <w:p w14:paraId="50F1310A" w14:textId="77777777" w:rsidR="00413A96" w:rsidRDefault="00413A96" w:rsidP="00413A96">
      <w:r>
        <w:t>78.503.614</w:t>
      </w:r>
    </w:p>
    <w:p w14:paraId="4FF31D68" w14:textId="77777777" w:rsidR="00413A96" w:rsidRDefault="00413A96" w:rsidP="00413A96">
      <w:r>
        <w:t>Desarrollo productivo</w:t>
      </w:r>
      <w:r>
        <w:tab/>
      </w:r>
    </w:p>
    <w:p w14:paraId="3CBBF147" w14:textId="77777777" w:rsidR="00413A96" w:rsidRDefault="00413A96" w:rsidP="00413A96">
      <w:r>
        <w:t>4.815.257.</w:t>
      </w:r>
      <w:r>
        <w:tab/>
        <w:t>570.231</w:t>
      </w:r>
      <w:r>
        <w:tab/>
        <w:t>2.510.940</w:t>
      </w:r>
      <w:r>
        <w:tab/>
        <w:t>35.088</w:t>
      </w:r>
      <w:r>
        <w:tab/>
      </w:r>
    </w:p>
    <w:p w14:paraId="11240A1C" w14:textId="77777777" w:rsidR="00413A96" w:rsidRDefault="00413A96" w:rsidP="00413A96">
      <w:r>
        <w:t>26.171</w:t>
      </w:r>
      <w:r>
        <w:tab/>
        <w:t>313.250</w:t>
      </w:r>
      <w:r>
        <w:tab/>
        <w:t>8.270.936</w:t>
      </w:r>
    </w:p>
    <w:p w14:paraId="2EA49B6E" w14:textId="77777777" w:rsidR="00413A96" w:rsidRDefault="00413A96" w:rsidP="00413A96">
      <w:r>
        <w:t>TIC</w:t>
      </w:r>
      <w:r>
        <w:tab/>
        <w:t>como plataforma para la equidad, la educación y  la</w:t>
      </w:r>
    </w:p>
    <w:p w14:paraId="7BEB9AD5" w14:textId="77777777" w:rsidR="00413A96" w:rsidRDefault="00413A96" w:rsidP="00413A96">
      <w:r>
        <w:t>competitividad</w:t>
      </w:r>
      <w:r>
        <w:tab/>
      </w:r>
    </w:p>
    <w:p w14:paraId="189FCF59" w14:textId="77777777" w:rsidR="00413A96" w:rsidRDefault="00413A96" w:rsidP="00413A96"/>
    <w:p w14:paraId="45E24773" w14:textId="77777777" w:rsidR="00413A96" w:rsidRDefault="00413A96" w:rsidP="00413A96">
      <w:r>
        <w:t>3.691.150</w:t>
      </w:r>
      <w:r>
        <w:tab/>
      </w:r>
    </w:p>
    <w:p w14:paraId="14DBD082" w14:textId="77777777" w:rsidR="00413A96" w:rsidRDefault="00413A96" w:rsidP="00413A96"/>
    <w:p w14:paraId="4FDADAE0" w14:textId="77777777" w:rsidR="00413A96" w:rsidRDefault="00413A96" w:rsidP="00413A96">
      <w:r>
        <w:t>176.805</w:t>
      </w:r>
      <w:r>
        <w:tab/>
      </w:r>
    </w:p>
    <w:p w14:paraId="1A0BA070" w14:textId="77777777" w:rsidR="00413A96" w:rsidRDefault="00413A96" w:rsidP="00413A96"/>
    <w:p w14:paraId="4B16B317" w14:textId="77777777" w:rsidR="00413A96" w:rsidRDefault="00413A96" w:rsidP="00413A96">
      <w:r>
        <w:t>193.797</w:t>
      </w:r>
      <w:r>
        <w:tab/>
      </w:r>
    </w:p>
    <w:p w14:paraId="40E1615B" w14:textId="77777777" w:rsidR="00413A96" w:rsidRDefault="00413A96" w:rsidP="00413A96"/>
    <w:p w14:paraId="2160BE65" w14:textId="77777777" w:rsidR="00413A96" w:rsidRDefault="00413A96" w:rsidP="00413A96">
      <w:r>
        <w:t>18.165.658</w:t>
      </w:r>
      <w:r>
        <w:tab/>
      </w:r>
      <w:r>
        <w:tab/>
      </w:r>
    </w:p>
    <w:p w14:paraId="1774F678" w14:textId="77777777" w:rsidR="00413A96" w:rsidRDefault="00413A96" w:rsidP="00413A96"/>
    <w:p w14:paraId="7D2021E5" w14:textId="77777777" w:rsidR="00413A96" w:rsidRDefault="00413A96" w:rsidP="00413A96">
      <w:r>
        <w:t>28.171</w:t>
      </w:r>
      <w:r>
        <w:tab/>
      </w:r>
    </w:p>
    <w:p w14:paraId="54C15942" w14:textId="77777777" w:rsidR="00413A96" w:rsidRDefault="00413A96" w:rsidP="00413A96"/>
    <w:p w14:paraId="188A179D" w14:textId="77777777" w:rsidR="00413A96" w:rsidRDefault="00413A96" w:rsidP="00413A96">
      <w:r>
        <w:t>22.255.580</w:t>
      </w:r>
    </w:p>
    <w:p w14:paraId="04B8A553" w14:textId="77777777" w:rsidR="00413A96" w:rsidRDefault="00413A96" w:rsidP="00413A96">
      <w:r>
        <w:t>Ciencia, Tecnología</w:t>
      </w:r>
      <w:r>
        <w:tab/>
        <w:t>e</w:t>
      </w:r>
    </w:p>
    <w:p w14:paraId="3AAB18F9" w14:textId="77777777" w:rsidR="00413A96" w:rsidRDefault="00413A96" w:rsidP="00413A96">
      <w:r>
        <w:t>Innovación</w:t>
      </w:r>
      <w:r>
        <w:tab/>
      </w:r>
    </w:p>
    <w:p w14:paraId="50E9EEA9" w14:textId="77777777" w:rsidR="00413A96" w:rsidRDefault="00413A96" w:rsidP="00413A96">
      <w:r>
        <w:t>1.728.143</w:t>
      </w:r>
      <w:r>
        <w:tab/>
      </w:r>
      <w:r>
        <w:tab/>
      </w:r>
      <w:r>
        <w:tab/>
      </w:r>
    </w:p>
    <w:p w14:paraId="397599F1" w14:textId="77777777" w:rsidR="00413A96" w:rsidRDefault="00413A96" w:rsidP="00413A96">
      <w:r>
        <w:t>12.887.423</w:t>
      </w:r>
      <w:r>
        <w:tab/>
      </w:r>
      <w:r>
        <w:tab/>
      </w:r>
    </w:p>
    <w:p w14:paraId="6F9F9681" w14:textId="77777777" w:rsidR="00413A96" w:rsidRDefault="00413A96" w:rsidP="00413A96">
      <w:r>
        <w:t>2.587.402</w:t>
      </w:r>
      <w:r>
        <w:tab/>
      </w:r>
    </w:p>
    <w:p w14:paraId="585DB88A" w14:textId="77777777" w:rsidR="00413A96" w:rsidRDefault="00413A96" w:rsidP="00413A96">
      <w:r>
        <w:t>17.202.968</w:t>
      </w:r>
    </w:p>
    <w:p w14:paraId="1E7D72B5" w14:textId="77777777" w:rsidR="00413A96" w:rsidRDefault="00413A96" w:rsidP="00413A96">
      <w:r>
        <w:t>Infraestructura y servicios    de</w:t>
      </w:r>
    </w:p>
    <w:p w14:paraId="4DA644CC" w14:textId="77777777" w:rsidR="00413A96" w:rsidRDefault="00413A96" w:rsidP="00413A96">
      <w:r>
        <w:t>logística</w:t>
      </w:r>
      <w:r>
        <w:tab/>
        <w:t>y transporte para la   integración</w:t>
      </w:r>
    </w:p>
    <w:p w14:paraId="7EAA250A" w14:textId="77777777" w:rsidR="00413A96" w:rsidRDefault="00413A96" w:rsidP="00413A96">
      <w:r>
        <w:t>territorial</w:t>
      </w:r>
      <w:r>
        <w:tab/>
      </w:r>
    </w:p>
    <w:p w14:paraId="605BF627" w14:textId="77777777" w:rsidR="00413A96" w:rsidRDefault="00413A96" w:rsidP="00413A96"/>
    <w:p w14:paraId="42FF2A62" w14:textId="77777777" w:rsidR="00413A96" w:rsidRDefault="00413A96" w:rsidP="00413A96">
      <w:r>
        <w:t>21.263.509</w:t>
      </w:r>
      <w:r>
        <w:tab/>
      </w:r>
    </w:p>
    <w:p w14:paraId="5209C0E0" w14:textId="77777777" w:rsidR="00413A96" w:rsidRDefault="00413A96" w:rsidP="00413A96"/>
    <w:p w14:paraId="5B3931F5" w14:textId="77777777" w:rsidR="00413A96" w:rsidRDefault="00413A96" w:rsidP="00413A96">
      <w:r>
        <w:t>572.881</w:t>
      </w:r>
      <w:r>
        <w:tab/>
      </w:r>
    </w:p>
    <w:p w14:paraId="3C3E6303" w14:textId="77777777" w:rsidR="00413A96" w:rsidRDefault="00413A96" w:rsidP="00413A96"/>
    <w:p w14:paraId="40695038" w14:textId="77777777" w:rsidR="00413A96" w:rsidRDefault="00413A96" w:rsidP="00413A96">
      <w:r>
        <w:t>6.574.921</w:t>
      </w:r>
      <w:r>
        <w:tab/>
      </w:r>
    </w:p>
    <w:p w14:paraId="23373DED" w14:textId="77777777" w:rsidR="00413A96" w:rsidRDefault="00413A96" w:rsidP="00413A96"/>
    <w:p w14:paraId="194F6ED0" w14:textId="77777777" w:rsidR="00413A96" w:rsidRDefault="00413A96" w:rsidP="00413A96">
      <w:r>
        <w:t>24.476.955</w:t>
      </w:r>
      <w:r>
        <w:tab/>
      </w:r>
    </w:p>
    <w:p w14:paraId="175AE081" w14:textId="77777777" w:rsidR="00413A96" w:rsidRDefault="00413A96" w:rsidP="00413A96"/>
    <w:p w14:paraId="14637E85" w14:textId="77777777" w:rsidR="00413A96" w:rsidRDefault="00413A96" w:rsidP="00413A96">
      <w:r>
        <w:t>2.996.760</w:t>
      </w:r>
      <w:r>
        <w:tab/>
      </w:r>
    </w:p>
    <w:p w14:paraId="47F97CFF" w14:textId="77777777" w:rsidR="00413A96" w:rsidRDefault="00413A96" w:rsidP="00413A96"/>
    <w:p w14:paraId="493D23D2" w14:textId="77777777" w:rsidR="00413A96" w:rsidRDefault="00413A96" w:rsidP="00413A96">
      <w:r>
        <w:t>6.929.847</w:t>
      </w:r>
      <w:r>
        <w:tab/>
      </w:r>
    </w:p>
    <w:p w14:paraId="4993F951" w14:textId="77777777" w:rsidR="00413A96" w:rsidRDefault="00413A96" w:rsidP="00413A96"/>
    <w:p w14:paraId="4CD083F3" w14:textId="77777777" w:rsidR="00413A96" w:rsidRDefault="00413A96" w:rsidP="00413A96">
      <w:r>
        <w:t>62.814.873</w:t>
      </w:r>
    </w:p>
    <w:p w14:paraId="7662CDDA" w14:textId="77777777" w:rsidR="00413A96" w:rsidRDefault="00413A96" w:rsidP="00413A96">
      <w:r>
        <w:t>Modalidad</w:t>
      </w:r>
    </w:p>
    <w:p w14:paraId="47801676" w14:textId="77777777" w:rsidR="00413A96" w:rsidRDefault="00413A96" w:rsidP="00413A96">
      <w:r>
        <w:t>social</w:t>
      </w:r>
      <w:r>
        <w:tab/>
        <w:t>66.332.633</w:t>
      </w:r>
      <w:r>
        <w:tab/>
        <w:t>92.790</w:t>
      </w:r>
      <w:r>
        <w:tab/>
        <w:t>32.563.735</w:t>
      </w:r>
      <w:r>
        <w:tab/>
        <w:t>83.493.159</w:t>
      </w:r>
      <w:r>
        <w:tab/>
        <w:t>121.313.669</w:t>
      </w:r>
      <w:r>
        <w:tab/>
        <w:t>6.641.594</w:t>
      </w:r>
      <w:r>
        <w:tab/>
        <w:t>310.437.580</w:t>
      </w:r>
    </w:p>
    <w:p w14:paraId="17EA86DC" w14:textId="77777777" w:rsidR="00413A96" w:rsidRDefault="00413A96" w:rsidP="00413A96">
      <w:r>
        <w:t>Cerrar brechas en acceso y calidad de la educación.</w:t>
      </w:r>
      <w:r>
        <w:tab/>
        <w:t>30.123.367</w:t>
      </w:r>
      <w:r>
        <w:tab/>
      </w:r>
    </w:p>
    <w:p w14:paraId="1B445F2B" w14:textId="77777777" w:rsidR="00413A96" w:rsidRDefault="00413A96" w:rsidP="00413A96"/>
    <w:p w14:paraId="2903C5C5" w14:textId="77777777" w:rsidR="00413A96" w:rsidRDefault="00413A96" w:rsidP="00413A96">
      <w:r>
        <w:t>92.790</w:t>
      </w:r>
      <w:r>
        <w:tab/>
      </w:r>
    </w:p>
    <w:p w14:paraId="10C6E58B" w14:textId="77777777" w:rsidR="00413A96" w:rsidRDefault="00413A96" w:rsidP="00413A96">
      <w:r>
        <w:t>21.638.911</w:t>
      </w:r>
      <w:r>
        <w:tab/>
      </w:r>
    </w:p>
    <w:p w14:paraId="3960CA35" w14:textId="77777777" w:rsidR="00413A96" w:rsidRDefault="00413A96" w:rsidP="00413A96">
      <w:r>
        <w:t>491.086</w:t>
      </w:r>
      <w:r>
        <w:tab/>
      </w:r>
    </w:p>
    <w:p w14:paraId="513A1C62" w14:textId="77777777" w:rsidR="00413A96" w:rsidRDefault="00413A96" w:rsidP="00413A96">
      <w:r>
        <w:t>79.534.850</w:t>
      </w:r>
      <w:r>
        <w:tab/>
      </w:r>
    </w:p>
    <w:p w14:paraId="3D5FC03B" w14:textId="77777777" w:rsidR="00413A96" w:rsidRDefault="00413A96" w:rsidP="00413A96">
      <w:r>
        <w:t>4.700.286</w:t>
      </w:r>
      <w:r>
        <w:tab/>
      </w:r>
    </w:p>
    <w:p w14:paraId="1D5E6F1A" w14:textId="77777777" w:rsidR="00413A96" w:rsidRDefault="00413A96" w:rsidP="00413A96">
      <w:r>
        <w:t>136.581.289</w:t>
      </w:r>
    </w:p>
    <w:p w14:paraId="4AD8FFDA" w14:textId="77777777" w:rsidR="00413A96" w:rsidRDefault="00413A96" w:rsidP="00413A96">
      <w:r>
        <w:lastRenderedPageBreak/>
        <w:t>Impulsar “Ciudades Amables</w:t>
      </w:r>
      <w:r>
        <w:tab/>
        <w:t>y Sostenibles para</w:t>
      </w:r>
    </w:p>
    <w:p w14:paraId="01DC2C02" w14:textId="77777777" w:rsidR="00413A96" w:rsidRDefault="00413A96" w:rsidP="00413A96">
      <w:r>
        <w:t>la Equidad”</w:t>
      </w:r>
      <w:r>
        <w:tab/>
      </w:r>
    </w:p>
    <w:p w14:paraId="76910C16" w14:textId="77777777" w:rsidR="00413A96" w:rsidRDefault="00413A96" w:rsidP="00413A96"/>
    <w:p w14:paraId="35898D26" w14:textId="77777777" w:rsidR="00413A96" w:rsidRDefault="00413A96" w:rsidP="00413A96">
      <w:r>
        <w:t>6.928.939</w:t>
      </w:r>
      <w:r>
        <w:tab/>
      </w:r>
      <w:r>
        <w:tab/>
      </w:r>
    </w:p>
    <w:p w14:paraId="78F8BD99" w14:textId="77777777" w:rsidR="00413A96" w:rsidRDefault="00413A96" w:rsidP="00413A96"/>
    <w:p w14:paraId="798E8BC4" w14:textId="77777777" w:rsidR="00413A96" w:rsidRDefault="00413A96" w:rsidP="00413A96">
      <w:r>
        <w:t>1.259.795</w:t>
      </w:r>
      <w:r>
        <w:tab/>
      </w:r>
    </w:p>
    <w:p w14:paraId="6C94E1B3" w14:textId="77777777" w:rsidR="00413A96" w:rsidRDefault="00413A96" w:rsidP="00413A96"/>
    <w:p w14:paraId="26A387D7" w14:textId="77777777" w:rsidR="00413A96" w:rsidRDefault="00413A96" w:rsidP="00413A96">
      <w:r>
        <w:t>72.204.616</w:t>
      </w:r>
      <w:r>
        <w:tab/>
      </w:r>
    </w:p>
    <w:p w14:paraId="6A9F07AA" w14:textId="77777777" w:rsidR="00413A96" w:rsidRDefault="00413A96" w:rsidP="00413A96"/>
    <w:p w14:paraId="71F5E650" w14:textId="77777777" w:rsidR="00413A96" w:rsidRDefault="00413A96" w:rsidP="00413A96">
      <w:r>
        <w:t>7.945.547</w:t>
      </w:r>
      <w:r>
        <w:tab/>
      </w:r>
    </w:p>
    <w:p w14:paraId="019177F0" w14:textId="77777777" w:rsidR="00413A96" w:rsidRDefault="00413A96" w:rsidP="00413A96"/>
    <w:p w14:paraId="44B2E2D1" w14:textId="77777777" w:rsidR="00413A96" w:rsidRDefault="00413A96" w:rsidP="00413A96">
      <w:r>
        <w:t>1.028.327</w:t>
      </w:r>
      <w:r>
        <w:tab/>
      </w:r>
    </w:p>
    <w:p w14:paraId="1DB44159" w14:textId="77777777" w:rsidR="00413A96" w:rsidRDefault="00413A96" w:rsidP="00413A96"/>
    <w:p w14:paraId="273BB4F9" w14:textId="77777777" w:rsidR="00413A96" w:rsidRDefault="00413A96" w:rsidP="00413A96">
      <w:r>
        <w:t>89.367.224</w:t>
      </w:r>
    </w:p>
    <w:p w14:paraId="389A6C6E" w14:textId="77777777" w:rsidR="00413A96" w:rsidRDefault="00413A96" w:rsidP="00413A96">
      <w:r>
        <w:t>Mínimos vitales fortalecimiento de</w:t>
      </w:r>
      <w:r>
        <w:tab/>
        <w:t>las</w:t>
      </w:r>
    </w:p>
    <w:p w14:paraId="173E85BD" w14:textId="77777777" w:rsidR="00413A96" w:rsidRDefault="00413A96" w:rsidP="00413A96">
      <w:r>
        <w:t>capacidades de la población en pobreza</w:t>
      </w:r>
    </w:p>
    <w:p w14:paraId="549D6BF7" w14:textId="77777777" w:rsidR="00413A96" w:rsidRDefault="00413A96" w:rsidP="00413A96">
      <w:r>
        <w:t>extrema</w:t>
      </w:r>
      <w:r>
        <w:tab/>
      </w:r>
    </w:p>
    <w:p w14:paraId="3643C76F" w14:textId="77777777" w:rsidR="00413A96" w:rsidRDefault="00413A96" w:rsidP="00413A96"/>
    <w:p w14:paraId="6146CBF5" w14:textId="77777777" w:rsidR="00413A96" w:rsidRDefault="00413A96" w:rsidP="00413A96"/>
    <w:p w14:paraId="740B5FA6" w14:textId="77777777" w:rsidR="00413A96" w:rsidRDefault="00413A96" w:rsidP="00413A96">
      <w:r>
        <w:t>15.362.027</w:t>
      </w:r>
      <w:r>
        <w:tab/>
      </w:r>
      <w:r>
        <w:tab/>
      </w:r>
    </w:p>
    <w:p w14:paraId="736167DA" w14:textId="77777777" w:rsidR="00413A96" w:rsidRDefault="00413A96" w:rsidP="00413A96"/>
    <w:p w14:paraId="7AD9FC78" w14:textId="77777777" w:rsidR="00413A96" w:rsidRDefault="00413A96" w:rsidP="00413A96">
      <w:r>
        <w:t>5.671.062</w:t>
      </w:r>
      <w:r>
        <w:tab/>
      </w:r>
      <w:r>
        <w:tab/>
      </w:r>
    </w:p>
    <w:p w14:paraId="17B7858D" w14:textId="77777777" w:rsidR="00413A96" w:rsidRDefault="00413A96" w:rsidP="00413A96"/>
    <w:p w14:paraId="768B32BC" w14:textId="77777777" w:rsidR="00413A96" w:rsidRDefault="00413A96" w:rsidP="00413A96"/>
    <w:p w14:paraId="55263F32" w14:textId="77777777" w:rsidR="00413A96" w:rsidRDefault="00413A96" w:rsidP="00413A96">
      <w:r>
        <w:t>5.110.176</w:t>
      </w:r>
      <w:r>
        <w:tab/>
      </w:r>
    </w:p>
    <w:p w14:paraId="37534665" w14:textId="77777777" w:rsidR="00413A96" w:rsidRDefault="00413A96" w:rsidP="00413A96"/>
    <w:p w14:paraId="10C05361" w14:textId="77777777" w:rsidR="00413A96" w:rsidRDefault="00413A96" w:rsidP="00413A96"/>
    <w:p w14:paraId="3D4B7D0A" w14:textId="77777777" w:rsidR="00413A96" w:rsidRDefault="00413A96" w:rsidP="00413A96">
      <w:r>
        <w:t>290.519</w:t>
      </w:r>
      <w:r>
        <w:tab/>
      </w:r>
    </w:p>
    <w:p w14:paraId="1408C971" w14:textId="77777777" w:rsidR="00413A96" w:rsidRDefault="00413A96" w:rsidP="00413A96"/>
    <w:p w14:paraId="3024C19A" w14:textId="77777777" w:rsidR="00413A96" w:rsidRDefault="00413A96" w:rsidP="00413A96"/>
    <w:p w14:paraId="0D240AB6" w14:textId="77777777" w:rsidR="00413A96" w:rsidRDefault="00413A96" w:rsidP="00413A96">
      <w:r>
        <w:t>26.433.784</w:t>
      </w:r>
    </w:p>
    <w:p w14:paraId="3ABBB2D2" w14:textId="77777777" w:rsidR="00413A96" w:rsidRDefault="00413A96" w:rsidP="00413A96">
      <w:r>
        <w:t>Alternativas para el empleo de calidad  y  el</w:t>
      </w:r>
    </w:p>
    <w:p w14:paraId="4DC7FFCD" w14:textId="77777777" w:rsidR="00413A96" w:rsidRDefault="00413A96" w:rsidP="00413A96">
      <w:r>
        <w:t>aseguramiento</w:t>
      </w:r>
      <w:r>
        <w:tab/>
      </w:r>
    </w:p>
    <w:p w14:paraId="0CAD2954" w14:textId="77777777" w:rsidR="00413A96" w:rsidRDefault="00413A96" w:rsidP="00413A96">
      <w:r>
        <w:t>95.102</w:t>
      </w:r>
      <w:r>
        <w:tab/>
      </w:r>
      <w:r>
        <w:tab/>
      </w:r>
      <w:r>
        <w:tab/>
      </w:r>
      <w:r>
        <w:tab/>
      </w:r>
      <w:r>
        <w:tab/>
      </w:r>
    </w:p>
    <w:p w14:paraId="6A17246D" w14:textId="77777777" w:rsidR="00413A96" w:rsidRDefault="00413A96" w:rsidP="00413A96">
      <w:r>
        <w:t>100.707</w:t>
      </w:r>
      <w:r>
        <w:tab/>
      </w:r>
    </w:p>
    <w:p w14:paraId="14DD4A2F" w14:textId="77777777" w:rsidR="00413A96" w:rsidRDefault="00413A96" w:rsidP="00413A96">
      <w:r>
        <w:t>195.809</w:t>
      </w:r>
    </w:p>
    <w:p w14:paraId="0873A5B9" w14:textId="77777777" w:rsidR="00413A96" w:rsidRDefault="00413A96" w:rsidP="00413A96">
      <w:r>
        <w:t>Mejorar</w:t>
      </w:r>
      <w:r>
        <w:tab/>
        <w:t>las</w:t>
      </w:r>
    </w:p>
    <w:p w14:paraId="57A969F8" w14:textId="77777777" w:rsidR="00413A96" w:rsidRDefault="00413A96" w:rsidP="00413A96">
      <w:r>
        <w:t>condiciones</w:t>
      </w:r>
      <w:r>
        <w:tab/>
        <w:t>de</w:t>
      </w:r>
      <w:r>
        <w:tab/>
      </w:r>
    </w:p>
    <w:p w14:paraId="19533F0A" w14:textId="77777777" w:rsidR="00413A96" w:rsidRDefault="00413A96" w:rsidP="00413A96">
      <w:r>
        <w:t>13.823.197</w:t>
      </w:r>
      <w:r>
        <w:tab/>
      </w:r>
      <w:r>
        <w:tab/>
      </w:r>
    </w:p>
    <w:p w14:paraId="29A62459" w14:textId="77777777" w:rsidR="00413A96" w:rsidRDefault="00413A96" w:rsidP="00413A96">
      <w:r>
        <w:t>3.993.967</w:t>
      </w:r>
      <w:r>
        <w:tab/>
      </w:r>
    </w:p>
    <w:p w14:paraId="65CD2945" w14:textId="77777777" w:rsidR="00413A96" w:rsidRDefault="00413A96" w:rsidP="00413A96">
      <w:r>
        <w:t>10.797.457</w:t>
      </w:r>
      <w:r>
        <w:tab/>
      </w:r>
    </w:p>
    <w:p w14:paraId="0AB52C16" w14:textId="77777777" w:rsidR="00413A96" w:rsidRDefault="00413A96" w:rsidP="00413A96">
      <w:r>
        <w:t>28.723.097</w:t>
      </w:r>
      <w:r>
        <w:tab/>
      </w:r>
    </w:p>
    <w:p w14:paraId="636910AC" w14:textId="77777777" w:rsidR="00413A96" w:rsidRDefault="00413A96" w:rsidP="00413A96">
      <w:r>
        <w:t>521.754</w:t>
      </w:r>
      <w:r>
        <w:tab/>
      </w:r>
    </w:p>
    <w:p w14:paraId="50B177AA" w14:textId="77777777" w:rsidR="00413A96" w:rsidRDefault="00413A96" w:rsidP="00413A96">
      <w:r>
        <w:t>57.859.473</w:t>
      </w:r>
    </w:p>
    <w:p w14:paraId="4348A526" w14:textId="77777777" w:rsidR="00413A96" w:rsidRDefault="00413A96" w:rsidP="00413A96">
      <w:r>
        <w:t xml:space="preserve"> </w:t>
      </w:r>
    </w:p>
    <w:p w14:paraId="54F48E53" w14:textId="77777777" w:rsidR="00413A96" w:rsidRDefault="00413A96" w:rsidP="00413A96"/>
    <w:p w14:paraId="4504F918" w14:textId="77777777" w:rsidR="00413A96" w:rsidRDefault="00413A96" w:rsidP="00413A96">
      <w:r>
        <w:t>salud</w:t>
      </w:r>
      <w:r>
        <w:tab/>
      </w:r>
      <w:r>
        <w:tab/>
      </w:r>
      <w:r>
        <w:tab/>
      </w:r>
      <w:r>
        <w:tab/>
      </w:r>
      <w:r>
        <w:tab/>
      </w:r>
      <w:r>
        <w:tab/>
      </w:r>
      <w:r>
        <w:tab/>
      </w:r>
    </w:p>
    <w:p w14:paraId="6AD4D99E" w14:textId="77777777" w:rsidR="00413A96" w:rsidRDefault="00413A96" w:rsidP="00413A96">
      <w:r>
        <w:t>Transformación</w:t>
      </w:r>
    </w:p>
    <w:p w14:paraId="02AD82AE" w14:textId="77777777" w:rsidR="00413A96" w:rsidRDefault="00413A96" w:rsidP="00413A96">
      <w:r>
        <w:t>del campo</w:t>
      </w:r>
      <w:r>
        <w:tab/>
        <w:t>10.297.362</w:t>
      </w:r>
      <w:r>
        <w:tab/>
      </w:r>
      <w:r>
        <w:tab/>
        <w:t>966.708</w:t>
      </w:r>
      <w:r>
        <w:tab/>
        <w:t>35.528.492</w:t>
      </w:r>
      <w:r>
        <w:tab/>
        <w:t>878.079</w:t>
      </w:r>
      <w:r>
        <w:tab/>
        <w:t>1.600.933</w:t>
      </w:r>
      <w:r>
        <w:tab/>
        <w:t>49.271.574</w:t>
      </w:r>
    </w:p>
    <w:p w14:paraId="557AFF7D" w14:textId="77777777" w:rsidR="00413A96" w:rsidRDefault="00413A96" w:rsidP="00413A96">
      <w:r>
        <w:t>Reducción de la pobreza y la ampliación de la clase   media</w:t>
      </w:r>
    </w:p>
    <w:p w14:paraId="6AA833AE" w14:textId="77777777" w:rsidR="00413A96" w:rsidRDefault="00413A96" w:rsidP="00413A96">
      <w:r>
        <w:t>rural</w:t>
      </w:r>
      <w:r>
        <w:tab/>
      </w:r>
    </w:p>
    <w:p w14:paraId="51D37FD0" w14:textId="77777777" w:rsidR="00413A96" w:rsidRDefault="00413A96" w:rsidP="00413A96"/>
    <w:p w14:paraId="39DB3417" w14:textId="77777777" w:rsidR="00413A96" w:rsidRDefault="00413A96" w:rsidP="00413A96">
      <w:r>
        <w:t>2.518.482</w:t>
      </w:r>
      <w:r>
        <w:tab/>
      </w:r>
      <w:r>
        <w:tab/>
      </w:r>
    </w:p>
    <w:p w14:paraId="296A34EB" w14:textId="77777777" w:rsidR="00413A96" w:rsidRDefault="00413A96" w:rsidP="00413A96"/>
    <w:p w14:paraId="6A7CD7B0" w14:textId="77777777" w:rsidR="00413A96" w:rsidRDefault="00413A96" w:rsidP="00413A96">
      <w:r>
        <w:t>34.612</w:t>
      </w:r>
      <w:r>
        <w:tab/>
      </w:r>
      <w:r>
        <w:tab/>
      </w:r>
    </w:p>
    <w:p w14:paraId="526B5D3E" w14:textId="77777777" w:rsidR="00413A96" w:rsidRDefault="00413A96" w:rsidP="00413A96"/>
    <w:p w14:paraId="7BE4F959" w14:textId="77777777" w:rsidR="00413A96" w:rsidRDefault="00413A96" w:rsidP="00413A96">
      <w:r>
        <w:t>28.605</w:t>
      </w:r>
      <w:r>
        <w:tab/>
      </w:r>
    </w:p>
    <w:p w14:paraId="1A3EC5C4" w14:textId="77777777" w:rsidR="00413A96" w:rsidRDefault="00413A96" w:rsidP="00413A96"/>
    <w:p w14:paraId="7535C28C" w14:textId="77777777" w:rsidR="00413A96" w:rsidRDefault="00413A96" w:rsidP="00413A96">
      <w:r>
        <w:lastRenderedPageBreak/>
        <w:t>547.444</w:t>
      </w:r>
      <w:r>
        <w:tab/>
      </w:r>
    </w:p>
    <w:p w14:paraId="2A75669A" w14:textId="77777777" w:rsidR="00413A96" w:rsidRDefault="00413A96" w:rsidP="00413A96"/>
    <w:p w14:paraId="74EDF197" w14:textId="77777777" w:rsidR="00413A96" w:rsidRDefault="00413A96" w:rsidP="00413A96">
      <w:r>
        <w:t>3.129.143</w:t>
      </w:r>
    </w:p>
    <w:p w14:paraId="675A3147" w14:textId="77777777" w:rsidR="00413A96" w:rsidRDefault="00413A96" w:rsidP="00413A96">
      <w:r>
        <w:t>Impulsar</w:t>
      </w:r>
      <w:r>
        <w:tab/>
        <w:t>la competitividad</w:t>
      </w:r>
    </w:p>
    <w:p w14:paraId="0A2161B7" w14:textId="77777777" w:rsidR="00413A96" w:rsidRDefault="00413A96" w:rsidP="00413A96">
      <w:r>
        <w:t>rural</w:t>
      </w:r>
      <w:r>
        <w:tab/>
      </w:r>
    </w:p>
    <w:p w14:paraId="3DAE52B1" w14:textId="77777777" w:rsidR="00413A96" w:rsidRDefault="00413A96" w:rsidP="00413A96">
      <w:r>
        <w:t>5.165.195</w:t>
      </w:r>
      <w:r>
        <w:tab/>
      </w:r>
      <w:r>
        <w:tab/>
      </w:r>
    </w:p>
    <w:p w14:paraId="63A72664" w14:textId="77777777" w:rsidR="00413A96" w:rsidRDefault="00413A96" w:rsidP="00413A96">
      <w:r>
        <w:t>932.096</w:t>
      </w:r>
      <w:r>
        <w:tab/>
      </w:r>
    </w:p>
    <w:p w14:paraId="1E78BF38" w14:textId="77777777" w:rsidR="00413A96" w:rsidRDefault="00413A96" w:rsidP="00413A96">
      <w:r>
        <w:t>35.528.492</w:t>
      </w:r>
      <w:r>
        <w:tab/>
      </w:r>
    </w:p>
    <w:p w14:paraId="194C889C" w14:textId="77777777" w:rsidR="00413A96" w:rsidRDefault="00413A96" w:rsidP="00413A96">
      <w:r>
        <w:t>849.474</w:t>
      </w:r>
      <w:r>
        <w:tab/>
      </w:r>
    </w:p>
    <w:p w14:paraId="2821842B" w14:textId="77777777" w:rsidR="00413A96" w:rsidRDefault="00413A96" w:rsidP="00413A96">
      <w:r>
        <w:t>309.255</w:t>
      </w:r>
      <w:r>
        <w:tab/>
      </w:r>
    </w:p>
    <w:p w14:paraId="28D821A4" w14:textId="77777777" w:rsidR="00413A96" w:rsidRDefault="00413A96" w:rsidP="00413A96">
      <w:r>
        <w:t>42.784.512</w:t>
      </w:r>
    </w:p>
    <w:p w14:paraId="068F5704" w14:textId="77777777" w:rsidR="00413A96" w:rsidRDefault="00413A96" w:rsidP="00413A96">
      <w:r>
        <w:t>Fortalecimiento institucional</w:t>
      </w:r>
      <w:r>
        <w:tab/>
        <w:t>de la</w:t>
      </w:r>
      <w:r>
        <w:tab/>
        <w:t>presencia</w:t>
      </w:r>
    </w:p>
    <w:p w14:paraId="4409DE0A" w14:textId="77777777" w:rsidR="00413A96" w:rsidRDefault="00413A96" w:rsidP="00413A96">
      <w:r>
        <w:t>territorial</w:t>
      </w:r>
      <w:r>
        <w:tab/>
      </w:r>
    </w:p>
    <w:p w14:paraId="4997F834" w14:textId="77777777" w:rsidR="00413A96" w:rsidRDefault="00413A96" w:rsidP="00413A96">
      <w:r>
        <w:t>241.057</w:t>
      </w:r>
      <w:r>
        <w:tab/>
      </w:r>
      <w:r>
        <w:tab/>
      </w:r>
      <w:r>
        <w:tab/>
      </w:r>
      <w:r>
        <w:tab/>
      </w:r>
      <w:r>
        <w:tab/>
      </w:r>
      <w:r>
        <w:tab/>
      </w:r>
    </w:p>
    <w:p w14:paraId="6619C32C" w14:textId="77777777" w:rsidR="00413A96" w:rsidRDefault="00413A96" w:rsidP="00413A96">
      <w:r>
        <w:t>241.057</w:t>
      </w:r>
    </w:p>
    <w:p w14:paraId="0561587D" w14:textId="77777777" w:rsidR="00413A96" w:rsidRDefault="00413A96" w:rsidP="00413A96">
      <w:r>
        <w:t>Ordenamiento del territorio rural y acceso a la tierra</w:t>
      </w:r>
      <w:r>
        <w:tab/>
        <w:t>por</w:t>
      </w:r>
    </w:p>
    <w:p w14:paraId="028C5D4D" w14:textId="77777777" w:rsidR="00413A96" w:rsidRDefault="00413A96" w:rsidP="00413A96">
      <w:r>
        <w:t>pobladores</w:t>
      </w:r>
    </w:p>
    <w:p w14:paraId="5DE3F4B0" w14:textId="77777777" w:rsidR="00413A96" w:rsidRDefault="00413A96" w:rsidP="00413A96">
      <w:r>
        <w:t>rurales</w:t>
      </w:r>
      <w:r>
        <w:tab/>
      </w:r>
    </w:p>
    <w:p w14:paraId="0D2EFA1B" w14:textId="77777777" w:rsidR="00413A96" w:rsidRDefault="00413A96" w:rsidP="00413A96"/>
    <w:p w14:paraId="5E3D9315" w14:textId="77777777" w:rsidR="00413A96" w:rsidRDefault="00413A96" w:rsidP="00413A96">
      <w:r>
        <w:t>768.787</w:t>
      </w:r>
      <w:r>
        <w:tab/>
      </w:r>
      <w:r>
        <w:tab/>
      </w:r>
      <w:r>
        <w:tab/>
      </w:r>
      <w:r>
        <w:tab/>
      </w:r>
      <w:r>
        <w:tab/>
      </w:r>
    </w:p>
    <w:p w14:paraId="7B406C16" w14:textId="77777777" w:rsidR="00413A96" w:rsidRDefault="00413A96" w:rsidP="00413A96"/>
    <w:p w14:paraId="717F7190" w14:textId="77777777" w:rsidR="00413A96" w:rsidRDefault="00413A96" w:rsidP="00413A96">
      <w:r>
        <w:t>84.958</w:t>
      </w:r>
      <w:r>
        <w:tab/>
      </w:r>
    </w:p>
    <w:p w14:paraId="41349EF8" w14:textId="77777777" w:rsidR="00413A96" w:rsidRDefault="00413A96" w:rsidP="00413A96"/>
    <w:p w14:paraId="1AC35B19" w14:textId="77777777" w:rsidR="00413A96" w:rsidRDefault="00413A96" w:rsidP="00413A96">
      <w:r>
        <w:t>853.745</w:t>
      </w:r>
    </w:p>
    <w:p w14:paraId="538AA11A" w14:textId="77777777" w:rsidR="00413A96" w:rsidRDefault="00413A96" w:rsidP="00413A96">
      <w:r>
        <w:t>Cerrar</w:t>
      </w:r>
      <w:r>
        <w:tab/>
        <w:t>la</w:t>
      </w:r>
    </w:p>
    <w:p w14:paraId="0853462E" w14:textId="77777777" w:rsidR="00413A96" w:rsidRDefault="00413A96" w:rsidP="00413A96">
      <w:r>
        <w:t>brechas urbano­ rurales y sentar las bases para la movilidad social</w:t>
      </w:r>
      <w:r>
        <w:tab/>
      </w:r>
    </w:p>
    <w:p w14:paraId="7DB7FD1E" w14:textId="77777777" w:rsidR="00413A96" w:rsidRDefault="00413A96" w:rsidP="00413A96"/>
    <w:p w14:paraId="167660C3" w14:textId="77777777" w:rsidR="00413A96" w:rsidRDefault="00413A96" w:rsidP="00413A96">
      <w:r>
        <w:t>1.603.841</w:t>
      </w:r>
      <w:r>
        <w:tab/>
      </w:r>
      <w:r>
        <w:tab/>
      </w:r>
      <w:r>
        <w:tab/>
      </w:r>
      <w:r>
        <w:tab/>
      </w:r>
      <w:r>
        <w:tab/>
      </w:r>
    </w:p>
    <w:p w14:paraId="566ACBDD" w14:textId="77777777" w:rsidR="00413A96" w:rsidRDefault="00413A96" w:rsidP="00413A96"/>
    <w:p w14:paraId="5A1BD1DF" w14:textId="77777777" w:rsidR="00413A96" w:rsidRDefault="00413A96" w:rsidP="00413A96">
      <w:r>
        <w:t>659.276</w:t>
      </w:r>
      <w:r>
        <w:tab/>
      </w:r>
    </w:p>
    <w:p w14:paraId="784F4A20" w14:textId="77777777" w:rsidR="00413A96" w:rsidRDefault="00413A96" w:rsidP="00413A96"/>
    <w:p w14:paraId="14DB9FF8" w14:textId="77777777" w:rsidR="00413A96" w:rsidRDefault="00413A96" w:rsidP="00413A96">
      <w:r>
        <w:t>2.263.116</w:t>
      </w:r>
    </w:p>
    <w:p w14:paraId="4894A7C3" w14:textId="77777777" w:rsidR="00413A96" w:rsidRDefault="00413A96" w:rsidP="00413A96">
      <w:r>
        <w:t>Seguridad, justicia</w:t>
      </w:r>
      <w:r>
        <w:tab/>
      </w:r>
      <w:r>
        <w:tab/>
        <w:t>y democracia para</w:t>
      </w:r>
      <w:r>
        <w:tab/>
        <w:t>la</w:t>
      </w:r>
    </w:p>
    <w:p w14:paraId="09F4C64D" w14:textId="77777777" w:rsidR="00413A96" w:rsidRDefault="00413A96" w:rsidP="00413A96">
      <w:r>
        <w:t>construcción</w:t>
      </w:r>
    </w:p>
    <w:p w14:paraId="0E681F03" w14:textId="77777777" w:rsidR="00413A96" w:rsidRDefault="00413A96" w:rsidP="00413A96">
      <w:r>
        <w:t>de la paz</w:t>
      </w:r>
      <w:r>
        <w:tab/>
      </w:r>
    </w:p>
    <w:p w14:paraId="4B7A81EB" w14:textId="77777777" w:rsidR="00413A96" w:rsidRDefault="00413A96" w:rsidP="00413A96"/>
    <w:p w14:paraId="35D6E751" w14:textId="77777777" w:rsidR="00413A96" w:rsidRDefault="00413A96" w:rsidP="00413A96">
      <w:r>
        <w:t>129.599.961</w:t>
      </w:r>
      <w:r>
        <w:tab/>
      </w:r>
    </w:p>
    <w:p w14:paraId="1074EB31" w14:textId="77777777" w:rsidR="00413A96" w:rsidRDefault="00413A96" w:rsidP="00413A96"/>
    <w:p w14:paraId="706F6554" w14:textId="77777777" w:rsidR="00413A96" w:rsidRDefault="00413A96" w:rsidP="00413A96">
      <w:r>
        <w:t>151.442</w:t>
      </w:r>
      <w:r>
        <w:tab/>
      </w:r>
    </w:p>
    <w:p w14:paraId="7C8F3FFF" w14:textId="77777777" w:rsidR="00413A96" w:rsidRDefault="00413A96" w:rsidP="00413A96"/>
    <w:p w14:paraId="1E971CD7" w14:textId="77777777" w:rsidR="00413A96" w:rsidRDefault="00413A96" w:rsidP="00413A96">
      <w:r>
        <w:t>2.631.619</w:t>
      </w:r>
      <w:r>
        <w:tab/>
      </w:r>
    </w:p>
    <w:p w14:paraId="263A19AE" w14:textId="77777777" w:rsidR="00413A96" w:rsidRDefault="00413A96" w:rsidP="00413A96"/>
    <w:p w14:paraId="1DF7FD2F" w14:textId="77777777" w:rsidR="00413A96" w:rsidRDefault="00413A96" w:rsidP="00413A96">
      <w:r>
        <w:t>406.272</w:t>
      </w:r>
      <w:r>
        <w:tab/>
      </w:r>
    </w:p>
    <w:p w14:paraId="4DB8A6CD" w14:textId="77777777" w:rsidR="00413A96" w:rsidRDefault="00413A96" w:rsidP="00413A96"/>
    <w:p w14:paraId="3FE3DF30" w14:textId="77777777" w:rsidR="00413A96" w:rsidRDefault="00413A96" w:rsidP="00413A96">
      <w:r>
        <w:t>4.310.575</w:t>
      </w:r>
      <w:r>
        <w:tab/>
      </w:r>
    </w:p>
    <w:p w14:paraId="23F610AD" w14:textId="77777777" w:rsidR="00413A96" w:rsidRDefault="00413A96" w:rsidP="00413A96"/>
    <w:p w14:paraId="31EA8754" w14:textId="77777777" w:rsidR="00413A96" w:rsidRDefault="00413A96" w:rsidP="00413A96">
      <w:r>
        <w:t>316.666</w:t>
      </w:r>
      <w:r>
        <w:tab/>
      </w:r>
    </w:p>
    <w:p w14:paraId="0D566A20" w14:textId="77777777" w:rsidR="00413A96" w:rsidRDefault="00413A96" w:rsidP="00413A96"/>
    <w:p w14:paraId="4732017A" w14:textId="77777777" w:rsidR="00413A96" w:rsidRDefault="00413A96" w:rsidP="00413A96">
      <w:r>
        <w:t>137.416.535</w:t>
      </w:r>
    </w:p>
    <w:p w14:paraId="646F7378" w14:textId="77777777" w:rsidR="00413A96" w:rsidRDefault="00413A96" w:rsidP="00413A96">
      <w:r>
        <w:t>Prestación, administración y acceso</w:t>
      </w:r>
      <w:r>
        <w:tab/>
        <w:t>a</w:t>
      </w:r>
      <w:r>
        <w:tab/>
        <w:t>los servicios</w:t>
      </w:r>
      <w:r>
        <w:tab/>
      </w:r>
      <w:r>
        <w:tab/>
      </w:r>
      <w:r>
        <w:tab/>
        <w:t>de</w:t>
      </w:r>
    </w:p>
    <w:p w14:paraId="22ADADBE" w14:textId="77777777" w:rsidR="00413A96" w:rsidRDefault="00413A96" w:rsidP="00413A96">
      <w:r>
        <w:t>justicia</w:t>
      </w:r>
      <w:r>
        <w:tab/>
      </w:r>
    </w:p>
    <w:p w14:paraId="7BEF221E" w14:textId="77777777" w:rsidR="00413A96" w:rsidRDefault="00413A96" w:rsidP="00413A96"/>
    <w:p w14:paraId="1FFCDFC6" w14:textId="77777777" w:rsidR="00413A96" w:rsidRDefault="00413A96" w:rsidP="00413A96">
      <w:r>
        <w:t>24.035.974</w:t>
      </w:r>
      <w:r>
        <w:tab/>
      </w:r>
      <w:r>
        <w:tab/>
      </w:r>
    </w:p>
    <w:p w14:paraId="4321609B" w14:textId="77777777" w:rsidR="00413A96" w:rsidRDefault="00413A96" w:rsidP="00413A96"/>
    <w:p w14:paraId="7284048E" w14:textId="77777777" w:rsidR="00413A96" w:rsidRDefault="00413A96" w:rsidP="00413A96">
      <w:r>
        <w:t>1.765.913</w:t>
      </w:r>
      <w:r>
        <w:tab/>
      </w:r>
    </w:p>
    <w:p w14:paraId="4DAFAB27" w14:textId="77777777" w:rsidR="00413A96" w:rsidRDefault="00413A96" w:rsidP="00413A96"/>
    <w:p w14:paraId="6745E2D6" w14:textId="77777777" w:rsidR="00413A96" w:rsidRDefault="00413A96" w:rsidP="00413A96">
      <w:r>
        <w:t>406.272</w:t>
      </w:r>
      <w:r>
        <w:tab/>
      </w:r>
      <w:r>
        <w:tab/>
      </w:r>
    </w:p>
    <w:p w14:paraId="7F1C2C9E" w14:textId="77777777" w:rsidR="00413A96" w:rsidRDefault="00413A96" w:rsidP="00413A96"/>
    <w:p w14:paraId="76E8936B" w14:textId="77777777" w:rsidR="00413A96" w:rsidRDefault="00413A96" w:rsidP="00413A96">
      <w:r>
        <w:lastRenderedPageBreak/>
        <w:t>2.681</w:t>
      </w:r>
      <w:r>
        <w:tab/>
      </w:r>
    </w:p>
    <w:p w14:paraId="536C70F9" w14:textId="77777777" w:rsidR="00413A96" w:rsidRDefault="00413A96" w:rsidP="00413A96"/>
    <w:p w14:paraId="0236D91A" w14:textId="77777777" w:rsidR="00413A96" w:rsidRDefault="00413A96" w:rsidP="00413A96">
      <w:r>
        <w:t>26.210.839</w:t>
      </w:r>
    </w:p>
    <w:p w14:paraId="0D33695B" w14:textId="77777777" w:rsidR="00413A96" w:rsidRDefault="00413A96" w:rsidP="00413A96">
      <w:r>
        <w:t>Fortalecer los mecanismos de transición hacia</w:t>
      </w:r>
    </w:p>
    <w:p w14:paraId="085D704D" w14:textId="77777777" w:rsidR="00413A96" w:rsidRDefault="00413A96" w:rsidP="00413A96">
      <w:r>
        <w:t>la paz</w:t>
      </w:r>
      <w:r>
        <w:tab/>
      </w:r>
    </w:p>
    <w:p w14:paraId="03A9F2D6" w14:textId="77777777" w:rsidR="00413A96" w:rsidRDefault="00413A96" w:rsidP="00413A96">
      <w:r>
        <w:t>1.420.948</w:t>
      </w:r>
      <w:r>
        <w:tab/>
      </w:r>
      <w:r>
        <w:tab/>
      </w:r>
      <w:r>
        <w:tab/>
      </w:r>
      <w:r>
        <w:tab/>
      </w:r>
      <w:r>
        <w:tab/>
      </w:r>
    </w:p>
    <w:p w14:paraId="29D5C128" w14:textId="77777777" w:rsidR="00413A96" w:rsidRDefault="00413A96" w:rsidP="00413A96">
      <w:r>
        <w:t>14.857</w:t>
      </w:r>
      <w:r>
        <w:tab/>
      </w:r>
    </w:p>
    <w:p w14:paraId="085FDE10" w14:textId="77777777" w:rsidR="00413A96" w:rsidRDefault="00413A96" w:rsidP="00413A96">
      <w:r>
        <w:t>1.435.805</w:t>
      </w:r>
    </w:p>
    <w:p w14:paraId="60D6BB6E" w14:textId="77777777" w:rsidR="00413A96" w:rsidRDefault="00413A96" w:rsidP="00413A96">
      <w:r>
        <w:t>Garantía del goce efectivo de derechos de las</w:t>
      </w:r>
    </w:p>
    <w:p w14:paraId="28E14237" w14:textId="77777777" w:rsidR="00413A96" w:rsidRDefault="00413A96" w:rsidP="00413A96">
      <w:r>
        <w:t>víctimas</w:t>
      </w:r>
      <w:r>
        <w:tab/>
      </w:r>
    </w:p>
    <w:p w14:paraId="64B612A4" w14:textId="77777777" w:rsidR="00413A96" w:rsidRDefault="00413A96" w:rsidP="00413A96">
      <w:r>
        <w:t>7.734.691</w:t>
      </w:r>
      <w:r>
        <w:tab/>
      </w:r>
      <w:r>
        <w:tab/>
      </w:r>
    </w:p>
    <w:p w14:paraId="37F6158A" w14:textId="77777777" w:rsidR="00413A96" w:rsidRDefault="00413A96" w:rsidP="00413A96">
      <w:r>
        <w:t>143.308</w:t>
      </w:r>
      <w:r>
        <w:tab/>
      </w:r>
      <w:r>
        <w:tab/>
      </w:r>
    </w:p>
    <w:p w14:paraId="76A5218D" w14:textId="77777777" w:rsidR="00413A96" w:rsidRDefault="00413A96" w:rsidP="00413A96">
      <w:r>
        <w:t>587.353</w:t>
      </w:r>
      <w:r>
        <w:tab/>
      </w:r>
    </w:p>
    <w:p w14:paraId="380516EF" w14:textId="77777777" w:rsidR="00413A96" w:rsidRDefault="00413A96" w:rsidP="00413A96">
      <w:r>
        <w:t>39.472</w:t>
      </w:r>
      <w:r>
        <w:tab/>
      </w:r>
    </w:p>
    <w:p w14:paraId="364D9A47" w14:textId="77777777" w:rsidR="00413A96" w:rsidRDefault="00413A96" w:rsidP="00413A96">
      <w:r>
        <w:t>8.504.824</w:t>
      </w:r>
    </w:p>
    <w:p w14:paraId="5A246C42" w14:textId="77777777" w:rsidR="00413A96" w:rsidRDefault="00413A96" w:rsidP="00413A96">
      <w:r>
        <w:t>Promoción, respeto</w:t>
      </w:r>
      <w:r>
        <w:tab/>
        <w:t>y</w:t>
      </w:r>
    </w:p>
    <w:p w14:paraId="425A1158" w14:textId="77777777" w:rsidR="00413A96" w:rsidRDefault="00413A96" w:rsidP="00413A96">
      <w:r>
        <w:t>protección</w:t>
      </w:r>
      <w:r>
        <w:tab/>
        <w:t>de Derechos</w:t>
      </w:r>
    </w:p>
    <w:p w14:paraId="14582FFE" w14:textId="77777777" w:rsidR="00413A96" w:rsidRDefault="00413A96" w:rsidP="00413A96">
      <w:r>
        <w:t>Humanos</w:t>
      </w:r>
      <w:r>
        <w:tab/>
      </w:r>
    </w:p>
    <w:p w14:paraId="1635E0A5" w14:textId="77777777" w:rsidR="00413A96" w:rsidRDefault="00413A96" w:rsidP="00413A96"/>
    <w:p w14:paraId="2BF7C45A" w14:textId="77777777" w:rsidR="00413A96" w:rsidRDefault="00413A96" w:rsidP="00413A96">
      <w:r>
        <w:t>1.217.113</w:t>
      </w:r>
      <w:r>
        <w:tab/>
      </w:r>
      <w:r>
        <w:tab/>
      </w:r>
    </w:p>
    <w:p w14:paraId="5B348331" w14:textId="77777777" w:rsidR="00413A96" w:rsidRDefault="00413A96" w:rsidP="00413A96"/>
    <w:p w14:paraId="0899C81E" w14:textId="77777777" w:rsidR="00413A96" w:rsidRDefault="00413A96" w:rsidP="00413A96">
      <w:r>
        <w:t>103</w:t>
      </w:r>
      <w:r>
        <w:tab/>
      </w:r>
      <w:r>
        <w:tab/>
      </w:r>
    </w:p>
    <w:p w14:paraId="0E9EEE29" w14:textId="77777777" w:rsidR="00413A96" w:rsidRDefault="00413A96" w:rsidP="00413A96"/>
    <w:p w14:paraId="02234469" w14:textId="77777777" w:rsidR="00413A96" w:rsidRDefault="00413A96" w:rsidP="00413A96">
      <w:r>
        <w:t>1.742</w:t>
      </w:r>
      <w:r>
        <w:tab/>
      </w:r>
    </w:p>
    <w:p w14:paraId="1E041563" w14:textId="77777777" w:rsidR="00413A96" w:rsidRDefault="00413A96" w:rsidP="00413A96"/>
    <w:p w14:paraId="1DB53503" w14:textId="77777777" w:rsidR="00413A96" w:rsidRDefault="00413A96" w:rsidP="00413A96">
      <w:r>
        <w:t>211</w:t>
      </w:r>
      <w:r>
        <w:tab/>
      </w:r>
    </w:p>
    <w:p w14:paraId="4BBF677E" w14:textId="77777777" w:rsidR="00413A96" w:rsidRDefault="00413A96" w:rsidP="00413A96"/>
    <w:p w14:paraId="08F2177B" w14:textId="77777777" w:rsidR="00413A96" w:rsidRDefault="00413A96" w:rsidP="00413A96">
      <w:r>
        <w:t>1.219.170</w:t>
      </w:r>
    </w:p>
    <w:p w14:paraId="4A7B80D5" w14:textId="77777777" w:rsidR="00413A96" w:rsidRDefault="00413A96" w:rsidP="00413A96">
      <w:r>
        <w:t>Seguridad</w:t>
      </w:r>
      <w:r>
        <w:tab/>
        <w:t>y Defensa en el territorio nacional</w:t>
      </w:r>
      <w:r>
        <w:tab/>
      </w:r>
    </w:p>
    <w:p w14:paraId="7F0A393A" w14:textId="77777777" w:rsidR="00413A96" w:rsidRDefault="00413A96" w:rsidP="00413A96"/>
    <w:p w14:paraId="46425BB5" w14:textId="77777777" w:rsidR="00413A96" w:rsidRDefault="00413A96" w:rsidP="00413A96">
      <w:r>
        <w:t>91.226.355</w:t>
      </w:r>
      <w:r>
        <w:tab/>
      </w:r>
    </w:p>
    <w:p w14:paraId="7AC50F7C" w14:textId="77777777" w:rsidR="00413A96" w:rsidRDefault="00413A96" w:rsidP="00413A96"/>
    <w:p w14:paraId="74EFF4FD" w14:textId="77777777" w:rsidR="00413A96" w:rsidRDefault="00413A96" w:rsidP="00413A96">
      <w:r>
        <w:t>151.442</w:t>
      </w:r>
      <w:r>
        <w:tab/>
      </w:r>
    </w:p>
    <w:p w14:paraId="3496924F" w14:textId="77777777" w:rsidR="00413A96" w:rsidRDefault="00413A96" w:rsidP="00413A96"/>
    <w:p w14:paraId="0F77B90B" w14:textId="77777777" w:rsidR="00413A96" w:rsidRDefault="00413A96" w:rsidP="00413A96">
      <w:r>
        <w:t>126.543</w:t>
      </w:r>
      <w:r>
        <w:tab/>
      </w:r>
      <w:r>
        <w:tab/>
      </w:r>
    </w:p>
    <w:p w14:paraId="7F029463" w14:textId="77777777" w:rsidR="00413A96" w:rsidRDefault="00413A96" w:rsidP="00413A96"/>
    <w:p w14:paraId="21039F6A" w14:textId="77777777" w:rsidR="00413A96" w:rsidRDefault="00413A96" w:rsidP="00413A96">
      <w:r>
        <w:t>2.131.989</w:t>
      </w:r>
      <w:r>
        <w:tab/>
      </w:r>
    </w:p>
    <w:p w14:paraId="23076C51" w14:textId="77777777" w:rsidR="00413A96" w:rsidRDefault="00413A96" w:rsidP="00413A96"/>
    <w:p w14:paraId="6ED32BDA" w14:textId="77777777" w:rsidR="00413A96" w:rsidRDefault="00413A96" w:rsidP="00413A96">
      <w:r>
        <w:t>100.720</w:t>
      </w:r>
      <w:r>
        <w:tab/>
      </w:r>
    </w:p>
    <w:p w14:paraId="36462E86" w14:textId="77777777" w:rsidR="00413A96" w:rsidRDefault="00413A96" w:rsidP="00413A96"/>
    <w:p w14:paraId="3D73ACE9" w14:textId="77777777" w:rsidR="00413A96" w:rsidRDefault="00413A96" w:rsidP="00413A96">
      <w:r>
        <w:t>93.737.048</w:t>
      </w:r>
    </w:p>
    <w:p w14:paraId="19BD4582" w14:textId="77777777" w:rsidR="00413A96" w:rsidRDefault="00413A96" w:rsidP="00413A96">
      <w:r>
        <w:t xml:space="preserve"> </w:t>
      </w:r>
    </w:p>
    <w:p w14:paraId="0D203E0F" w14:textId="77777777" w:rsidR="00413A96" w:rsidRDefault="00413A96" w:rsidP="00413A96"/>
    <w:p w14:paraId="28F970E9" w14:textId="77777777" w:rsidR="00413A96" w:rsidRDefault="00413A96" w:rsidP="00413A96">
      <w:r>
        <w:tab/>
      </w:r>
      <w:r>
        <w:tab/>
      </w:r>
      <w:r>
        <w:tab/>
      </w:r>
      <w:r>
        <w:tab/>
      </w:r>
      <w:r>
        <w:tab/>
      </w:r>
      <w:r>
        <w:tab/>
      </w:r>
      <w:r>
        <w:tab/>
      </w:r>
    </w:p>
    <w:p w14:paraId="046D5B9C" w14:textId="77777777" w:rsidR="00413A96" w:rsidRDefault="00413A96" w:rsidP="00413A96">
      <w:r>
        <w:t>Enfrentar</w:t>
      </w:r>
      <w:r>
        <w:tab/>
        <w:t>el problema de las</w:t>
      </w:r>
    </w:p>
    <w:p w14:paraId="726035A7" w14:textId="77777777" w:rsidR="00413A96" w:rsidRDefault="00413A96" w:rsidP="00413A96">
      <w:r>
        <w:t>drogas</w:t>
      </w:r>
      <w:r>
        <w:tab/>
      </w:r>
    </w:p>
    <w:p w14:paraId="6FF73A88" w14:textId="77777777" w:rsidR="00413A96" w:rsidRDefault="00413A96" w:rsidP="00413A96">
      <w:r>
        <w:t>365.443</w:t>
      </w:r>
      <w:r>
        <w:tab/>
      </w:r>
      <w:r>
        <w:tab/>
      </w:r>
      <w:r>
        <w:tab/>
      </w:r>
      <w:r>
        <w:tab/>
      </w:r>
      <w:r>
        <w:tab/>
      </w:r>
    </w:p>
    <w:p w14:paraId="7A8D5EC6" w14:textId="77777777" w:rsidR="00413A96" w:rsidRDefault="00413A96" w:rsidP="00413A96">
      <w:r>
        <w:t>30.560</w:t>
      </w:r>
      <w:r>
        <w:tab/>
      </w:r>
    </w:p>
    <w:p w14:paraId="1C79DD60" w14:textId="77777777" w:rsidR="00413A96" w:rsidRDefault="00413A96" w:rsidP="00413A96">
      <w:r>
        <w:t>396.00</w:t>
      </w:r>
    </w:p>
    <w:p w14:paraId="0A2E60B4" w14:textId="77777777" w:rsidR="00413A96" w:rsidRDefault="00413A96" w:rsidP="00413A96">
      <w:r>
        <w:t>Política Criminal con</w:t>
      </w:r>
      <w:r>
        <w:tab/>
        <w:t>enfoque</w:t>
      </w:r>
    </w:p>
    <w:p w14:paraId="30408F0A" w14:textId="77777777" w:rsidR="00413A96" w:rsidRDefault="00413A96" w:rsidP="00413A96">
      <w:r>
        <w:t>restaurativo</w:t>
      </w:r>
      <w:r>
        <w:tab/>
      </w:r>
    </w:p>
    <w:p w14:paraId="37BC4E92" w14:textId="77777777" w:rsidR="00413A96" w:rsidRDefault="00413A96" w:rsidP="00413A96">
      <w:r>
        <w:t>3.581.128</w:t>
      </w:r>
      <w:r>
        <w:tab/>
      </w:r>
      <w:r>
        <w:tab/>
      </w:r>
    </w:p>
    <w:p w14:paraId="4E1F0C02" w14:textId="77777777" w:rsidR="00413A96" w:rsidRDefault="00413A96" w:rsidP="00413A96">
      <w:r>
        <w:t>595.752</w:t>
      </w:r>
      <w:r>
        <w:tab/>
      </w:r>
      <w:r>
        <w:tab/>
      </w:r>
    </w:p>
    <w:p w14:paraId="181C81D2" w14:textId="77777777" w:rsidR="00413A96" w:rsidRDefault="00413A96" w:rsidP="00413A96">
      <w:r>
        <w:t>1.589.491</w:t>
      </w:r>
      <w:r>
        <w:tab/>
      </w:r>
    </w:p>
    <w:p w14:paraId="18AD07A5" w14:textId="77777777" w:rsidR="00413A96" w:rsidRDefault="00413A96" w:rsidP="00413A96">
      <w:r>
        <w:t>128.164</w:t>
      </w:r>
      <w:r>
        <w:tab/>
      </w:r>
    </w:p>
    <w:p w14:paraId="410AFAD1" w14:textId="77777777" w:rsidR="00413A96" w:rsidRDefault="00413A96" w:rsidP="00413A96">
      <w:r>
        <w:t>5.894.535</w:t>
      </w:r>
    </w:p>
    <w:p w14:paraId="5D44EE67" w14:textId="77777777" w:rsidR="00413A96" w:rsidRDefault="00413A96" w:rsidP="00413A96">
      <w:r>
        <w:t>Acción</w:t>
      </w:r>
      <w:r>
        <w:tab/>
        <w:t>Integral</w:t>
      </w:r>
    </w:p>
    <w:p w14:paraId="387AD463" w14:textId="77777777" w:rsidR="00413A96" w:rsidRDefault="00413A96" w:rsidP="00413A96">
      <w:r>
        <w:t>contra</w:t>
      </w:r>
      <w:r>
        <w:tab/>
        <w:t>Minas Antipersonal</w:t>
      </w:r>
      <w:r>
        <w:tab/>
      </w:r>
    </w:p>
    <w:p w14:paraId="5B32B42D" w14:textId="77777777" w:rsidR="00413A96" w:rsidRDefault="00413A96" w:rsidP="00413A96">
      <w:r>
        <w:lastRenderedPageBreak/>
        <w:t>18.310</w:t>
      </w:r>
      <w:r>
        <w:tab/>
      </w:r>
      <w:r>
        <w:tab/>
      </w:r>
      <w:r>
        <w:tab/>
      </w:r>
      <w:r>
        <w:tab/>
      </w:r>
      <w:r>
        <w:tab/>
      </w:r>
      <w:r>
        <w:tab/>
        <w:t>18.310</w:t>
      </w:r>
    </w:p>
    <w:p w14:paraId="433716DC" w14:textId="77777777" w:rsidR="00413A96" w:rsidRDefault="00413A96" w:rsidP="00413A96">
      <w:r>
        <w:t>Buen gobierno</w:t>
      </w:r>
      <w:r>
        <w:tab/>
        <w:t>7.638.749</w:t>
      </w:r>
      <w:r>
        <w:tab/>
        <w:t>190.817</w:t>
      </w:r>
      <w:r>
        <w:tab/>
      </w:r>
      <w:r>
        <w:tab/>
        <w:t>203.136</w:t>
      </w:r>
      <w:r>
        <w:tab/>
      </w:r>
      <w:r>
        <w:tab/>
        <w:t>197.926</w:t>
      </w:r>
      <w:r>
        <w:tab/>
        <w:t>8.230.629</w:t>
      </w:r>
    </w:p>
    <w:p w14:paraId="3374E112" w14:textId="77777777" w:rsidR="00413A96" w:rsidRDefault="00413A96" w:rsidP="00413A96">
      <w:r>
        <w:t>Lucha contra la corrupción, transparencia y rendición</w:t>
      </w:r>
      <w:r>
        <w:tab/>
        <w:t>de cuentas.</w:t>
      </w:r>
      <w:r>
        <w:tab/>
      </w:r>
    </w:p>
    <w:p w14:paraId="25EB3FA4" w14:textId="77777777" w:rsidR="00413A96" w:rsidRDefault="00413A96" w:rsidP="00413A96"/>
    <w:p w14:paraId="4CF530B9" w14:textId="77777777" w:rsidR="00413A96" w:rsidRDefault="00413A96" w:rsidP="00413A96">
      <w:r>
        <w:t>1.394.390</w:t>
      </w:r>
      <w:r>
        <w:tab/>
      </w:r>
      <w:r>
        <w:tab/>
      </w:r>
      <w:r>
        <w:tab/>
      </w:r>
      <w:r>
        <w:tab/>
      </w:r>
      <w:r>
        <w:tab/>
      </w:r>
    </w:p>
    <w:p w14:paraId="755B013F" w14:textId="77777777" w:rsidR="00413A96" w:rsidRDefault="00413A96" w:rsidP="00413A96"/>
    <w:p w14:paraId="3F4BB823" w14:textId="77777777" w:rsidR="00413A96" w:rsidRDefault="00413A96" w:rsidP="00413A96">
      <w:r>
        <w:t>127.720</w:t>
      </w:r>
      <w:r>
        <w:tab/>
      </w:r>
    </w:p>
    <w:p w14:paraId="56E3E012" w14:textId="77777777" w:rsidR="00413A96" w:rsidRDefault="00413A96" w:rsidP="00413A96"/>
    <w:p w14:paraId="7F17E5B5" w14:textId="77777777" w:rsidR="00413A96" w:rsidRDefault="00413A96" w:rsidP="00413A96">
      <w:r>
        <w:t>1.522.110</w:t>
      </w:r>
    </w:p>
    <w:p w14:paraId="52D4426B" w14:textId="77777777" w:rsidR="00413A96" w:rsidRDefault="00413A96" w:rsidP="00413A96">
      <w:r>
        <w:t>Gestión óptima de</w:t>
      </w:r>
      <w:r>
        <w:tab/>
        <w:t>la</w:t>
      </w:r>
    </w:p>
    <w:p w14:paraId="3404F1D7" w14:textId="77777777" w:rsidR="00413A96" w:rsidRDefault="00413A96" w:rsidP="00413A96">
      <w:r>
        <w:t>información</w:t>
      </w:r>
      <w:r>
        <w:tab/>
      </w:r>
    </w:p>
    <w:p w14:paraId="3CBE9F52" w14:textId="77777777" w:rsidR="00413A96" w:rsidRDefault="00413A96" w:rsidP="00413A96">
      <w:r>
        <w:t>1.650.849</w:t>
      </w:r>
      <w:r>
        <w:tab/>
      </w:r>
    </w:p>
    <w:p w14:paraId="77F2DAF0" w14:textId="77777777" w:rsidR="00413A96" w:rsidRDefault="00413A96" w:rsidP="00413A96">
      <w:r>
        <w:t>21.466</w:t>
      </w:r>
      <w:r>
        <w:tab/>
      </w:r>
      <w:r>
        <w:tab/>
      </w:r>
      <w:r>
        <w:tab/>
      </w:r>
      <w:r>
        <w:tab/>
      </w:r>
    </w:p>
    <w:p w14:paraId="3AC61456" w14:textId="77777777" w:rsidR="00413A96" w:rsidRDefault="00413A96" w:rsidP="00413A96">
      <w:r>
        <w:t>5.098</w:t>
      </w:r>
      <w:r>
        <w:tab/>
      </w:r>
    </w:p>
    <w:p w14:paraId="5C06F77D" w14:textId="77777777" w:rsidR="00413A96" w:rsidRDefault="00413A96" w:rsidP="00413A96">
      <w:r>
        <w:t>1.677.414</w:t>
      </w:r>
    </w:p>
    <w:p w14:paraId="125164DC" w14:textId="77777777" w:rsidR="00413A96" w:rsidRDefault="00413A96" w:rsidP="00413A96">
      <w:r>
        <w:t>Eficiencia</w:t>
      </w:r>
      <w:r>
        <w:tab/>
        <w:t>y eficacia</w:t>
      </w:r>
    </w:p>
    <w:p w14:paraId="5796F55B" w14:textId="77777777" w:rsidR="00413A96" w:rsidRDefault="00413A96" w:rsidP="00413A96">
      <w:r>
        <w:t>administrativa</w:t>
      </w:r>
      <w:r>
        <w:tab/>
        <w:t>2.455.860</w:t>
      </w:r>
      <w:r>
        <w:tab/>
      </w:r>
    </w:p>
    <w:p w14:paraId="554F8F0E" w14:textId="77777777" w:rsidR="00413A96" w:rsidRDefault="00413A96" w:rsidP="00413A96">
      <w:r>
        <w:t>169.351</w:t>
      </w:r>
      <w:r>
        <w:tab/>
      </w:r>
      <w:r>
        <w:tab/>
      </w:r>
    </w:p>
    <w:p w14:paraId="682FF49C" w14:textId="77777777" w:rsidR="00413A96" w:rsidRDefault="00413A96" w:rsidP="00413A96">
      <w:r>
        <w:t>203.136</w:t>
      </w:r>
      <w:r>
        <w:tab/>
      </w:r>
      <w:r>
        <w:tab/>
      </w:r>
      <w:r>
        <w:tab/>
      </w:r>
    </w:p>
    <w:p w14:paraId="12C7ED6D" w14:textId="77777777" w:rsidR="00413A96" w:rsidRDefault="00413A96" w:rsidP="00413A96">
      <w:r>
        <w:t>2.828.347</w:t>
      </w:r>
    </w:p>
    <w:p w14:paraId="1AEC1F87" w14:textId="77777777" w:rsidR="00413A96" w:rsidRDefault="00413A96" w:rsidP="00413A96">
      <w:r>
        <w:t>Articulación Nación territorio fortalecida</w:t>
      </w:r>
      <w:r>
        <w:tab/>
      </w:r>
    </w:p>
    <w:p w14:paraId="6F8248F8" w14:textId="77777777" w:rsidR="00413A96" w:rsidRDefault="00413A96" w:rsidP="00413A96">
      <w:r>
        <w:t>1.665.109</w:t>
      </w:r>
      <w:r>
        <w:tab/>
      </w:r>
      <w:r>
        <w:tab/>
      </w:r>
      <w:r>
        <w:tab/>
      </w:r>
      <w:r>
        <w:tab/>
      </w:r>
      <w:r>
        <w:tab/>
      </w:r>
    </w:p>
    <w:p w14:paraId="74364482" w14:textId="77777777" w:rsidR="00413A96" w:rsidRDefault="00413A96" w:rsidP="00413A96">
      <w:r>
        <w:t>27.732</w:t>
      </w:r>
      <w:r>
        <w:tab/>
      </w:r>
    </w:p>
    <w:p w14:paraId="60EF1727" w14:textId="77777777" w:rsidR="00413A96" w:rsidRDefault="00413A96" w:rsidP="00413A96">
      <w:r>
        <w:t>1.692.841</w:t>
      </w:r>
    </w:p>
    <w:p w14:paraId="4F580A9C" w14:textId="77777777" w:rsidR="00413A96" w:rsidRDefault="00413A96" w:rsidP="00413A96">
      <w:r>
        <w:t>Promover</w:t>
      </w:r>
      <w:r>
        <w:tab/>
        <w:t>y</w:t>
      </w:r>
    </w:p>
    <w:p w14:paraId="7F9BDB89" w14:textId="77777777" w:rsidR="00413A96" w:rsidRDefault="00413A96" w:rsidP="00413A96">
      <w:r>
        <w:t>asegurar</w:t>
      </w:r>
      <w:r>
        <w:tab/>
        <w:t>los intereses nacionales</w:t>
      </w:r>
      <w:r>
        <w:tab/>
      </w:r>
    </w:p>
    <w:p w14:paraId="194200F2" w14:textId="77777777" w:rsidR="00413A96" w:rsidRDefault="00413A96" w:rsidP="00413A96">
      <w:r>
        <w:t>374.459</w:t>
      </w:r>
      <w:r>
        <w:tab/>
      </w:r>
      <w:r>
        <w:tab/>
      </w:r>
      <w:r>
        <w:tab/>
      </w:r>
      <w:r>
        <w:tab/>
      </w:r>
      <w:r>
        <w:tab/>
      </w:r>
    </w:p>
    <w:p w14:paraId="142B063B" w14:textId="77777777" w:rsidR="00413A96" w:rsidRDefault="00413A96" w:rsidP="00413A96"/>
    <w:p w14:paraId="519AAF65" w14:textId="77777777" w:rsidR="00413A96" w:rsidRDefault="00413A96" w:rsidP="00413A96">
      <w:r>
        <w:t>1.155</w:t>
      </w:r>
      <w:r>
        <w:tab/>
      </w:r>
    </w:p>
    <w:p w14:paraId="364784BE" w14:textId="77777777" w:rsidR="00413A96" w:rsidRDefault="00413A96" w:rsidP="00413A96"/>
    <w:p w14:paraId="70BC38B3" w14:textId="77777777" w:rsidR="00413A96" w:rsidRDefault="00413A96" w:rsidP="00413A96">
      <w:r>
        <w:t>375.614</w:t>
      </w:r>
    </w:p>
    <w:p w14:paraId="7FD81665" w14:textId="77777777" w:rsidR="00413A96" w:rsidRDefault="00413A96" w:rsidP="00413A96">
      <w:r>
        <w:t>Gestión óptima de la gestión de los   recursos</w:t>
      </w:r>
    </w:p>
    <w:p w14:paraId="1FE02C23" w14:textId="77777777" w:rsidR="00413A96" w:rsidRDefault="00413A96" w:rsidP="00413A96">
      <w:r>
        <w:t>públicos</w:t>
      </w:r>
      <w:r>
        <w:tab/>
      </w:r>
    </w:p>
    <w:p w14:paraId="7609EF89" w14:textId="77777777" w:rsidR="00413A96" w:rsidRDefault="00413A96" w:rsidP="00413A96">
      <w:r>
        <w:t>93.751</w:t>
      </w:r>
      <w:r>
        <w:tab/>
      </w:r>
      <w:r>
        <w:tab/>
      </w:r>
      <w:r>
        <w:tab/>
      </w:r>
      <w:r>
        <w:tab/>
      </w:r>
      <w:r>
        <w:tab/>
      </w:r>
    </w:p>
    <w:p w14:paraId="76375D24" w14:textId="77777777" w:rsidR="00413A96" w:rsidRDefault="00413A96" w:rsidP="00413A96">
      <w:r>
        <w:t>36.220</w:t>
      </w:r>
      <w:r>
        <w:tab/>
      </w:r>
    </w:p>
    <w:p w14:paraId="44FD3061" w14:textId="77777777" w:rsidR="00413A96" w:rsidRDefault="00413A96" w:rsidP="00413A96">
      <w:r>
        <w:t>129.971</w:t>
      </w:r>
    </w:p>
    <w:p w14:paraId="4035CE48" w14:textId="77777777" w:rsidR="00413A96" w:rsidRDefault="00413A96" w:rsidP="00413A96">
      <w:r>
        <w:t>Fortalecimiento del</w:t>
      </w:r>
      <w:r>
        <w:tab/>
        <w:t>sector</w:t>
      </w:r>
    </w:p>
    <w:p w14:paraId="6B378036" w14:textId="77777777" w:rsidR="00413A96" w:rsidRDefault="00413A96" w:rsidP="00413A96">
      <w:r>
        <w:t>Hacienda</w:t>
      </w:r>
      <w:r>
        <w:tab/>
      </w:r>
    </w:p>
    <w:p w14:paraId="4B3E9293" w14:textId="77777777" w:rsidR="00413A96" w:rsidRDefault="00413A96" w:rsidP="00413A96">
      <w:r>
        <w:t>4.332</w:t>
      </w:r>
      <w:r>
        <w:tab/>
      </w:r>
      <w:r>
        <w:tab/>
      </w:r>
      <w:r>
        <w:tab/>
      </w:r>
      <w:r>
        <w:tab/>
      </w:r>
      <w:r>
        <w:tab/>
      </w:r>
      <w:r>
        <w:tab/>
        <w:t>4.332</w:t>
      </w:r>
    </w:p>
    <w:p w14:paraId="3A89EE17" w14:textId="77777777" w:rsidR="00413A96" w:rsidRDefault="00413A96" w:rsidP="00413A96">
      <w:r>
        <w:t>Crecimiento</w:t>
      </w:r>
    </w:p>
    <w:p w14:paraId="587FB648" w14:textId="77777777" w:rsidR="00413A96" w:rsidRDefault="00413A96" w:rsidP="00413A96">
      <w:r>
        <w:t>verde</w:t>
      </w:r>
      <w:r>
        <w:tab/>
        <w:t>4.371.652</w:t>
      </w:r>
      <w:r>
        <w:tab/>
      </w:r>
      <w:r>
        <w:tab/>
        <w:t>1.414.565</w:t>
      </w:r>
      <w:r>
        <w:tab/>
      </w:r>
      <w:r>
        <w:tab/>
        <w:t>2.895.407</w:t>
      </w:r>
      <w:r>
        <w:tab/>
        <w:t>849.352</w:t>
      </w:r>
      <w:r>
        <w:tab/>
        <w:t>9.530.975</w:t>
      </w:r>
    </w:p>
    <w:p w14:paraId="3680BE66" w14:textId="77777777" w:rsidR="00413A96" w:rsidRDefault="00413A96" w:rsidP="00413A96">
      <w:r>
        <w:t>Avanzar hacia un crecimiento sostenible y bajo</w:t>
      </w:r>
    </w:p>
    <w:p w14:paraId="04152B85" w14:textId="77777777" w:rsidR="00413A96" w:rsidRDefault="00413A96" w:rsidP="00413A96">
      <w:r>
        <w:t>en carbono</w:t>
      </w:r>
      <w:r>
        <w:tab/>
      </w:r>
    </w:p>
    <w:p w14:paraId="3B334656" w14:textId="77777777" w:rsidR="00413A96" w:rsidRDefault="00413A96" w:rsidP="00413A96">
      <w:r>
        <w:t>4.341</w:t>
      </w:r>
      <w:r>
        <w:tab/>
      </w:r>
      <w:r>
        <w:tab/>
      </w:r>
    </w:p>
    <w:p w14:paraId="391E33D9" w14:textId="77777777" w:rsidR="00413A96" w:rsidRDefault="00413A96" w:rsidP="00413A96">
      <w:r>
        <w:t>498.385</w:t>
      </w:r>
      <w:r>
        <w:tab/>
      </w:r>
      <w:r>
        <w:tab/>
      </w:r>
    </w:p>
    <w:p w14:paraId="56B7E72B" w14:textId="77777777" w:rsidR="00413A96" w:rsidRDefault="00413A96" w:rsidP="00413A96">
      <w:r>
        <w:t>162.546</w:t>
      </w:r>
      <w:r>
        <w:tab/>
      </w:r>
    </w:p>
    <w:p w14:paraId="682C4691" w14:textId="77777777" w:rsidR="00413A96" w:rsidRDefault="00413A96" w:rsidP="00413A96">
      <w:r>
        <w:t>22.183</w:t>
      </w:r>
      <w:r>
        <w:tab/>
      </w:r>
    </w:p>
    <w:p w14:paraId="059C22BD" w14:textId="77777777" w:rsidR="00413A96" w:rsidRDefault="00413A96" w:rsidP="00413A96">
      <w:r>
        <w:t>687.454</w:t>
      </w:r>
    </w:p>
    <w:p w14:paraId="51ED5C04" w14:textId="77777777" w:rsidR="00413A96" w:rsidRDefault="00413A96" w:rsidP="00413A96">
      <w:r>
        <w:t>Lograr</w:t>
      </w:r>
      <w:r>
        <w:tab/>
        <w:t>un crecimiento resiliente</w:t>
      </w:r>
      <w:r>
        <w:tab/>
      </w:r>
      <w:r>
        <w:tab/>
        <w:t>y</w:t>
      </w:r>
    </w:p>
    <w:p w14:paraId="19EFD781" w14:textId="77777777" w:rsidR="00413A96" w:rsidRDefault="00413A96" w:rsidP="00413A96">
      <w:r>
        <w:t>reducir</w:t>
      </w:r>
      <w:r>
        <w:tab/>
      </w:r>
      <w:r>
        <w:tab/>
      </w:r>
      <w:r>
        <w:tab/>
        <w:t>la vulnerabilidad frente</w:t>
      </w:r>
      <w:r>
        <w:tab/>
        <w:t>a</w:t>
      </w:r>
      <w:r>
        <w:tab/>
        <w:t>los</w:t>
      </w:r>
    </w:p>
    <w:p w14:paraId="212B1F5F" w14:textId="77777777" w:rsidR="00413A96" w:rsidRDefault="00413A96" w:rsidP="00413A96">
      <w:r>
        <w:t>riesgos</w:t>
      </w:r>
      <w:r>
        <w:tab/>
        <w:t>de desastres  y  al</w:t>
      </w:r>
      <w:r>
        <w:tab/>
      </w:r>
    </w:p>
    <w:p w14:paraId="0E5F3923" w14:textId="77777777" w:rsidR="00413A96" w:rsidRDefault="00413A96" w:rsidP="00413A96"/>
    <w:p w14:paraId="761F9AF9" w14:textId="77777777" w:rsidR="00413A96" w:rsidRDefault="00413A96" w:rsidP="00413A96"/>
    <w:p w14:paraId="3589498E" w14:textId="77777777" w:rsidR="00413A96" w:rsidRDefault="00413A96" w:rsidP="00413A96"/>
    <w:p w14:paraId="6ED7933E" w14:textId="77777777" w:rsidR="00413A96" w:rsidRDefault="00413A96" w:rsidP="00413A96"/>
    <w:p w14:paraId="5F389660" w14:textId="77777777" w:rsidR="00413A96" w:rsidRDefault="00413A96" w:rsidP="00413A96">
      <w:r>
        <w:t>3.490.938</w:t>
      </w:r>
      <w:r>
        <w:tab/>
      </w:r>
      <w:r>
        <w:tab/>
      </w:r>
    </w:p>
    <w:p w14:paraId="18EDCD99" w14:textId="77777777" w:rsidR="00413A96" w:rsidRDefault="00413A96" w:rsidP="00413A96"/>
    <w:p w14:paraId="75F52F8F" w14:textId="77777777" w:rsidR="00413A96" w:rsidRDefault="00413A96" w:rsidP="00413A96"/>
    <w:p w14:paraId="5A2E7E01" w14:textId="77777777" w:rsidR="00413A96" w:rsidRDefault="00413A96" w:rsidP="00413A96"/>
    <w:p w14:paraId="44A4CC59" w14:textId="77777777" w:rsidR="00413A96" w:rsidRDefault="00413A96" w:rsidP="00413A96">
      <w:r>
        <w:t>755</w:t>
      </w:r>
      <w:r>
        <w:tab/>
      </w:r>
      <w:r>
        <w:tab/>
      </w:r>
    </w:p>
    <w:p w14:paraId="01403FF6" w14:textId="77777777" w:rsidR="00413A96" w:rsidRDefault="00413A96" w:rsidP="00413A96"/>
    <w:p w14:paraId="18E27ABD" w14:textId="77777777" w:rsidR="00413A96" w:rsidRDefault="00413A96" w:rsidP="00413A96"/>
    <w:p w14:paraId="438B6B3E" w14:textId="77777777" w:rsidR="00413A96" w:rsidRDefault="00413A96" w:rsidP="00413A96"/>
    <w:p w14:paraId="569E12E9" w14:textId="77777777" w:rsidR="00413A96" w:rsidRDefault="00413A96" w:rsidP="00413A96"/>
    <w:p w14:paraId="09484DAA" w14:textId="77777777" w:rsidR="00413A96" w:rsidRDefault="00413A96" w:rsidP="00413A96">
      <w:r>
        <w:t>1.580.917</w:t>
      </w:r>
      <w:r>
        <w:tab/>
      </w:r>
    </w:p>
    <w:p w14:paraId="35D81E24" w14:textId="77777777" w:rsidR="00413A96" w:rsidRDefault="00413A96" w:rsidP="00413A96"/>
    <w:p w14:paraId="3F092B70" w14:textId="77777777" w:rsidR="00413A96" w:rsidRDefault="00413A96" w:rsidP="00413A96"/>
    <w:p w14:paraId="5DD431CA" w14:textId="77777777" w:rsidR="00413A96" w:rsidRDefault="00413A96" w:rsidP="00413A96"/>
    <w:p w14:paraId="308704E0" w14:textId="77777777" w:rsidR="00413A96" w:rsidRDefault="00413A96" w:rsidP="00413A96"/>
    <w:p w14:paraId="46D2CDD5" w14:textId="77777777" w:rsidR="00413A96" w:rsidRDefault="00413A96" w:rsidP="00413A96">
      <w:r>
        <w:t>47.039</w:t>
      </w:r>
      <w:r>
        <w:tab/>
      </w:r>
    </w:p>
    <w:p w14:paraId="202F30A8" w14:textId="77777777" w:rsidR="00413A96" w:rsidRDefault="00413A96" w:rsidP="00413A96"/>
    <w:p w14:paraId="4D6A736C" w14:textId="77777777" w:rsidR="00413A96" w:rsidRDefault="00413A96" w:rsidP="00413A96"/>
    <w:p w14:paraId="07DAE0A3" w14:textId="77777777" w:rsidR="00413A96" w:rsidRDefault="00413A96" w:rsidP="00413A96"/>
    <w:p w14:paraId="72E87DFE" w14:textId="77777777" w:rsidR="00413A96" w:rsidRDefault="00413A96" w:rsidP="00413A96"/>
    <w:p w14:paraId="5C365CA1" w14:textId="77777777" w:rsidR="00413A96" w:rsidRDefault="00413A96" w:rsidP="00413A96">
      <w:r>
        <w:t>5.119.649</w:t>
      </w:r>
    </w:p>
    <w:p w14:paraId="2C8C60EF" w14:textId="77777777" w:rsidR="00413A96" w:rsidRDefault="00413A96" w:rsidP="00413A96">
      <w:r>
        <w:t xml:space="preserve"> </w:t>
      </w:r>
    </w:p>
    <w:p w14:paraId="206F7F80" w14:textId="77777777" w:rsidR="00413A96" w:rsidRDefault="00413A96" w:rsidP="00413A96"/>
    <w:p w14:paraId="707B20B2" w14:textId="77777777" w:rsidR="00413A96" w:rsidRDefault="00413A96" w:rsidP="00413A96">
      <w:r>
        <w:t>cambio</w:t>
      </w:r>
    </w:p>
    <w:p w14:paraId="3EA24CA4" w14:textId="77777777" w:rsidR="00413A96" w:rsidRDefault="00413A96" w:rsidP="00413A96">
      <w:r>
        <w:t>climático</w:t>
      </w:r>
      <w:r>
        <w:tab/>
      </w:r>
      <w:r>
        <w:tab/>
      </w:r>
      <w:r>
        <w:tab/>
      </w:r>
      <w:r>
        <w:tab/>
      </w:r>
      <w:r>
        <w:tab/>
      </w:r>
      <w:r>
        <w:tab/>
      </w:r>
      <w:r>
        <w:tab/>
      </w:r>
    </w:p>
    <w:p w14:paraId="736312B5" w14:textId="77777777" w:rsidR="00413A96" w:rsidRDefault="00413A96" w:rsidP="00413A96"/>
    <w:p w14:paraId="3AD18F82" w14:textId="77777777" w:rsidR="00413A96" w:rsidRDefault="00413A96" w:rsidP="00413A96">
      <w:r>
        <w:t>Proteger</w:t>
      </w:r>
      <w:r>
        <w:tab/>
      </w:r>
      <w:r>
        <w:tab/>
      </w:r>
      <w:r>
        <w:tab/>
        <w:t>y asegurar el uso sostenible</w:t>
      </w:r>
      <w:r>
        <w:tab/>
        <w:t>del capital natural y mejorar</w:t>
      </w:r>
      <w:r>
        <w:tab/>
      </w:r>
      <w:r>
        <w:tab/>
        <w:t>la calidad ambiental</w:t>
      </w:r>
      <w:r>
        <w:tab/>
      </w:r>
    </w:p>
    <w:p w14:paraId="147B3B7B" w14:textId="77777777" w:rsidR="00413A96" w:rsidRDefault="00413A96" w:rsidP="00413A96"/>
    <w:p w14:paraId="56A59B93" w14:textId="77777777" w:rsidR="00413A96" w:rsidRDefault="00413A96" w:rsidP="00413A96"/>
    <w:p w14:paraId="2A4E3197" w14:textId="77777777" w:rsidR="00413A96" w:rsidRDefault="00413A96" w:rsidP="00413A96">
      <w:r>
        <w:t>876.373</w:t>
      </w:r>
      <w:r>
        <w:tab/>
      </w:r>
      <w:r>
        <w:tab/>
      </w:r>
    </w:p>
    <w:p w14:paraId="14D149DF" w14:textId="77777777" w:rsidR="00413A96" w:rsidRDefault="00413A96" w:rsidP="00413A96"/>
    <w:p w14:paraId="3C0BA596" w14:textId="77777777" w:rsidR="00413A96" w:rsidRDefault="00413A96" w:rsidP="00413A96"/>
    <w:p w14:paraId="25DC4076" w14:textId="77777777" w:rsidR="00413A96" w:rsidRDefault="00413A96" w:rsidP="00413A96">
      <w:r>
        <w:t>915.425</w:t>
      </w:r>
      <w:r>
        <w:tab/>
      </w:r>
      <w:r>
        <w:tab/>
      </w:r>
    </w:p>
    <w:p w14:paraId="0DA1C7F6" w14:textId="77777777" w:rsidR="00413A96" w:rsidRDefault="00413A96" w:rsidP="00413A96"/>
    <w:p w14:paraId="1280DAB9" w14:textId="77777777" w:rsidR="00413A96" w:rsidRDefault="00413A96" w:rsidP="00413A96"/>
    <w:p w14:paraId="7453A114" w14:textId="77777777" w:rsidR="00413A96" w:rsidRDefault="00413A96" w:rsidP="00413A96">
      <w:r>
        <w:t>1.151.943</w:t>
      </w:r>
      <w:r>
        <w:tab/>
      </w:r>
    </w:p>
    <w:p w14:paraId="47576D1C" w14:textId="77777777" w:rsidR="00413A96" w:rsidRDefault="00413A96" w:rsidP="00413A96"/>
    <w:p w14:paraId="000193EE" w14:textId="77777777" w:rsidR="00413A96" w:rsidRDefault="00413A96" w:rsidP="00413A96"/>
    <w:p w14:paraId="5794D33F" w14:textId="77777777" w:rsidR="00413A96" w:rsidRDefault="00413A96" w:rsidP="00413A96">
      <w:r>
        <w:t>780.130</w:t>
      </w:r>
      <w:r>
        <w:tab/>
      </w:r>
    </w:p>
    <w:p w14:paraId="0379042A" w14:textId="77777777" w:rsidR="00413A96" w:rsidRDefault="00413A96" w:rsidP="00413A96"/>
    <w:p w14:paraId="54A16C4A" w14:textId="77777777" w:rsidR="00413A96" w:rsidRDefault="00413A96" w:rsidP="00413A96"/>
    <w:p w14:paraId="4FC43317" w14:textId="77777777" w:rsidR="00413A96" w:rsidRDefault="00413A96" w:rsidP="00413A96">
      <w:r>
        <w:t>3.723.872</w:t>
      </w:r>
    </w:p>
    <w:p w14:paraId="34E8DBE3" w14:textId="77777777" w:rsidR="00413A96" w:rsidRDefault="00413A96" w:rsidP="00413A96">
      <w:r>
        <w:t>TOTAL</w:t>
      </w:r>
      <w:r>
        <w:tab/>
        <w:t>258.683.133</w:t>
      </w:r>
      <w:r>
        <w:tab/>
        <w:t>3.438.780</w:t>
      </w:r>
      <w:r>
        <w:tab/>
        <w:t>47.875.821</w:t>
      </w:r>
      <w:r>
        <w:tab/>
        <w:t>240.927.922</w:t>
      </w:r>
      <w:r>
        <w:tab/>
        <w:t>132.801.295</w:t>
      </w:r>
      <w:r>
        <w:tab/>
        <w:t>20.208.313</w:t>
      </w:r>
      <w:r>
        <w:tab/>
        <w:t>703.935.263</w:t>
      </w:r>
    </w:p>
    <w:p w14:paraId="644867D5" w14:textId="77777777" w:rsidR="00413A96" w:rsidRDefault="00413A96" w:rsidP="00413A96"/>
    <w:p w14:paraId="48C44473" w14:textId="77777777" w:rsidR="00413A96" w:rsidRDefault="00413A96" w:rsidP="00413A96">
      <w:r>
        <w:t>SGP (Sistema General de Participaciones), SGR (Sistema General de Regalías).</w:t>
      </w:r>
    </w:p>
    <w:p w14:paraId="2C82C319" w14:textId="77777777" w:rsidR="00413A96" w:rsidRDefault="00413A96" w:rsidP="00413A96"/>
    <w:p w14:paraId="2F836F53" w14:textId="77777777" w:rsidR="00413A96" w:rsidRDefault="00413A96" w:rsidP="00413A96">
      <w:r>
        <w:t>PARÁGRAFO PRIMERO. Los recursos identificados como fuentes de entidades territoriales para el financiamiento del Plan Nacional de Inversiones Públicas 2015­2018, corresponde a estimaciones de gastos de los niveles departamental, distrital y municipal en el marco de su autonomía, para la articulación de políticas, estrategias y programas nacionales con los territoriales, según los mecanismos de ejecución definidos en el presente plan.</w:t>
      </w:r>
    </w:p>
    <w:p w14:paraId="60528370" w14:textId="77777777" w:rsidR="00413A96" w:rsidRDefault="00413A96" w:rsidP="00413A96"/>
    <w:p w14:paraId="58895A0B" w14:textId="77777777" w:rsidR="00413A96" w:rsidRDefault="00413A96" w:rsidP="00413A96">
      <w:r>
        <w:t>PARÁGRAFO SEGUNDO. Apruébese como parte integrante del plan de inversiones el documento “Regionalización del Plan Plurianual de Inversiones” que se anexa a la presente ley, el cual contiene los principales proyectos visionarios, proyectos de interés nacional estratégico y proyectos de iniciativas regionales.</w:t>
      </w:r>
    </w:p>
    <w:p w14:paraId="28504997" w14:textId="77777777" w:rsidR="00413A96" w:rsidRDefault="00413A96" w:rsidP="00413A96"/>
    <w:p w14:paraId="2B23E76B" w14:textId="77777777" w:rsidR="00413A96" w:rsidRDefault="00413A96" w:rsidP="00413A96">
      <w:r>
        <w:t xml:space="preserve">PARÁGRAFO TERCERO. Como parte integral del Plan Plurianual de Inversiones se incluyen de manera transversal las proyecciones indicativas acordadas en el marco de la consulta previa, estimadas para los pueblos indígenas entre ocho (8) y once (11) billones de pesos, considerando el Plan Macroeconómico y el Marco Fiscal de Mediano Plazo del Gobierno Nacional, de acuerdo con todas las fuentes del presente Plan </w:t>
      </w:r>
      <w:r>
        <w:lastRenderedPageBreak/>
        <w:t>Plurianual de Inversiones.</w:t>
      </w:r>
    </w:p>
    <w:p w14:paraId="1B71CB3D" w14:textId="77777777" w:rsidR="00413A96" w:rsidRDefault="00413A96" w:rsidP="00413A96"/>
    <w:p w14:paraId="778EB50E" w14:textId="77777777" w:rsidR="00413A96" w:rsidRDefault="00413A96" w:rsidP="00413A96">
      <w:r>
        <w:t>PARÁGRAFO CUARTO. Los recursos del Presupuesto General de la Nación que en ejecución del presente Plan Nacional de Desarrollo sean asignados a las comunidades negras, afrocolombianas, raizales y palenqueras, no podrán ser inferiores, de manera proporcional, a los asignados del Presupuesto General de la Nación en el periodo 2010­2014, y guardando la proporción a los techos que se asignen para el mismo, en el Marco Fiscal de Mediano Plazo y Marco de Gasto de Mediano Plazo para el periodo 2014­ 2018”.</w:t>
      </w:r>
    </w:p>
    <w:p w14:paraId="38C4C862" w14:textId="77777777" w:rsidR="00413A96" w:rsidRDefault="00413A96" w:rsidP="00413A96"/>
    <w:p w14:paraId="70481976" w14:textId="77777777" w:rsidR="00413A96" w:rsidRDefault="00413A96" w:rsidP="00413A96">
      <w:r>
        <w:t>ARTÍCULO 6°. Recursos financieros, presupuestos plurianuales y consistencia fiscal del plan nacional de inversiones públicas. El valor total de los gastos que se realicen para la ejecución del presente plan financiados con recursos del Presupuesto General de la Nación, no podrán superar en ningún caso el monto de los recursos disponibles de conformidad con el Plan Macroeconómico y el Marco Fiscal de Mediano Plazo del Gobierno Nacional en armonía con el criterio orientador de sostenibilidad fiscal.</w:t>
      </w:r>
    </w:p>
    <w:p w14:paraId="1905B71C" w14:textId="77777777" w:rsidR="00413A96" w:rsidRDefault="00413A96" w:rsidP="00413A96"/>
    <w:p w14:paraId="0B4E6EBD" w14:textId="77777777" w:rsidR="00413A96" w:rsidRDefault="00413A96" w:rsidP="00413A96">
      <w:r>
        <w:t>Las metas contempladas en el Plan Nacional de Desarrollo 2015­2018 se ajustarán a las metas fiscales establecidas en el Marco Fiscal de Mediano Plazo, en el Marco de Gasto de Mediano Plazo y los Presupuestos Generales de la Nación aprobados para cada vigencia, según lo señalado en los artículos 4° y 5° de la Ley 1473 de 2011.</w:t>
      </w:r>
    </w:p>
    <w:p w14:paraId="5AFAF9A9" w14:textId="77777777" w:rsidR="00413A96" w:rsidRDefault="00413A96" w:rsidP="00413A96"/>
    <w:p w14:paraId="6948C0A7" w14:textId="77777777" w:rsidR="00413A96" w:rsidRDefault="00413A96" w:rsidP="00413A96">
      <w:r>
        <w:t>TÍTULO III</w:t>
      </w:r>
    </w:p>
    <w:p w14:paraId="2713B4F7" w14:textId="77777777" w:rsidR="00413A96" w:rsidRDefault="00413A96" w:rsidP="00413A96"/>
    <w:p w14:paraId="3A122998" w14:textId="77777777" w:rsidR="00413A96" w:rsidRDefault="00413A96" w:rsidP="00413A96">
      <w:r>
        <w:t>MECANISMOS PARA LA EJECUCIÓN DEL PLAN</w:t>
      </w:r>
    </w:p>
    <w:p w14:paraId="65D27918" w14:textId="77777777" w:rsidR="00413A96" w:rsidRDefault="00413A96" w:rsidP="00413A96">
      <w:r>
        <w:t xml:space="preserve"> </w:t>
      </w:r>
    </w:p>
    <w:p w14:paraId="567C757E" w14:textId="77777777" w:rsidR="00413A96" w:rsidRDefault="00413A96" w:rsidP="00413A96">
      <w:r>
        <w:t>CAPÍTULO I</w:t>
      </w:r>
    </w:p>
    <w:p w14:paraId="7FB45290" w14:textId="77777777" w:rsidR="00413A96" w:rsidRDefault="00413A96" w:rsidP="00413A96"/>
    <w:p w14:paraId="43D05ED1" w14:textId="77777777" w:rsidR="00413A96" w:rsidRDefault="00413A96" w:rsidP="00413A96">
      <w:r>
        <w:t>COMPETITIVIDAD E INFRAESTRUCTURA ESTRATÉGICAS</w:t>
      </w:r>
    </w:p>
    <w:p w14:paraId="2BD23F2F" w14:textId="77777777" w:rsidR="00413A96" w:rsidRDefault="00413A96" w:rsidP="00413A96"/>
    <w:p w14:paraId="3BCEBDF3" w14:textId="77777777" w:rsidR="00413A96" w:rsidRDefault="00413A96" w:rsidP="00413A96">
      <w:r>
        <w:t>ARTÍCULO 7°. Acuerdos estratégicos de Ciencia, Tecnología e Innovación. Colciencias, en coordinación con el Departamento Nacional de Planeación, los departamentos y el Distrito Capital, estructurarán planes y acuerdos estratégicos departamentales en Ciencia, Tecnología e Innovación, a los cuales se ajustarán los proyectos que se presentarán al Órgano Colegiado de Administración y Decisión del Fondo de Ciencia, Tecnología e Innovación del Sistema General de Regalías.</w:t>
      </w:r>
    </w:p>
    <w:p w14:paraId="0559DEE2" w14:textId="77777777" w:rsidR="00413A96" w:rsidRDefault="00413A96" w:rsidP="00413A96"/>
    <w:p w14:paraId="63C84224" w14:textId="77777777" w:rsidR="00413A96" w:rsidRDefault="00413A96" w:rsidP="00413A96">
      <w:r>
        <w:t>Para efectos de lo previsto en el presente artículo se podrá contar con la participación de los demás actores del Sistema de Competitividad, Ciencia, Tecnología e Innovación.</w:t>
      </w:r>
    </w:p>
    <w:p w14:paraId="149E4835" w14:textId="77777777" w:rsidR="00413A96" w:rsidRDefault="00413A96" w:rsidP="00413A96"/>
    <w:p w14:paraId="1744C6AA" w14:textId="77777777" w:rsidR="00413A96" w:rsidRDefault="00413A96" w:rsidP="00413A96">
      <w:r>
        <w:t>ARTÍCULO 8°. Operaciones aduaneras en Infraestructuras Logísticas Especializadas. En las Infraestructuras Logísticas Especializadas (ILE) se podrán realizar las operaciones aduaneras que defina la DIAN, de modo que estas infraestructuras se integren a los corredores logísticos de importancia estratégica y se facilite el comercio exterior aprovechando la intermodalidad para el movimiento de mercancías desde y hacia los puertos de origen o destino.</w:t>
      </w:r>
    </w:p>
    <w:p w14:paraId="44861E15" w14:textId="77777777" w:rsidR="00413A96" w:rsidRDefault="00413A96" w:rsidP="00413A96"/>
    <w:p w14:paraId="683CD98D" w14:textId="77777777" w:rsidR="00413A96" w:rsidRDefault="00413A96" w:rsidP="00413A96">
      <w:r>
        <w:t>ARTÍCULO 9°. Registro de Facturas Electrónicas. Créase el Registro de Facturas Electrónicas, el cual será administrado por el Ministerio de Comercio, Industria y Turismo. Este registro incluirá las facturas electrónicas que sean consideradas como título valor que circulen en el territorio nacional y permitirá la consulta de información de las mismas. Igualmente permitirá hacer la trazabilidad de dichas facturas electrónicas, bajo los estándares necesarios para el control del lavado de activos y garantizará el cumplimiento de los principios de unicidad, autenticidad, integridad y no repudio de la factura electrónica.</w:t>
      </w:r>
    </w:p>
    <w:p w14:paraId="0172F2D5" w14:textId="77777777" w:rsidR="00413A96" w:rsidRDefault="00413A96" w:rsidP="00413A96"/>
    <w:p w14:paraId="31DA8B7A" w14:textId="77777777" w:rsidR="00413A96" w:rsidRDefault="00413A96" w:rsidP="00413A96">
      <w:r>
        <w:t>El Gobierno Nacional reglamentará la puesta en funcionamiento del registro único.</w:t>
      </w:r>
    </w:p>
    <w:p w14:paraId="2825A6B5" w14:textId="77777777" w:rsidR="00413A96" w:rsidRDefault="00413A96" w:rsidP="00413A96"/>
    <w:p w14:paraId="4779357F" w14:textId="77777777" w:rsidR="00413A96" w:rsidRDefault="00413A96" w:rsidP="00413A96">
      <w:r>
        <w:t>PARÁGRAFO PRIMERO. El Ministerio de Comercio, Industria y Turismo podrá contratar con terceros la administración de este registro. El Ministerio de Comercio, Industria y Turismo mediante resolución establecerá las condiciones y requisitos que deberá cumplir el contratista.</w:t>
      </w:r>
    </w:p>
    <w:p w14:paraId="10063320" w14:textId="77777777" w:rsidR="00413A96" w:rsidRDefault="00413A96" w:rsidP="00413A96"/>
    <w:p w14:paraId="58E416A9" w14:textId="77777777" w:rsidR="00413A96" w:rsidRDefault="00413A96" w:rsidP="00413A96">
      <w:r>
        <w:t xml:space="preserve">PARÁGRAFO SEGUNDO. Los costos de administración de este registro se financiarán con una contraprestación a favor del administrador y a cargo de quien consulte la información, de quien solicite el registro de la transferencia, y de quien solicite la expedición de certificados sobre la existencia del título y su </w:t>
      </w:r>
      <w:r>
        <w:lastRenderedPageBreak/>
        <w:t>titularidad para efectos de la ejecución de las facturas electrónicas, entre otros, que será determinada por el Ministerio de Comercio, Industria y Turismo, tomando como referencia los costos de administración e inversión necesarios para la puesta en operación, mantenimiento y continuidad del servicio. El monto de esta contraprestación será actualizado anualmente.</w:t>
      </w:r>
    </w:p>
    <w:p w14:paraId="41462889" w14:textId="77777777" w:rsidR="00413A96" w:rsidRDefault="00413A96" w:rsidP="00413A96"/>
    <w:p w14:paraId="3B8DF320" w14:textId="77777777" w:rsidR="00413A96" w:rsidRDefault="00413A96" w:rsidP="00413A96">
      <w:r>
        <w:t>ARTÍCULO 10°. Derechos de propiedad intelectual de proyectos de investigación y desarrollo financiados con recursos públicos. En los casos de proyectos de investigación y desarrollo de ciencia, tecnología e innovación y de tecnologías de la información y las comunicaciones, adelantados con recursos públicos, el Estado podrá ceder a título gratuito, salvo por motivos de seguridad y defensa nacional, los derechos de propiedad intelectual que le correspondan, y autorizará su transferencia, comercialización y explotación a quien adelante y ejecute el proyecto, sin que ello constituya daño patrimonial al Estado. Las condiciones de esta cesión serán fijadas en el respectivo contrato y en todo caso el Estado se reserva el derecho de obtener una licencia no exclusiva y gratuita de estos derechos de propiedad intelectual por motivos de interés nacional.</w:t>
      </w:r>
    </w:p>
    <w:p w14:paraId="4FB4E6EB" w14:textId="77777777" w:rsidR="00413A96" w:rsidRDefault="00413A96" w:rsidP="00413A96"/>
    <w:p w14:paraId="6A0BAC78" w14:textId="77777777" w:rsidR="00413A96" w:rsidRDefault="00413A96" w:rsidP="00413A96">
      <w:r>
        <w:t>PARÁGRAFO. El Gobierno Nacional reglamentará esta materia en un plazo no superior a un (1) año contado a partir de la vigencia de la presente ley.</w:t>
      </w:r>
    </w:p>
    <w:p w14:paraId="5CE47566" w14:textId="77777777" w:rsidR="00413A96" w:rsidRDefault="00413A96" w:rsidP="00413A96"/>
    <w:p w14:paraId="4378A2EB" w14:textId="77777777" w:rsidR="00413A96" w:rsidRDefault="00413A96" w:rsidP="00413A96">
      <w:r>
        <w:t>ARTÍCULO  11. Programa de Transformación Productiva (PTP). Modifíquese el artículo 50 de</w:t>
      </w:r>
    </w:p>
    <w:p w14:paraId="060EFB8C" w14:textId="77777777" w:rsidR="00413A96" w:rsidRDefault="00413A96" w:rsidP="00413A96">
      <w:r>
        <w:t xml:space="preserve"> </w:t>
      </w:r>
    </w:p>
    <w:p w14:paraId="07D4EC1A" w14:textId="77777777" w:rsidR="00413A96" w:rsidRDefault="00413A96" w:rsidP="00413A96">
      <w:r>
        <w:t>la Ley 1450 de 2011, el cual quedará así:</w:t>
      </w:r>
    </w:p>
    <w:p w14:paraId="0E724471" w14:textId="77777777" w:rsidR="00413A96" w:rsidRDefault="00413A96" w:rsidP="00413A96"/>
    <w:p w14:paraId="50B84FDB" w14:textId="77777777" w:rsidR="00413A96" w:rsidRDefault="00413A96" w:rsidP="00413A96">
      <w:r>
        <w:t>“ARTÍCULO 50°. Programa de Transformación Productiva (PTP). El Programa de Transformación Productiva tendrá por objeto la implementación de estrategias público­privadas y el aprovechamiento de ventajas comparativas para la mejora en productividad y competitividad de la industria, en el marco de la Política de Desarrollo Productivo del Ministerio de Comercio, Industria y Turismo, al cual se podrán destinar recursos del Ministerio de Comercio, Industria y Turismo, de Organismos Internacionales de Desarrollo, convenios de cooperación internacional, convenios con organizaciones privadas, convenios con entes territoriales y transferencias de otras entidades públicas de orden nacional y regional. Este programa será un patrimonio autónomo con régimen privado administrado por el Banco de Comercio Exterior S.A. (Bancóldex)”.</w:t>
      </w:r>
    </w:p>
    <w:p w14:paraId="49DC7639" w14:textId="77777777" w:rsidR="00413A96" w:rsidRDefault="00413A96" w:rsidP="00413A96"/>
    <w:p w14:paraId="29B0579A" w14:textId="77777777" w:rsidR="00413A96" w:rsidRDefault="00413A96" w:rsidP="00413A96">
      <w:r>
        <w:t>ARTÍCULO 12. Parques Científicos, Tecnológicos y de Innovación (PCTI). Con el propósito de promover la transferencia de conocimiento, la transferencia y comercialización de tecnología, y el establecimiento de vínculos de colaboración entre los diversos actores del Sistema Nacional de Competitividad, Ciencia, Tecnología e Innovación, entre otros, dentro de los ocho (8) meses siguientes a la expedición de la presente ley, Colciencias, el Ministerio de Comercio, Industria y Turismo, y el Departamento Nacional de Planeación, desarrollarán una estrategia para la promoción de Parques Científicos, Tecnológicos y de Innovación (PCTI) en el territorio colombiano, entendidos como zonas geográficas especiales destinadas a promover la innovación basada en el conocimiento científico y tecnológico y a contribuir a la productividad empresarial y la competitividad regional. Igualmente definirán los mecanismos para atraer personal altamente calificado e inversión pública y privada, así como los criterios para estructurar los PCTI en el marco del Fondo de Ciencia, Tecnología e Innovación del Sistema General de Regalías.</w:t>
      </w:r>
    </w:p>
    <w:p w14:paraId="6D1D8230" w14:textId="77777777" w:rsidR="00413A96" w:rsidRDefault="00413A96" w:rsidP="00413A96"/>
    <w:p w14:paraId="20186413" w14:textId="77777777" w:rsidR="00413A96" w:rsidRDefault="00413A96" w:rsidP="00413A96">
      <w:r>
        <w:t>Para el efecto, Colciencias determinará los requisitos y las condiciones que deben cumplir las organizaciones especializadas encargadas de administrar los PCTI.</w:t>
      </w:r>
    </w:p>
    <w:p w14:paraId="62C3F176" w14:textId="77777777" w:rsidR="00413A96" w:rsidRDefault="00413A96" w:rsidP="00413A96"/>
    <w:p w14:paraId="12131D6D" w14:textId="77777777" w:rsidR="00413A96" w:rsidRDefault="00413A96" w:rsidP="00413A96">
      <w:r>
        <w:t>PARÁGRAFO. En los procesos de revisión y ajuste de los planes de ordenamiento territorial se podrán determinar los terrenos destinados a la localización de Parques Científicos, Tecnológicos y de Innovación (PCTI) en suelo urbano, de expansión urbana y rural.</w:t>
      </w:r>
    </w:p>
    <w:p w14:paraId="025CA51C" w14:textId="77777777" w:rsidR="00413A96" w:rsidRDefault="00413A96" w:rsidP="00413A96"/>
    <w:p w14:paraId="3736D3BA" w14:textId="77777777" w:rsidR="00413A96" w:rsidRDefault="00413A96" w:rsidP="00413A96">
      <w:r>
        <w:t>ARTÍCULO 13. Fondo de Modernización e Innovación para las Micro, Pequeñas y Medianas Empresas y Unidad de Desarrollo e Innovación. Unifíquense en un solo patrimonio autónomo el Fondo de Modernización e Innovación para las Micro, Pequeñas y Medianas Empresas y la Unidad de Desarrollo Empresarial, creados por las Leyes 590 de 2000 y Ley 1450 de 2011. Este patrimonio autónomo, se regirá por normas de derecho privado, y será administrado por el Banco de Comercio Exterior S.A. (Bancóldex), de acuerdo con los lineamientos que fije el Gobierno nacional a través de la política pública que para el efecto defina el Ministerio de Comercio, Industria y Turismo.</w:t>
      </w:r>
    </w:p>
    <w:p w14:paraId="4D655506" w14:textId="77777777" w:rsidR="00413A96" w:rsidRDefault="00413A96" w:rsidP="00413A96"/>
    <w:p w14:paraId="437B987A" w14:textId="77777777" w:rsidR="00413A96" w:rsidRDefault="00413A96" w:rsidP="00413A96">
      <w:r>
        <w:t>Los recursos que integrarán el patrimonio autónomo son los siguientes:</w:t>
      </w:r>
    </w:p>
    <w:p w14:paraId="77955D3A" w14:textId="77777777" w:rsidR="00413A96" w:rsidRDefault="00413A96" w:rsidP="00413A96"/>
    <w:p w14:paraId="38268344" w14:textId="77777777" w:rsidR="00413A96" w:rsidRDefault="00413A96" w:rsidP="00413A96">
      <w:r>
        <w:t>1.</w:t>
      </w:r>
      <w:r>
        <w:tab/>
        <w:t>Recursos provenientes del Presupuesto General de la Nación.</w:t>
      </w:r>
    </w:p>
    <w:p w14:paraId="388691A8" w14:textId="77777777" w:rsidR="00413A96" w:rsidRDefault="00413A96" w:rsidP="00413A96"/>
    <w:p w14:paraId="1D8EBE96" w14:textId="77777777" w:rsidR="00413A96" w:rsidRDefault="00413A96" w:rsidP="00413A96">
      <w:r>
        <w:t>2.</w:t>
      </w:r>
      <w:r>
        <w:tab/>
        <w:t>Recursos aportados por las entidades nacionales, territoriales o por particulares a través de convenios o transferencias.</w:t>
      </w:r>
    </w:p>
    <w:p w14:paraId="08325132" w14:textId="77777777" w:rsidR="00413A96" w:rsidRDefault="00413A96" w:rsidP="00413A96"/>
    <w:p w14:paraId="0D619055" w14:textId="77777777" w:rsidR="00413A96" w:rsidRDefault="00413A96" w:rsidP="00413A96">
      <w:r>
        <w:t>3.</w:t>
      </w:r>
      <w:r>
        <w:tab/>
        <w:t>Donaciones.</w:t>
      </w:r>
    </w:p>
    <w:p w14:paraId="72EAC3F3" w14:textId="77777777" w:rsidR="00413A96" w:rsidRDefault="00413A96" w:rsidP="00413A96"/>
    <w:p w14:paraId="336C2E86" w14:textId="77777777" w:rsidR="00413A96" w:rsidRDefault="00413A96" w:rsidP="00413A96">
      <w:r>
        <w:t>4.</w:t>
      </w:r>
      <w:r>
        <w:tab/>
        <w:t>Recursos de cooperación nacional o internacional.</w:t>
      </w:r>
    </w:p>
    <w:p w14:paraId="58419E39" w14:textId="77777777" w:rsidR="00413A96" w:rsidRDefault="00413A96" w:rsidP="00413A96"/>
    <w:p w14:paraId="685FDED9" w14:textId="77777777" w:rsidR="00413A96" w:rsidRDefault="00413A96" w:rsidP="00413A96">
      <w:r>
        <w:t>5.</w:t>
      </w:r>
      <w:r>
        <w:tab/>
        <w:t>Rendimientos financieros generados por los recursos entregados, los cuales se reinvertirán de pleno derecho en el vehículo.</w:t>
      </w:r>
    </w:p>
    <w:p w14:paraId="40F52B7C" w14:textId="77777777" w:rsidR="00413A96" w:rsidRDefault="00413A96" w:rsidP="00413A96"/>
    <w:p w14:paraId="1892092B" w14:textId="77777777" w:rsidR="00413A96" w:rsidRDefault="00413A96" w:rsidP="00413A96">
      <w:r>
        <w:t>6.</w:t>
      </w:r>
      <w:r>
        <w:tab/>
        <w:t>Las utilidades del Banco de Comercio Exterior (Bancóldex), previa autorización del CONPES.</w:t>
      </w:r>
    </w:p>
    <w:p w14:paraId="35767749" w14:textId="77777777" w:rsidR="00413A96" w:rsidRDefault="00413A96" w:rsidP="00413A96">
      <w:r>
        <w:t xml:space="preserve"> </w:t>
      </w:r>
    </w:p>
    <w:p w14:paraId="1CCAFBFF" w14:textId="77777777" w:rsidR="00413A96" w:rsidRDefault="00413A96" w:rsidP="00413A96"/>
    <w:p w14:paraId="32321C43" w14:textId="77777777" w:rsidR="00413A96" w:rsidRDefault="00413A96" w:rsidP="00413A96">
      <w:r>
        <w:t>7.</w:t>
      </w:r>
      <w:r>
        <w:tab/>
        <w:t>Los demás recursos que obtenga o se le asignen a cualquier título.</w:t>
      </w:r>
    </w:p>
    <w:p w14:paraId="4772F9C6" w14:textId="77777777" w:rsidR="00413A96" w:rsidRDefault="00413A96" w:rsidP="00413A96"/>
    <w:p w14:paraId="20E50D0E" w14:textId="77777777" w:rsidR="00413A96" w:rsidRDefault="00413A96" w:rsidP="00413A96">
      <w:r>
        <w:t>Los gastos de funcionamiento y administración en que incurra por la operación de este patrimonio se reintegrarán a Bancóldex.</w:t>
      </w:r>
    </w:p>
    <w:p w14:paraId="0E3289B0" w14:textId="77777777" w:rsidR="00413A96" w:rsidRDefault="00413A96" w:rsidP="00413A96"/>
    <w:p w14:paraId="43D8CFDF" w14:textId="77777777" w:rsidR="00413A96" w:rsidRDefault="00413A96" w:rsidP="00413A96">
      <w:r>
        <w:t>ARTÍCULO 14. Funciones de Bancóldex. Adiciónese el literal i) al artículo 282 del Decreto Ley 663 de 1993, el cual quedará así:</w:t>
      </w:r>
    </w:p>
    <w:p w14:paraId="6FAB7AEC" w14:textId="77777777" w:rsidR="00413A96" w:rsidRDefault="00413A96" w:rsidP="00413A96"/>
    <w:p w14:paraId="20979291" w14:textId="77777777" w:rsidR="00413A96" w:rsidRDefault="00413A96" w:rsidP="00413A96">
      <w:r>
        <w:t>“ARTÍCULO 282. Funciones del Banco. El Banco cumplirá las siguientes funciones: (...)</w:t>
      </w:r>
    </w:p>
    <w:p w14:paraId="71DE8EA1" w14:textId="77777777" w:rsidR="00413A96" w:rsidRDefault="00413A96" w:rsidP="00413A96"/>
    <w:p w14:paraId="02129B0C" w14:textId="77777777" w:rsidR="00413A96" w:rsidRDefault="00413A96" w:rsidP="00413A96">
      <w:r>
        <w:t>i)</w:t>
      </w:r>
      <w:r>
        <w:tab/>
        <w:t>Actuar como estructurador, gestor y/o inversionista en vehículos de inversión que tengan la naturaleza de fondos de capital semilla, capital emprendedor o capital privado, o en fondos que inviertan en dichos fondos. Estos fondos de fondos deberán destinar al menos dos terceras partes de sus recursos a fondos de capital privado, semilla o emprendedor.</w:t>
      </w:r>
    </w:p>
    <w:p w14:paraId="1ED2C5D9" w14:textId="77777777" w:rsidR="00413A96" w:rsidRDefault="00413A96" w:rsidP="00413A96"/>
    <w:p w14:paraId="16FCC8F0" w14:textId="77777777" w:rsidR="00413A96" w:rsidRDefault="00413A96" w:rsidP="00413A96">
      <w:r>
        <w:t>PARÁGRAFO. Lo dispuesto en el presente artículo, no se refiere a las condiciones de funcionamiento del Fondo Emprender, que continuarán rigiéndose por lo establecido por el artículo 40 de la Ley 789 de 2002 y demás normas pertinentes”.</w:t>
      </w:r>
    </w:p>
    <w:p w14:paraId="7AB56504" w14:textId="77777777" w:rsidR="00413A96" w:rsidRDefault="00413A96" w:rsidP="00413A96"/>
    <w:p w14:paraId="1BF155BF" w14:textId="77777777" w:rsidR="00413A96" w:rsidRDefault="00413A96" w:rsidP="00413A96">
      <w:r>
        <w:t>ARTÍCULO 15. Fondo cuenta para atender pasivos pensionales en el sector hotelero. Créase un fondo como una fiducia mercantil, cuyo fideicomitente será el Ministerio de Hacienda y Crédito Público. Su objeto será la financiación y el pago del pasivo laboral y pensional del sector hotelero, que a la fecha de expedición de la presente ley cumpla las siguientes condiciones:</w:t>
      </w:r>
    </w:p>
    <w:p w14:paraId="14734DA4" w14:textId="77777777" w:rsidR="00413A96" w:rsidRDefault="00413A96" w:rsidP="00413A96"/>
    <w:p w14:paraId="26764A79" w14:textId="77777777" w:rsidR="00413A96" w:rsidRDefault="00413A96" w:rsidP="00413A96">
      <w:r>
        <w:t>1.</w:t>
      </w:r>
      <w:r>
        <w:tab/>
        <w:t>Que los inmuebles en los que se desarrollen actividades hoteleras hayan sido declarados de interés cultural.</w:t>
      </w:r>
    </w:p>
    <w:p w14:paraId="2313B8C9" w14:textId="77777777" w:rsidR="00413A96" w:rsidRDefault="00413A96" w:rsidP="00413A96"/>
    <w:p w14:paraId="46A4ACAB" w14:textId="77777777" w:rsidR="00413A96" w:rsidRDefault="00413A96" w:rsidP="00413A96">
      <w:r>
        <w:t>2.</w:t>
      </w:r>
      <w:r>
        <w:tab/>
        <w:t>Que los inmuebles hayan sido entregados a la Nación como resultado de un proceso de extinción de dominio.</w:t>
      </w:r>
    </w:p>
    <w:p w14:paraId="3680F80F" w14:textId="77777777" w:rsidR="00413A96" w:rsidRDefault="00413A96" w:rsidP="00413A96"/>
    <w:p w14:paraId="0CB92C6C" w14:textId="77777777" w:rsidR="00413A96" w:rsidRDefault="00413A96" w:rsidP="00413A96">
      <w:r>
        <w:t>3.</w:t>
      </w:r>
      <w:r>
        <w:tab/>
        <w:t>Que la Nación en calidad de nuevo propietario los entregue en concesión o bajo cualquier esquema de asociación público privada.</w:t>
      </w:r>
    </w:p>
    <w:p w14:paraId="36E9DDF6" w14:textId="77777777" w:rsidR="00413A96" w:rsidRDefault="00413A96" w:rsidP="00413A96"/>
    <w:p w14:paraId="44F4FF15" w14:textId="77777777" w:rsidR="00413A96" w:rsidRDefault="00413A96" w:rsidP="00413A96">
      <w:r>
        <w:t>Este fondo tendrá las siguientes fuentes de recursos:</w:t>
      </w:r>
    </w:p>
    <w:p w14:paraId="05EAA4DF" w14:textId="77777777" w:rsidR="00413A96" w:rsidRDefault="00413A96" w:rsidP="00413A96"/>
    <w:p w14:paraId="15C3A321" w14:textId="77777777" w:rsidR="00413A96" w:rsidRDefault="00413A96" w:rsidP="00413A96">
      <w:r>
        <w:t>1.</w:t>
      </w:r>
      <w:r>
        <w:tab/>
        <w:t>Los recursos que le transfiera la entidad concesionaria o administradora de los inmuebles, originados en la contraprestación por la concesión o administración de los inmuebles y que serán destinados exclusivamente para el pago del pasivo laboral y pensional hasta su cancelación definitiva, momento en el cual se podrán destinar a las demás finalidades establecidas en la ley.</w:t>
      </w:r>
    </w:p>
    <w:p w14:paraId="0D55F199" w14:textId="77777777" w:rsidR="00413A96" w:rsidRDefault="00413A96" w:rsidP="00413A96"/>
    <w:p w14:paraId="35222E6F" w14:textId="77777777" w:rsidR="00413A96" w:rsidRDefault="00413A96" w:rsidP="00413A96">
      <w:r>
        <w:t>2.</w:t>
      </w:r>
      <w:r>
        <w:tab/>
        <w:t>Los recursos de empréstitos para atender de manera oportuna las obligaciones para el pago del pasivo laboral y pensional.</w:t>
      </w:r>
    </w:p>
    <w:p w14:paraId="7B5C2679" w14:textId="77777777" w:rsidR="00413A96" w:rsidRDefault="00413A96" w:rsidP="00413A96"/>
    <w:p w14:paraId="193CDB1B" w14:textId="77777777" w:rsidR="00413A96" w:rsidRDefault="00413A96" w:rsidP="00413A96">
      <w:r>
        <w:t>3.</w:t>
      </w:r>
      <w:r>
        <w:tab/>
        <w:t>Las donaciones que reciba.</w:t>
      </w:r>
    </w:p>
    <w:p w14:paraId="4EAE6B0E" w14:textId="77777777" w:rsidR="00413A96" w:rsidRDefault="00413A96" w:rsidP="00413A96"/>
    <w:p w14:paraId="144DE689" w14:textId="77777777" w:rsidR="00413A96" w:rsidRDefault="00413A96" w:rsidP="00413A96">
      <w:r>
        <w:t>4.</w:t>
      </w:r>
      <w:r>
        <w:tab/>
        <w:t>Los rendimientos financieros generados por la inversión de los anteriores recursos.</w:t>
      </w:r>
    </w:p>
    <w:p w14:paraId="0B91BF35" w14:textId="77777777" w:rsidR="00413A96" w:rsidRDefault="00413A96" w:rsidP="00413A96"/>
    <w:p w14:paraId="716118E3" w14:textId="77777777" w:rsidR="00413A96" w:rsidRDefault="00413A96" w:rsidP="00413A96">
      <w:r>
        <w:t>5.</w:t>
      </w:r>
      <w:r>
        <w:tab/>
        <w:t>Los recursos que reciba el Fondo Nacional de Turismo – FONTUR provenientes de la contribución parafiscal del turismo que sean asignados al fondo cuenta para atender las obligaciones laborales y pensionales del sector hotelero.</w:t>
      </w:r>
    </w:p>
    <w:p w14:paraId="3504A4FE" w14:textId="77777777" w:rsidR="00413A96" w:rsidRDefault="00413A96" w:rsidP="00413A96"/>
    <w:p w14:paraId="0E3A66BD" w14:textId="77777777" w:rsidR="00413A96" w:rsidRDefault="00413A96" w:rsidP="00413A96">
      <w:r>
        <w:t>PARÁGRAFO. Los recursos de FONTUR que se destinen al propósito señalado en el presente artículo serán limitados y transitorios. Estarán restringidos al pago del pasivo pensional de la entidad receptora de los recursos mientras se completa el fondeo necesario. Cumplida esta meta, los recursos</w:t>
      </w:r>
    </w:p>
    <w:p w14:paraId="7184188E" w14:textId="77777777" w:rsidR="00413A96" w:rsidRDefault="00413A96" w:rsidP="00413A96">
      <w:r>
        <w:t xml:space="preserve"> </w:t>
      </w:r>
    </w:p>
    <w:p w14:paraId="73AEECC1" w14:textId="77777777" w:rsidR="00413A96" w:rsidRDefault="00413A96" w:rsidP="00413A96">
      <w:r>
        <w:t>regresarán a su objetivo de promoción turística.</w:t>
      </w:r>
    </w:p>
    <w:p w14:paraId="18BD9AFB" w14:textId="77777777" w:rsidR="00413A96" w:rsidRDefault="00413A96" w:rsidP="00413A96"/>
    <w:p w14:paraId="3CEF5431" w14:textId="77777777" w:rsidR="00413A96" w:rsidRDefault="00413A96" w:rsidP="00413A96">
      <w:r>
        <w:t>ARTÍCULO 16. Sistema de Información de Metrología Legal y Sistema de Certificados de Conformidad. Créase el Sistema de Información de Metrología Legal (SIMEL), administrado por la Superintendencia de Industria y Comercio, en el cual se deberán registrar los productores e importadores, los reparadores y los usuarios o titulares de instrumentos de medición sujetos a control metrológico. La Superintendencia de Industria y Comercio designará mediante acto administrativo a los Organismos Autorizados de Verificación Metrológica (OAVM), las zonas geográficas en que actuarán de forma exclusiva, los instrumentos de medición que verificarán.</w:t>
      </w:r>
    </w:p>
    <w:p w14:paraId="447DC0CE" w14:textId="77777777" w:rsidR="00413A96" w:rsidRDefault="00413A96" w:rsidP="00413A96"/>
    <w:p w14:paraId="275A72FB" w14:textId="77777777" w:rsidR="00413A96" w:rsidRDefault="00413A96" w:rsidP="00413A96">
      <w:r>
        <w:t>Cada verificación del OAVM dará lugar al pago de un derecho por parte de los solicitantes de acuerdo con los montos que establezca anualmente la Superintendencia de Industria y Comercio, y en cuya fijación tendrá en cuenta la recuperación de los costos involucrados, correspondientes a materiales, insumos, suministros, personal, traslado y todos aquellos que incidan directamente en el desarrollo de la actividad. En caso de un usuario titular de un instrumento de medición sujeto a control metrológico impida, obstruya o no cancele los costos de la verificación del instrumento, se ordenará la suspensión inmediata de su utilización hasta que se realice su verificación, sin perjuicio de las sanciones establecidas en el artículo 61 de la Ley 1480 de 2011. La Superintendencia de Industria y Comercio determinará la gradualidad con que se implemente el sistema, tanto territorialmente como de los instrumentos de medición que se incorporarán al Sistema.</w:t>
      </w:r>
    </w:p>
    <w:p w14:paraId="53F9E059" w14:textId="77777777" w:rsidR="00413A96" w:rsidRDefault="00413A96" w:rsidP="00413A96"/>
    <w:p w14:paraId="34209604" w14:textId="77777777" w:rsidR="00413A96" w:rsidRDefault="00413A96" w:rsidP="00413A96">
      <w:r>
        <w:t>Créase también el Sistema de Información de Certificados de Conformidad (SICERCO), administrado por la Superintendencia de Industria y Comercio, en el cual los organismos de certificación e inspección acreditados por el organismo nacional de acreditación deberán registrar vía electrónica todos los certificados de conformidad que emitan respecto de productos sujetos al cumplimiento de reglamentos técnicos vigilados por dicha superintendencia. La Superintendencia de Industria y Comercio reglamentará lo relativo a dicho Sistema.</w:t>
      </w:r>
    </w:p>
    <w:p w14:paraId="6127EF91" w14:textId="77777777" w:rsidR="00413A96" w:rsidRDefault="00413A96" w:rsidP="00413A96"/>
    <w:p w14:paraId="541E7EE4" w14:textId="77777777" w:rsidR="00413A96" w:rsidRDefault="00413A96" w:rsidP="00413A96">
      <w:r>
        <w:t>PARÁGRAFO PRIMERO. El Sistema de Información de Metrología Legal y Sistema de Certificados se articulará a la coordinación nacional de la metrología científica e industrial, y demás funciones y atribuciones lideradas por el Instituto Nacional de Metrología o quien haga sus veces, y contribuirá con la formulación de las políticas en materia metrológica.</w:t>
      </w:r>
    </w:p>
    <w:p w14:paraId="30F6DC47" w14:textId="77777777" w:rsidR="00413A96" w:rsidRDefault="00413A96" w:rsidP="00413A96"/>
    <w:p w14:paraId="096D5568" w14:textId="77777777" w:rsidR="00413A96" w:rsidRDefault="00413A96" w:rsidP="00413A96">
      <w:r>
        <w:t>PARÁGRAFO SEGUNDO. El Sistema de Información de Metrología Legal y Sistema de Certificados apoyará la función del Instituto Nacional de Metrología para proporcionar servicios de calibración a los patrones de medición de los laboratorios, centros de investigación, a la industria u otros interesados, cuando así se solicite de conformidad con las tasas que establezca la ley para el efecto.</w:t>
      </w:r>
    </w:p>
    <w:p w14:paraId="42722071" w14:textId="77777777" w:rsidR="00413A96" w:rsidRDefault="00413A96" w:rsidP="00413A96"/>
    <w:p w14:paraId="2F536897" w14:textId="77777777" w:rsidR="00413A96" w:rsidRDefault="00413A96" w:rsidP="00413A96">
      <w:r>
        <w:t>ARTÍCULO 17. Subsidios de energía eléctrica y gas. Los subsidios establecidos en el artículo 3° de la Ley 1117 de 2006, prorrogados a su vez por el artículo 1° de la Ley 1428 de 2010 y por el artículo 76° de la Ley 1739 de 2014, se prorrogan, como máximo, hasta el 31 de diciembre de 2018.</w:t>
      </w:r>
    </w:p>
    <w:p w14:paraId="2DE04505" w14:textId="77777777" w:rsidR="00413A96" w:rsidRDefault="00413A96" w:rsidP="00413A96"/>
    <w:p w14:paraId="0FC49454" w14:textId="77777777" w:rsidR="00413A96" w:rsidRDefault="00413A96" w:rsidP="00413A96">
      <w:r>
        <w:t xml:space="preserve">ARTÍCULO 18. Condiciones especiales de prestación de servicio en zonas de difícil acceso. La Comisión de Regulación de Energía y Gas (CREG) establecerá condiciones especiales de prestación del servicio a los usuarios ubicados en zonas de difícil acceso dentro del Sistema Interconectado Nacional, que permitan aumentar la cobertura, disminuir los costos de comercialización y mitigar el riesgo de cartera, tales como la exigencia de medidores prepago, sistemas de suspensión remota, facturación mediante estimación del </w:t>
      </w:r>
      <w:r>
        <w:lastRenderedPageBreak/>
        <w:t>consumo y ciclos flexibles de facturación, medición y recaudo, entre otros esquemas.</w:t>
      </w:r>
    </w:p>
    <w:p w14:paraId="037B273F" w14:textId="77777777" w:rsidR="00413A96" w:rsidRDefault="00413A96" w:rsidP="00413A96"/>
    <w:p w14:paraId="269D4F5D" w14:textId="77777777" w:rsidR="00413A96" w:rsidRDefault="00413A96" w:rsidP="00413A96">
      <w:r>
        <w:t>Las zonas de difícil acceso de que trata el presente artículo son diferentes de las Zonas Especiales que establece la Ley 812 de 2003, Áreas Rurales de Menor Desarrollo, Zonas de Difícil Gestión y Barrios Subnormales.</w:t>
      </w:r>
    </w:p>
    <w:p w14:paraId="7BFA7474" w14:textId="77777777" w:rsidR="00413A96" w:rsidRDefault="00413A96" w:rsidP="00413A96"/>
    <w:p w14:paraId="525285E4" w14:textId="77777777" w:rsidR="00413A96" w:rsidRDefault="00413A96" w:rsidP="00413A96">
      <w:r>
        <w:t>El Gobierno Nacional definirá esquemas diferenciales para la prestación de los servicios de</w:t>
      </w:r>
    </w:p>
    <w:p w14:paraId="42E7707E" w14:textId="77777777" w:rsidR="00413A96" w:rsidRDefault="00413A96" w:rsidP="00413A96">
      <w:r>
        <w:t xml:space="preserve"> </w:t>
      </w:r>
    </w:p>
    <w:p w14:paraId="43D3647F" w14:textId="77777777" w:rsidR="00413A96" w:rsidRDefault="00413A96" w:rsidP="00413A96">
      <w:r>
        <w:t>acueducto, alcantarillado y aseo en zonas rurales, zonas de difícil acceso, áreas de difícil gestión y áreas de prestación, en las cuales por condiciones particulares no puedan alcanzarse los estándares de eficiencia, cobertura y calidad establecidos en la ley.</w:t>
      </w:r>
    </w:p>
    <w:p w14:paraId="1FC323FF" w14:textId="77777777" w:rsidR="00413A96" w:rsidRDefault="00413A96" w:rsidP="00413A96"/>
    <w:p w14:paraId="1C48A888" w14:textId="77777777" w:rsidR="00413A96" w:rsidRDefault="00413A96" w:rsidP="00413A96">
      <w:r>
        <w:t>La Comisión de Regulación de Agua y Saneamiento Básico (CRA) desarrollará la regulación necesaria para esquemas diferenciales de prestación de los servicios de acueducto, alcantarillado y aseo previstos en el presente artículo.</w:t>
      </w:r>
    </w:p>
    <w:p w14:paraId="2A763A68" w14:textId="77777777" w:rsidR="00413A96" w:rsidRDefault="00413A96" w:rsidP="00413A96"/>
    <w:p w14:paraId="14AB68D2" w14:textId="77777777" w:rsidR="00413A96" w:rsidRDefault="00413A96" w:rsidP="00413A96">
      <w:r>
        <w:t>ARTÍCULO 19. Mecanismos para el trabajo bajo el amparo de un título en la pequeña minería. Son mecanismos para el trabajo bajo el amparo de un título minero, los siguientes:</w:t>
      </w:r>
    </w:p>
    <w:p w14:paraId="0EE10D3E" w14:textId="77777777" w:rsidR="00413A96" w:rsidRDefault="00413A96" w:rsidP="00413A96"/>
    <w:p w14:paraId="6AC5CBE7" w14:textId="77777777" w:rsidR="00413A96" w:rsidRDefault="00413A96" w:rsidP="00413A96">
      <w:r>
        <w:t>1.</w:t>
      </w:r>
      <w:r>
        <w:tab/>
        <w:t>Subcontrato de Formalización Minera. Los explotadores mineros de pequeña escala o pequeños mineros que se encuentren adelantando actividades de explotación antes del 15 de julio de 2013 dentro de áreas ocupadas por un título minero, previa autorización de la autoridad minera competente, podrán suscribir subcontratos de formalización minera con el titular minero para continuar adelantando su explotación.</w:t>
      </w:r>
    </w:p>
    <w:p w14:paraId="412C4897" w14:textId="77777777" w:rsidR="00413A96" w:rsidRDefault="00413A96" w:rsidP="00413A96"/>
    <w:p w14:paraId="5AE9A371" w14:textId="77777777" w:rsidR="00413A96" w:rsidRDefault="00413A96" w:rsidP="00413A96">
      <w:r>
        <w:t>La Autoridad Minera Nacional efectuará la respectiva anotación en el Registro Minero Nacional en un término no mayor a los quince (15) días hábiles siguientes a la aprobación del subcontrato de formalización por parte de la autoridad minera competente.</w:t>
      </w:r>
    </w:p>
    <w:p w14:paraId="5030170B" w14:textId="77777777" w:rsidR="00413A96" w:rsidRDefault="00413A96" w:rsidP="00413A96"/>
    <w:p w14:paraId="5FF0D789" w14:textId="77777777" w:rsidR="00413A96" w:rsidRDefault="00413A96" w:rsidP="00413A96">
      <w:r>
        <w:t>El subcontrato de formalización se suscribirá por un periodo no inferior a cuatro (4) años prorrogable de manera sucesiva.</w:t>
      </w:r>
    </w:p>
    <w:p w14:paraId="35899B1B" w14:textId="77777777" w:rsidR="00413A96" w:rsidRDefault="00413A96" w:rsidP="00413A96"/>
    <w:p w14:paraId="7B1029B4" w14:textId="77777777" w:rsidR="00413A96" w:rsidRDefault="00413A96" w:rsidP="00413A96">
      <w:r>
        <w:t>La suscripción de un subcontrato de formalización minera no implicará la división o fraccionamiento del título minero en cuya área se otorga el derecho a realizar actividades de explotación minera. No obstante, podrán adelantarse labores de auditoría o fiscalización diferencial e independiente a quienes sean beneficiarios de uno de estos subcontratos. El titular del subcontrato de formalización deberá tramitar y obtener la correspondiente licencia ambiental. En el caso en el que el título minero cuente con dicho instrumento, este podrá ser cedido en los términos de ley.</w:t>
      </w:r>
    </w:p>
    <w:p w14:paraId="361CE8DC" w14:textId="77777777" w:rsidR="00413A96" w:rsidRDefault="00413A96" w:rsidP="00413A96"/>
    <w:p w14:paraId="0E1E0D2D" w14:textId="77777777" w:rsidR="00413A96" w:rsidRDefault="00413A96" w:rsidP="00413A96">
      <w:r>
        <w:t>Autorizado el subcontrato de formalización minera, el subcontratista tendrá bajo su responsabilidad la totalidad de las obligaciones inherentes a la explotación de minerales dentro del área del subcontrato, así como las sanciones derivadas del incumplimiento normativo o legal. No obstante, cuando el área objeto del subcontrato de formalización esté amparada por licencia ambiental otorgada al titular minero, este será responsable hasta que se ceda o se obtenga un nuevo instrumento ambiental para dicha área.</w:t>
      </w:r>
    </w:p>
    <w:p w14:paraId="31EC353D" w14:textId="77777777" w:rsidR="00413A96" w:rsidRDefault="00413A96" w:rsidP="00413A96"/>
    <w:p w14:paraId="4DC34059" w14:textId="77777777" w:rsidR="00413A96" w:rsidRDefault="00413A96" w:rsidP="00413A96"/>
    <w:p w14:paraId="56887258" w14:textId="77777777" w:rsidR="00413A96" w:rsidRDefault="00413A96" w:rsidP="00413A96">
      <w:r>
        <w:t>El titular minero solo podrá suscribir subcontratos de formalización minera hasta un treinta (30%) por ciento de su título minero, y estará en la obligación de informar a la Autoridad Minera cualquier anomalía en la ejecución del subcontrato, según la reglamentación que para el efecto expida el Gobierno Nacional.</w:t>
      </w:r>
    </w:p>
    <w:p w14:paraId="4B9775E8" w14:textId="77777777" w:rsidR="00413A96" w:rsidRDefault="00413A96" w:rsidP="00413A96"/>
    <w:p w14:paraId="0C931A41" w14:textId="77777777" w:rsidR="00413A96" w:rsidRDefault="00413A96" w:rsidP="00413A96">
      <w:r>
        <w:t>2.</w:t>
      </w:r>
      <w:r>
        <w:tab/>
        <w:t>Devolución de áreas para la formalización minera. Entiéndase por devolución de áreas para la formalización minera, aquella realizada por el beneficiario de un título minero como resultado de un proceso de mediación efectuado por el Ministerio de Minas y Energía o la autoridad minera competente, o por decisión directa de este, con el fin de contribuir a la formalización de los pequeños mineros que hayan llevado a cabo su explotación en dicha área o a la reubicación de aquellos que se encuentran en un área distinta a la zona devuelta, y que la requieran debido a las restricciones ambientales o sociales que se presentan en el lugar donde están ejerciendo sus labores.</w:t>
      </w:r>
    </w:p>
    <w:p w14:paraId="0262E258" w14:textId="77777777" w:rsidR="00413A96" w:rsidRDefault="00413A96" w:rsidP="00413A96"/>
    <w:p w14:paraId="2691FC53" w14:textId="77777777" w:rsidR="00413A96" w:rsidRDefault="00413A96" w:rsidP="00413A96">
      <w:r>
        <w:t xml:space="preserve">Cuando se trate de reubicación, los pequeños mineros deberán tramitar y obtener previo al inicio de las </w:t>
      </w:r>
      <w:r>
        <w:lastRenderedPageBreak/>
        <w:t>actividades de explotación el respectivo título minero y la correspondiente licencia ambiental, de conformidad con la normatividad vigente. En el evento de no obtenerse dichas autorizaciones el área será liberada para ser otorgada por el régimen ordinario.</w:t>
      </w:r>
    </w:p>
    <w:p w14:paraId="4989B207" w14:textId="77777777" w:rsidR="00413A96" w:rsidRDefault="00413A96" w:rsidP="00413A96">
      <w:r>
        <w:t xml:space="preserve"> </w:t>
      </w:r>
    </w:p>
    <w:p w14:paraId="427F9806" w14:textId="77777777" w:rsidR="00413A96" w:rsidRDefault="00413A96" w:rsidP="00413A96"/>
    <w:p w14:paraId="33F80415" w14:textId="77777777" w:rsidR="00413A96" w:rsidRDefault="00413A96" w:rsidP="00413A96">
      <w:r>
        <w:t>Los beneficiarios de títulos mineros podrán devolver áreas para la formalización, en cualquier etapa del título, no obstante, en la etapa de exploración esta devolución solo podrá realizarse como resultado de un proceso de mediación. La Autoridad Minera dará trámite inmediato a la devolución de estas áreas.</w:t>
      </w:r>
    </w:p>
    <w:p w14:paraId="4CC174AB" w14:textId="77777777" w:rsidR="00413A96" w:rsidRDefault="00413A96" w:rsidP="00413A96"/>
    <w:p w14:paraId="34A59233" w14:textId="77777777" w:rsidR="00413A96" w:rsidRDefault="00413A96" w:rsidP="00413A96">
      <w:r>
        <w:t>Las áreas devueltas serán administradas por la Autoridad Minera Nacional para el desarrollo de proyectos de formalización minera. Si contados dos (2) años a partir de la fecha en que haya sido aceptada la devolución por parte de la Autoridad Minera Nacional las áreas no han sido asignadas para la formalización estas serán liberadas para ser otorgadas mediante el régimen ordinario. Los instrumentos mineros y ambientales para el desarrollo de las actividades mineras a pequeña escala en las áreas objeto de devolución, serán el título minero y la correspondiente licencia ambiental, con el fin de garantizar la explotación racional de los recursos y apoyar a los mineros a formalizar. El Gobierno nacional reglamentará la materia, al igual que las condiciones para la aceptación de la devolución de áreas para los fines de formalización.</w:t>
      </w:r>
    </w:p>
    <w:p w14:paraId="4EE66C58" w14:textId="77777777" w:rsidR="00413A96" w:rsidRDefault="00413A96" w:rsidP="00413A96"/>
    <w:p w14:paraId="78D7402F" w14:textId="77777777" w:rsidR="00413A96" w:rsidRDefault="00413A96" w:rsidP="00413A96">
      <w:r>
        <w:t>La Autoridad Minera tendrá un plazo de dos (2) años contados a partir de la expedición de esta ley para resolver las solicitudes de legalización de minería de hecho y las solicitudes de formalización de minería tradicional que actualmente están en curso.</w:t>
      </w:r>
    </w:p>
    <w:p w14:paraId="74C65191" w14:textId="77777777" w:rsidR="00413A96" w:rsidRDefault="00413A96" w:rsidP="00413A96"/>
    <w:p w14:paraId="773429AC" w14:textId="77777777" w:rsidR="00413A96" w:rsidRDefault="00413A96" w:rsidP="00413A96">
      <w:r>
        <w:t>PARÁGRAFO PRIMERO. Mientras los pequeños mineros de que trata el presente artículo obtienen la respectiva autorización ambiental deberán aplicar las guías ambientales expedidas por el Ministerio de Ambiente y Desarrollo Sostenible, caso en el cual no habrá lugar a proceder, respecto de los interesados, mediante la medida prevista en el artículo 161 de la Ley 685 de 2001, sin perjuicio de las acciones administrativas ambientales que deban imponerse por parte de las autoridades ambientales competentes, en caso de daño ambiental.</w:t>
      </w:r>
    </w:p>
    <w:p w14:paraId="272FB162" w14:textId="77777777" w:rsidR="00413A96" w:rsidRDefault="00413A96" w:rsidP="00413A96"/>
    <w:p w14:paraId="6BB4C6DA" w14:textId="77777777" w:rsidR="00413A96" w:rsidRDefault="00413A96" w:rsidP="00413A96">
      <w:r>
        <w:t>Así mismo, el incumplimiento por parte de los pequeños mineros de que trata el presente artículo en la aplicación de la guía ambiental dará lugar a la terminación del subcontrato de formalización o a la exclusión del área.</w:t>
      </w:r>
    </w:p>
    <w:p w14:paraId="113D99A0" w14:textId="77777777" w:rsidR="00413A96" w:rsidRDefault="00413A96" w:rsidP="00413A96"/>
    <w:p w14:paraId="033B4F7E" w14:textId="77777777" w:rsidR="00413A96" w:rsidRDefault="00413A96" w:rsidP="00413A96">
      <w:r>
        <w:t>PARÁGRAFO SEGUNDO. Cuando las actividades de los pequeños mineros en proceso de formalización no obtengan las autorizaciones ambientales o mineras, estos serán responsables de la restauración y recuperación de las áreas intervenidas por la actividad objeto de formalización.</w:t>
      </w:r>
    </w:p>
    <w:p w14:paraId="15654960" w14:textId="77777777" w:rsidR="00413A96" w:rsidRDefault="00413A96" w:rsidP="00413A96"/>
    <w:p w14:paraId="69BCAEFB" w14:textId="77777777" w:rsidR="00413A96" w:rsidRDefault="00413A96" w:rsidP="00413A96">
      <w:r>
        <w:t>PARÁGRAFO TERCERO. No podrán constituirse áreas para la formalización minera o celebrarse subcontratos de formalización en las zonas de qué trata la Ley 2ª de 1959, hasta tanto no se obtenga la correspondiente sustracción.</w:t>
      </w:r>
    </w:p>
    <w:p w14:paraId="0691D27E" w14:textId="77777777" w:rsidR="00413A96" w:rsidRDefault="00413A96" w:rsidP="00413A96"/>
    <w:p w14:paraId="2344D031" w14:textId="77777777" w:rsidR="00413A96" w:rsidRDefault="00413A96" w:rsidP="00413A96">
      <w:r>
        <w:t>PARÁGRAFO CUARTO. Las autoridades ambientales ante quienes se hayan presentado solicitudes de instrumentos de manejo y control ambiental de actividades mineras de pequeña escala amparada por títulos mineros y que no hayan sido resueltas en los términos previstos por los procedimientos que regulan la materia, deberán pronunciarse de fondo y de manera inmediata sobre las mismas, so pena de hacerse acreedor el funcionario responsable de sanción disciplinaria por falta grave.</w:t>
      </w:r>
    </w:p>
    <w:p w14:paraId="21F3A5EB" w14:textId="77777777" w:rsidR="00413A96" w:rsidRDefault="00413A96" w:rsidP="00413A96"/>
    <w:p w14:paraId="1B30F21A" w14:textId="77777777" w:rsidR="00413A96" w:rsidRDefault="00413A96" w:rsidP="00413A96">
      <w:r>
        <w:t>ARTÍCULO 20. Áreas de reserva para el desarrollo minero. Las áreas de reserva para el desarrollo minero serán las siguientes:</w:t>
      </w:r>
    </w:p>
    <w:p w14:paraId="3FC49F18" w14:textId="77777777" w:rsidR="00413A96" w:rsidRDefault="00413A96" w:rsidP="00413A96"/>
    <w:p w14:paraId="751838C7" w14:textId="77777777" w:rsidR="00413A96" w:rsidRDefault="00413A96" w:rsidP="00413A96">
      <w:r>
        <w:t>Áreas de Reserva Estratégica Mineras: La Autoridad Minera Nacional determinará los minerales de interés  estratégico  para  el  país,  respecto  de  los  cuales,  con  base  en  la información geocientífica disponible, podrá delimitar indefinidamente áreas especiales que se encuentren libres.</w:t>
      </w:r>
    </w:p>
    <w:p w14:paraId="3D471B0F" w14:textId="77777777" w:rsidR="00413A96" w:rsidRDefault="00413A96" w:rsidP="00413A96"/>
    <w:p w14:paraId="6BE5F686" w14:textId="77777777" w:rsidR="00413A96" w:rsidRDefault="00413A96" w:rsidP="00413A96">
      <w:r>
        <w:t>Estas áreas serán objeto de evaluación sobre su potencial minero, para lo cual se deberán adelantar estudios geológicos mineros por parte del Servicio Geológico Colombiano y/o por terceros contratados</w:t>
      </w:r>
    </w:p>
    <w:p w14:paraId="702F57FB" w14:textId="77777777" w:rsidR="00413A96" w:rsidRDefault="00413A96" w:rsidP="00413A96">
      <w:r>
        <w:t xml:space="preserve"> </w:t>
      </w:r>
    </w:p>
    <w:p w14:paraId="634F2833" w14:textId="77777777" w:rsidR="00413A96" w:rsidRDefault="00413A96" w:rsidP="00413A96">
      <w:r>
        <w:t xml:space="preserve">por la Autoridad Minera Nacional. Con base en dicha evaluación, esta Autoridad seleccionará las áreas que </w:t>
      </w:r>
      <w:r>
        <w:lastRenderedPageBreak/>
        <w:t>presenten un alto potencial minero.</w:t>
      </w:r>
    </w:p>
    <w:p w14:paraId="6EC61BA5" w14:textId="77777777" w:rsidR="00413A96" w:rsidRDefault="00413A96" w:rsidP="00413A96"/>
    <w:p w14:paraId="411F7118" w14:textId="77777777" w:rsidR="00413A96" w:rsidRDefault="00413A96" w:rsidP="00413A96">
      <w:r>
        <w:t>Estas áreas se otorgarán mediante proceso de selección objetiva. En los términos de referencia de este proceso, la Autoridad Nacional Minera establecerá los requisitos mínimos de participación, los factores de calificación, las obligaciones especiales del concesionario y podrá establecer las contraprestaciones económicas mínimas adicionales a las regalías. Sobre estas áreas no se recibirán nuevas propuestas ni se suscribirán contratos de concesión minera. Para estos efectos la Autoridad Minera contará con la colaboración del Ministerio de Ambiente y Desarrollo Sostenible.</w:t>
      </w:r>
    </w:p>
    <w:p w14:paraId="6E426BC6" w14:textId="77777777" w:rsidR="00413A96" w:rsidRDefault="00413A96" w:rsidP="00413A96"/>
    <w:p w14:paraId="052D84C4" w14:textId="77777777" w:rsidR="00413A96" w:rsidRDefault="00413A96" w:rsidP="00413A96">
      <w:r>
        <w:t>La Autoridad Nacional Minera dará por terminada la delimitación, cuando las áreas evaluadas no sean seleccionadas, caso en el cual quedarán libres para ser otorgadas mediante el régimen ordinario del Código de Minas. Cuando no se presente licitante u oferente la Autoridad Nacional Minera podrá mantener la delimitación para un futuro proceso de selección sin perjuicio de darla por terminada en cualquier tiempo.</w:t>
      </w:r>
    </w:p>
    <w:p w14:paraId="3E4B142B" w14:textId="77777777" w:rsidR="00413A96" w:rsidRDefault="00413A96" w:rsidP="00413A96"/>
    <w:p w14:paraId="61517B9A" w14:textId="77777777" w:rsidR="00413A96" w:rsidRDefault="00413A96" w:rsidP="00413A96">
      <w:r>
        <w:t>El Gobierno Nacional reglamentará la materia a que aluden los incisos anteriores. En los Contratos Especiales de Exploración y Explotación que se deriven de estas delimitaciones, se podrán establecer reglas y obligaciones especiales adicionales o distintas a las establecidas en el Código de Minas.</w:t>
      </w:r>
    </w:p>
    <w:p w14:paraId="0DFFB5D0" w14:textId="77777777" w:rsidR="00413A96" w:rsidRDefault="00413A96" w:rsidP="00413A96"/>
    <w:p w14:paraId="25EEB180" w14:textId="77777777" w:rsidR="00413A96" w:rsidRDefault="00413A96" w:rsidP="00413A96">
      <w:r>
        <w:t>Por su parte, la información geológica, geoquímica y geofísica que el Servicio Geológico Colombiano genere a partir de la declaratoria de las áreas estratégicas mineras por parte de la Autoridad Minera y que permita evaluar el potencial mineral de tales áreas, tendrá el carácter de reservada por el mismo término en que la Autoridad Minera declare dichas zonas como estratégicas mineras o hasta tanto deba darse a conocer en desarrollo de los procesos de selección objetiva que adelante la Autoridad Minera para el otorgamiento de contratos de concesión especial en estas áreas.</w:t>
      </w:r>
    </w:p>
    <w:p w14:paraId="511C332C" w14:textId="77777777" w:rsidR="00413A96" w:rsidRDefault="00413A96" w:rsidP="00413A96"/>
    <w:p w14:paraId="41E3F740" w14:textId="77777777" w:rsidR="00413A96" w:rsidRDefault="00413A96" w:rsidP="00413A96">
      <w:r>
        <w:t>Áreas de Reserva para la formalización: La Autoridad Minera Nacional podrá delimitar áreas de Reserva Estratégica Minera para la formalización de pequeños mineros, sobre áreas libres o aquellas que sean entregadas a través de la figura de devolución de áreas para la formalización minera.</w:t>
      </w:r>
    </w:p>
    <w:p w14:paraId="61912B0A" w14:textId="77777777" w:rsidR="00413A96" w:rsidRDefault="00413A96" w:rsidP="00413A96"/>
    <w:p w14:paraId="192D01D7" w14:textId="77777777" w:rsidR="00413A96" w:rsidRDefault="00413A96" w:rsidP="00413A96">
      <w:r>
        <w:t>Áreas de Reserva para el desarrollo minero­energético: El Ministerio de Minas y Energía delimitará las zonas estratégicas para el desarrollo minero­energético en un término no mayor de doce (12) meses, contados a partir de la entrada en vigencia de la presente ley. Estas zonas se declaran por un término de dos (2) años prorrogables por el mismo término y su objetivo es permitir el manejo ordenado de los recursos naturales no renovables propendiendo por la maximización del uso de los recursos ajustándose a las mejores prácticas internacionalmente aceptadas.</w:t>
      </w:r>
    </w:p>
    <w:p w14:paraId="6EAC5B76" w14:textId="77777777" w:rsidR="00413A96" w:rsidRDefault="00413A96" w:rsidP="00413A96"/>
    <w:p w14:paraId="653DAD35" w14:textId="77777777" w:rsidR="00413A96" w:rsidRDefault="00413A96" w:rsidP="00413A96">
      <w:r>
        <w:t>Sobre estas áreas no se recibirán nuevas propuestas ni se suscribirán contratos de concesión minera de carbón. Lo anterior con el fin de que estas áreas sean otorgadas por la autoridad correspondiente a través de un proceso de selección objetiva, en el cual dicha autoridad establecerá los términos de referencia.</w:t>
      </w:r>
    </w:p>
    <w:p w14:paraId="0A2AC776" w14:textId="77777777" w:rsidR="00413A96" w:rsidRDefault="00413A96" w:rsidP="00413A96"/>
    <w:p w14:paraId="2632C15A" w14:textId="77777777" w:rsidR="00413A96" w:rsidRDefault="00413A96" w:rsidP="00413A96">
      <w:r>
        <w:t>En casos de superposiciones de áreas entre yacimientos no convencionales y títulos mineros, en virtud de un acuerdo operacional, la Autoridad Minera Nacional autorizará la suspensión de los títulos mineros sin afectar el tiempo contractual.</w:t>
      </w:r>
    </w:p>
    <w:p w14:paraId="0430581D" w14:textId="77777777" w:rsidR="00413A96" w:rsidRDefault="00413A96" w:rsidP="00413A96"/>
    <w:p w14:paraId="4DB10FC6" w14:textId="77777777" w:rsidR="00413A96" w:rsidRDefault="00413A96" w:rsidP="00413A96">
      <w:r>
        <w:t>Ante la suspensión del título minero por la causal antes señalada, el titular minero podrá solicitar la modificación del instrumento de control ambiental, incluyendo un capítulo de cierre temporal. La autoridad ambiental tramitará dicha modificación.</w:t>
      </w:r>
    </w:p>
    <w:p w14:paraId="1CB70476" w14:textId="77777777" w:rsidR="00413A96" w:rsidRDefault="00413A96" w:rsidP="00413A96"/>
    <w:p w14:paraId="3432DB11" w14:textId="77777777" w:rsidR="00413A96" w:rsidRDefault="00413A96" w:rsidP="00413A96">
      <w:r>
        <w:t>No podrán ser áreas de reservas para el desarrollo minero las áreas delimitadas como páramos y humedales.</w:t>
      </w:r>
    </w:p>
    <w:p w14:paraId="1E0AD77F" w14:textId="77777777" w:rsidR="00413A96" w:rsidRDefault="00413A96" w:rsidP="00413A96"/>
    <w:p w14:paraId="20F9DF15" w14:textId="77777777" w:rsidR="00413A96" w:rsidRDefault="00413A96" w:rsidP="00413A96">
      <w:r>
        <w:t>PARÁGRAFO PRIMERO. Las áreas estratégicas mineras creadas con base en el artículo 108 de</w:t>
      </w:r>
    </w:p>
    <w:p w14:paraId="2CEFE818" w14:textId="77777777" w:rsidR="00413A96" w:rsidRDefault="00413A96" w:rsidP="00413A96">
      <w:r>
        <w:t xml:space="preserve"> </w:t>
      </w:r>
    </w:p>
    <w:p w14:paraId="0AA7B4CB" w14:textId="77777777" w:rsidR="00413A96" w:rsidRDefault="00413A96" w:rsidP="00413A96">
      <w:r>
        <w:t>la Ley 1450 de 2011 mantendrán su vigencia pero se sujetarán al régimen previsto en el presente artículo.</w:t>
      </w:r>
    </w:p>
    <w:p w14:paraId="5ECF7B94" w14:textId="77777777" w:rsidR="00413A96" w:rsidRDefault="00413A96" w:rsidP="00413A96"/>
    <w:p w14:paraId="58C4C092" w14:textId="77777777" w:rsidR="00413A96" w:rsidRDefault="00413A96" w:rsidP="00413A96">
      <w:r>
        <w:t>PARÁGRAFO SEGUNDO. No podrán declararse áreas de reserva para el desarrollo minero en zonas de exclusión de conformidad con lo dispuesto por la normatividad vigente.</w:t>
      </w:r>
    </w:p>
    <w:p w14:paraId="0F1C78C9" w14:textId="77777777" w:rsidR="00413A96" w:rsidRDefault="00413A96" w:rsidP="00413A96"/>
    <w:p w14:paraId="52525F08" w14:textId="77777777" w:rsidR="00413A96" w:rsidRDefault="00413A96" w:rsidP="00413A96">
      <w:r>
        <w:t xml:space="preserve">ARTÍCULO 21. Clasificación de la Minería. Para efectos de implementar una política pública diferenciada, las </w:t>
      </w:r>
      <w:r>
        <w:lastRenderedPageBreak/>
        <w:t>actividades mineras estarán clasificadas en minería de subsistencia, pequeña, mediana y grande. El Gobierno nacional las definirá y establecerá los requisitos teniendo en cuenta el número de hectáreas y/o la producción de las unidades mineras según el tipo de mineral. Para la exploración solo se tendrán en cuenta las hectáreas.</w:t>
      </w:r>
    </w:p>
    <w:p w14:paraId="3D148F99" w14:textId="77777777" w:rsidR="00413A96" w:rsidRDefault="00413A96" w:rsidP="00413A96"/>
    <w:p w14:paraId="58D5A451" w14:textId="77777777" w:rsidR="00413A96" w:rsidRDefault="00413A96" w:rsidP="00413A96">
      <w:r>
        <w:t>PARÁGRAFO. A partir de la entrada en vigencia de la presente ley, la Autoridad Minera Nacional podrá adoptar un sistema de cuadrícula para delimitar el área objeto de los contratos de concesión minera, la cual será única y continua. Así mismo podrá adaptar al sistema de cuadrículas los títulos mineros otorgados con anterioridad a la entrada en vigencia de la presente ley, en caso de que el beneficiario de estos así lo decida</w:t>
      </w:r>
    </w:p>
    <w:p w14:paraId="170D990F" w14:textId="77777777" w:rsidR="00413A96" w:rsidRDefault="00413A96" w:rsidP="00413A96"/>
    <w:p w14:paraId="7FB5A1EC" w14:textId="77777777" w:rsidR="00413A96" w:rsidRDefault="00413A96" w:rsidP="00413A96">
      <w:r>
        <w:t>ARTÍCULO 22. Capacidad económica y gestión social. La Autoridad Minera Nacional para el otorgamiento de títulos mineros y cesiones de derechos y de áreas requerirá a los interesados acreditar la capacidad económica para la exploración, explotación, desarrollo y ejecución del proyecto minero.</w:t>
      </w:r>
    </w:p>
    <w:p w14:paraId="7611D3E4" w14:textId="77777777" w:rsidR="00413A96" w:rsidRDefault="00413A96" w:rsidP="00413A96"/>
    <w:p w14:paraId="24FAC718" w14:textId="77777777" w:rsidR="00413A96" w:rsidRDefault="00413A96" w:rsidP="00413A96">
      <w:r>
        <w:t>En los contratos de concesión que suscriba la Autoridad Minera Nacional a partir de la vigencia de la presente ley, se deberá incluir la obligación del concesionario de elaborar y ejecutar Planes de Gestión Social que contengan los programas, proyectos y actividades que serán determinados por la autoridad minera de acuerdo a la escala de producción y capacidad técnica y económica de los titulares. La verificación del cumplimiento de esta obligación por parte de la Autoridad Minera hará parte del proceso de fiscalización y podrá financiarse con las mismas fuentes.</w:t>
      </w:r>
    </w:p>
    <w:p w14:paraId="43B4A189" w14:textId="77777777" w:rsidR="00413A96" w:rsidRDefault="00413A96" w:rsidP="00413A96"/>
    <w:p w14:paraId="03A5D8FE" w14:textId="77777777" w:rsidR="00413A96" w:rsidRDefault="00413A96" w:rsidP="00413A96">
      <w:r>
        <w:t>PARÁGRAFO. La capacidad económica de que trata este artículo no le es aplicable a las propuestas de contrato de concesión presentadas antes de la entrada en vigencia de la presente ley.</w:t>
      </w:r>
    </w:p>
    <w:p w14:paraId="0C82420C" w14:textId="77777777" w:rsidR="00413A96" w:rsidRDefault="00413A96" w:rsidP="00413A96"/>
    <w:p w14:paraId="7C2C7B8E" w14:textId="77777777" w:rsidR="00413A96" w:rsidRDefault="00413A96" w:rsidP="00413A96">
      <w:r>
        <w:t>ARTÍCULO 23. Integración de áreas. Adiciónese un parágrafo al artículo 101° de la Ley 685 de 2001, el cual quedará así:</w:t>
      </w:r>
    </w:p>
    <w:p w14:paraId="518CF570" w14:textId="77777777" w:rsidR="00413A96" w:rsidRDefault="00413A96" w:rsidP="00413A96"/>
    <w:p w14:paraId="27B0B776" w14:textId="77777777" w:rsidR="00413A96" w:rsidRDefault="00413A96" w:rsidP="00413A96">
      <w:r>
        <w:t>“Parágrafo. En caso de solicitarse por parte del beneficiario de un título minero de cualquier régimen o modalidad la integración de áreas, así estas no sean vecinas o colindantes, pero que pertenezcan a un mismo yacimiento, la Autoridad Minera Nacional podrá proceder a su integración, caso en el cual podrá acordar nuevos requisitos contractuales y pactar contraprestaciones adicionales distintas a las regalías. El Gobierno Nacional reglamentará la materia.</w:t>
      </w:r>
    </w:p>
    <w:p w14:paraId="417AE150" w14:textId="77777777" w:rsidR="00413A96" w:rsidRDefault="00413A96" w:rsidP="00413A96"/>
    <w:p w14:paraId="2222A3CA" w14:textId="77777777" w:rsidR="00413A96" w:rsidRDefault="00413A96" w:rsidP="00413A96">
      <w:r>
        <w:t>En ningún caso la integración solicitada dará lugar a prórrogas a los títulos mineros”.</w:t>
      </w:r>
    </w:p>
    <w:p w14:paraId="25F23B2D" w14:textId="77777777" w:rsidR="00413A96" w:rsidRDefault="00413A96" w:rsidP="00413A96"/>
    <w:p w14:paraId="58D4E910" w14:textId="77777777" w:rsidR="00413A96" w:rsidRDefault="00413A96" w:rsidP="00413A96">
      <w:r>
        <w:t>ARTÍCULO 24. Cierre de minas. El Gobierno Nacional establecerá las condiciones ambientales, técnicas, financieras, sociales y demás que deberá observar el titular minero al momento de ejecutar el plan de cierre y abandono de minas, incluyendo el aprovisionamiento de recursos para tal fin y/o sus garantías. Adicionalmente, se establecerá el procedimiento para la aprobación del mencionado plan y el cumplimiento de esta obligación.</w:t>
      </w:r>
    </w:p>
    <w:p w14:paraId="7AFE0218" w14:textId="77777777" w:rsidR="00413A96" w:rsidRDefault="00413A96" w:rsidP="00413A96"/>
    <w:p w14:paraId="7DA35983" w14:textId="77777777" w:rsidR="00413A96" w:rsidRDefault="00413A96" w:rsidP="00413A96">
      <w:r>
        <w:t>PARÁGRAFO PRIMERO. El plan de cierre y abandono debe establecerse desde la etapa de explotación incluida la etapa de construcción y montaje. Esta obligación se extiende a los titulares de autorizaciones temporales.</w:t>
      </w:r>
    </w:p>
    <w:p w14:paraId="7EADEE19" w14:textId="77777777" w:rsidR="00413A96" w:rsidRDefault="00413A96" w:rsidP="00413A96"/>
    <w:p w14:paraId="71942A7E" w14:textId="77777777" w:rsidR="00413A96" w:rsidRDefault="00413A96" w:rsidP="00413A96">
      <w:r>
        <w:t>PARÁGRAFO SEGUNDO. El Gobierno Nacional deberá establecer y liderar la puesta en marcha de</w:t>
      </w:r>
    </w:p>
    <w:p w14:paraId="5C2F15E3" w14:textId="77777777" w:rsidR="00413A96" w:rsidRDefault="00413A96" w:rsidP="00413A96">
      <w:r>
        <w:t xml:space="preserve"> </w:t>
      </w:r>
    </w:p>
    <w:p w14:paraId="156797E2" w14:textId="77777777" w:rsidR="00413A96" w:rsidRDefault="00413A96" w:rsidP="00413A96">
      <w:r>
        <w:t>una estrategia integral para la identificación, atención y remediación ambiental de las áreas mineras en situación de abandono o que hayan sido afectadas por extracción ilícita de minerales especialmente aquellas que representen una grave afectación ambiental, un riesgo para las personas, sus bienes y actividades, e infraestructura de línea vital.</w:t>
      </w:r>
    </w:p>
    <w:p w14:paraId="423A7A97" w14:textId="77777777" w:rsidR="00413A96" w:rsidRDefault="00413A96" w:rsidP="00413A96"/>
    <w:p w14:paraId="587DC341" w14:textId="77777777" w:rsidR="00413A96" w:rsidRDefault="00413A96" w:rsidP="00413A96">
      <w:r>
        <w:t>ARTÍCULO 25. Sanciones en distribución de combustibles. Los agentes de la cadena de distribución de combustibles líquidos y biocombustibles que transgredan las normas sobre el funcionamiento del servicio público que prestan dichos agentes, o que incumplan las órdenes del Ministerio de Minas y Energía sobre el particular, serán objeto de imposición de las siguientes sanciones, según la conducta: a) multa entre diez (10) y dos mil (2.000) salarios mínimos legales mensuales vigentes; b) suspensión del servicio entre diez (10) y noventa (90) días calendario y bloqueo del código SICOM; c) cancelación de la autorización y bloqueo del código SICOM; d) decomiso administrativo permanente.</w:t>
      </w:r>
    </w:p>
    <w:p w14:paraId="6BB86AA1" w14:textId="77777777" w:rsidR="00413A96" w:rsidRDefault="00413A96" w:rsidP="00413A96"/>
    <w:p w14:paraId="1CDF9069" w14:textId="77777777" w:rsidR="00413A96" w:rsidRDefault="00413A96" w:rsidP="00413A96">
      <w:r>
        <w:t>PARÁGRAFO PRIMERO. El Ministerio de Minas y Energía o la autoridad delegada, decretará como medida preventiva dentro del procedimiento sancionatorio, la suspensión de la actividad de la cadena de distribución cuando pueda derivarse algún daño o peligro, o cuando la actividad se ejerce sin en el lleno de los requisitos, permisos o autorizaciones para su funcionamiento, para lo cual procederá a bloquear el código SICOM. Lo anterior, con el fin de proteger, prevenir o impedir la ocurrencia de un hecho, actuación y/o daño que atente contra la vida, la integridad de las personas, la seguridad, el medio ambiente o intereses jurídicos superiores.</w:t>
      </w:r>
    </w:p>
    <w:p w14:paraId="47B3D19A" w14:textId="77777777" w:rsidR="00413A96" w:rsidRDefault="00413A96" w:rsidP="00413A96"/>
    <w:p w14:paraId="587CE965" w14:textId="77777777" w:rsidR="00413A96" w:rsidRDefault="00413A96" w:rsidP="00413A96">
      <w:r>
        <w:t>PARÁGRAFO SEGUNDO. Las autoridades de policía a nivel municipal podrán realizar los decomisos temporales de productos, elementos, medios o implementos utilizados para cometer la infracción a las normas que regulan la cadena de distribución de combustibles líquidos y biocombustibles. De lo anterior informará al Ministerio de Minas y Energía o a la autoridad competente a efectos de iniciar los procedimientos administrativos que sean del caso.</w:t>
      </w:r>
    </w:p>
    <w:p w14:paraId="4B12A979" w14:textId="77777777" w:rsidR="00413A96" w:rsidRDefault="00413A96" w:rsidP="00413A96"/>
    <w:p w14:paraId="25FC625F" w14:textId="77777777" w:rsidR="00413A96" w:rsidRDefault="00413A96" w:rsidP="00413A96">
      <w:r>
        <w:t>ARTÍCULO 26. Multas en el sector de hidrocarburos. Modifíquese el artículo 67° del Decreto 1056 de 1953, el cual quedará así:</w:t>
      </w:r>
    </w:p>
    <w:p w14:paraId="5E56A110" w14:textId="77777777" w:rsidR="00413A96" w:rsidRDefault="00413A96" w:rsidP="00413A96"/>
    <w:p w14:paraId="3C6DD8C0" w14:textId="77777777" w:rsidR="00413A96" w:rsidRDefault="00413A96" w:rsidP="00413A96">
      <w:r>
        <w:t>“ARTÍCULO 67°. El Ministerio de Minas y Energía podrá imponer administrativamente multas entre dos mil (2.000) y cien mil (100.000) salarios mínimos legales mensuales vigentes (smmlv), en cada caso, por el incumplimiento de las obligaciones que se establecen en el Código de Petróleos, cuando el incumplimiento no deba producir caducidad de contratos o cancelación de permisos, o cuando el Gobierno prefiera optar por esta sanción y no declarar la caducidad en los casos pertinentes del artículo siguiente”.</w:t>
      </w:r>
    </w:p>
    <w:p w14:paraId="5D2113D7" w14:textId="77777777" w:rsidR="00413A96" w:rsidRDefault="00413A96" w:rsidP="00413A96"/>
    <w:p w14:paraId="590313FE" w14:textId="77777777" w:rsidR="00413A96" w:rsidRDefault="00413A96" w:rsidP="00413A96">
      <w:r>
        <w:t>ARTÍCULO 27. Canon superficiario. Modifíquese el artículo 230 de la Ley 685 de 2001, el cual quedará así:</w:t>
      </w:r>
    </w:p>
    <w:p w14:paraId="6622DEE6" w14:textId="77777777" w:rsidR="00413A96" w:rsidRDefault="00413A96" w:rsidP="00413A96"/>
    <w:p w14:paraId="62CDFF69" w14:textId="77777777" w:rsidR="00413A96" w:rsidRDefault="00413A96" w:rsidP="00413A96">
      <w:r>
        <w:t>“ARTÍCULO 230 Canon superficiario. El canon superficiario se pagará anualmente y de forma anticipada, sobre la totalidad del área de la concesión minera durante la etapa de exploración, acorde con los siguientes valores y periodos:</w:t>
      </w:r>
    </w:p>
    <w:p w14:paraId="13CC4187" w14:textId="77777777" w:rsidR="00413A96" w:rsidRDefault="00413A96" w:rsidP="00413A96"/>
    <w:p w14:paraId="1DFA9E7A" w14:textId="77777777" w:rsidR="00413A96" w:rsidRDefault="00413A96" w:rsidP="00413A96">
      <w:r>
        <w:t>NÚMERO DE HECTÁREAS</w:t>
      </w:r>
      <w:r>
        <w:tab/>
        <w:t>0 a 5 Años</w:t>
      </w:r>
      <w:r>
        <w:tab/>
        <w:t>Más de 5** años hasta</w:t>
      </w:r>
    </w:p>
    <w:p w14:paraId="329E7E45" w14:textId="77777777" w:rsidR="00413A96" w:rsidRDefault="00413A96" w:rsidP="00413A96">
      <w:r>
        <w:t>8 Años</w:t>
      </w:r>
      <w:r>
        <w:tab/>
        <w:t>Más de 8** años hasta</w:t>
      </w:r>
    </w:p>
    <w:p w14:paraId="055EEFA4" w14:textId="77777777" w:rsidR="00413A96" w:rsidRDefault="00413A96" w:rsidP="00413A96">
      <w:r>
        <w:t>11 Años</w:t>
      </w:r>
    </w:p>
    <w:p w14:paraId="261C2080" w14:textId="77777777" w:rsidR="00413A96" w:rsidRPr="00413A96" w:rsidRDefault="00413A96" w:rsidP="00413A96">
      <w:pPr>
        <w:rPr>
          <w:lang w:val="en-US"/>
        </w:rPr>
      </w:pPr>
      <w:r>
        <w:tab/>
      </w:r>
      <w:r w:rsidRPr="00413A96">
        <w:rPr>
          <w:lang w:val="en-US"/>
        </w:rPr>
        <w:t>SMDLV/h*</w:t>
      </w:r>
      <w:r w:rsidRPr="00413A96">
        <w:rPr>
          <w:lang w:val="en-US"/>
        </w:rPr>
        <w:tab/>
        <w:t>SMDLV/h</w:t>
      </w:r>
      <w:r w:rsidRPr="00413A96">
        <w:rPr>
          <w:lang w:val="en-US"/>
        </w:rPr>
        <w:tab/>
        <w:t>SMDLV/h</w:t>
      </w:r>
    </w:p>
    <w:p w14:paraId="201791A3" w14:textId="77777777" w:rsidR="00413A96" w:rsidRDefault="00413A96" w:rsidP="00413A96">
      <w:r>
        <w:t>0­150</w:t>
      </w:r>
      <w:r>
        <w:tab/>
        <w:t>0.5</w:t>
      </w:r>
      <w:r>
        <w:tab/>
        <w:t>0.75</w:t>
      </w:r>
      <w:r>
        <w:tab/>
        <w:t>1</w:t>
      </w:r>
    </w:p>
    <w:p w14:paraId="433AEA77" w14:textId="77777777" w:rsidR="00413A96" w:rsidRDefault="00413A96" w:rsidP="00413A96">
      <w:r>
        <w:t>151­5.000</w:t>
      </w:r>
      <w:r>
        <w:tab/>
        <w:t>0.75</w:t>
      </w:r>
      <w:r>
        <w:tab/>
        <w:t>1.25</w:t>
      </w:r>
      <w:r>
        <w:tab/>
        <w:t>2</w:t>
      </w:r>
    </w:p>
    <w:p w14:paraId="46419F50" w14:textId="77777777" w:rsidR="00413A96" w:rsidRDefault="00413A96" w:rsidP="00413A96">
      <w:r>
        <w:t>5.001­10.000</w:t>
      </w:r>
      <w:r>
        <w:tab/>
        <w:t>1.0</w:t>
      </w:r>
      <w:r>
        <w:tab/>
        <w:t>1.75</w:t>
      </w:r>
      <w:r>
        <w:tab/>
        <w:t>3</w:t>
      </w:r>
    </w:p>
    <w:p w14:paraId="5E898FDC" w14:textId="77777777" w:rsidR="00413A96" w:rsidRDefault="00413A96" w:rsidP="00413A96">
      <w:r>
        <w:t>* Salario mínimo diario legal vigente / hectárea</w:t>
      </w:r>
    </w:p>
    <w:p w14:paraId="5E60D5EB" w14:textId="77777777" w:rsidR="00413A96" w:rsidRDefault="00413A96" w:rsidP="00413A96"/>
    <w:p w14:paraId="43FB80E5" w14:textId="77777777" w:rsidR="00413A96" w:rsidRDefault="00413A96" w:rsidP="00413A96">
      <w:r>
        <w:t>** A partir de cumplido el año más un día (5 A + 1 D, 8 A + 1 D).</w:t>
      </w:r>
    </w:p>
    <w:p w14:paraId="228CB9F1" w14:textId="77777777" w:rsidR="00413A96" w:rsidRDefault="00413A96" w:rsidP="00413A96">
      <w:r>
        <w:t xml:space="preserve"> </w:t>
      </w:r>
    </w:p>
    <w:p w14:paraId="0BC629D9" w14:textId="77777777" w:rsidR="00413A96" w:rsidRDefault="00413A96" w:rsidP="00413A96">
      <w:r>
        <w:t>Estos valores son compatibles con las regalías y constituyen una contraprestación que se cobrará por la autoridad contratante sin consideración a quien tenga la propiedad o posesión de los terrenos de ubicación del contrato.</w:t>
      </w:r>
    </w:p>
    <w:p w14:paraId="4C400E66" w14:textId="77777777" w:rsidR="00413A96" w:rsidRDefault="00413A96" w:rsidP="00413A96"/>
    <w:p w14:paraId="50752B1B" w14:textId="77777777" w:rsidR="00413A96" w:rsidRDefault="00413A96" w:rsidP="00413A96">
      <w:r>
        <w:t>Para las etapas de construcción y montaje o exploración adicional, si a ello hay lugar, se continuará cancelando el valor equivalente al último canon pagado durante la etapa de exploración.</w:t>
      </w:r>
    </w:p>
    <w:p w14:paraId="3A0392A9" w14:textId="77777777" w:rsidR="00413A96" w:rsidRDefault="00413A96" w:rsidP="00413A96"/>
    <w:p w14:paraId="361E2DCB" w14:textId="77777777" w:rsidR="00413A96" w:rsidRDefault="00413A96" w:rsidP="00413A96">
      <w:r>
        <w:t>ARTÍCULO 28. Coyuntura del sector de hidrocarburos. La Agencia Nacional de Hidrocarburos, como responsable de la administración integral de las reservas y recursos de hidrocarburos propiedad de la nación, adoptará reglas de carácter general conforme a las cuales podrán adecuarse o ajustarse los contratos de exploración y explotación, y los contratos de evaluación técnica en materia económica, sin que bajo ninguna circunstancia se puedan reducir los compromisos de inversión inicialmente pactados.</w:t>
      </w:r>
    </w:p>
    <w:p w14:paraId="3ECF9AC4" w14:textId="77777777" w:rsidR="00413A96" w:rsidRDefault="00413A96" w:rsidP="00413A96"/>
    <w:p w14:paraId="3D7118C3" w14:textId="77777777" w:rsidR="00413A96" w:rsidRDefault="00413A96" w:rsidP="00413A96">
      <w:r>
        <w:t>Lo anterior, para efectos de hacer frente a situaciones adversas de caída de los precios internacionales de los hidrocarburos, en los niveles de producción, niveles de reserva, con el propósito de mitigar los efectos negativos de estos fenómenos en la economía nacional y en las finanzas públicas.</w:t>
      </w:r>
    </w:p>
    <w:p w14:paraId="36CFB639" w14:textId="77777777" w:rsidR="00413A96" w:rsidRDefault="00413A96" w:rsidP="00413A96"/>
    <w:p w14:paraId="598E8A30" w14:textId="77777777" w:rsidR="00413A96" w:rsidRDefault="00413A96" w:rsidP="00413A96">
      <w:r>
        <w:t xml:space="preserve">Los contratos y las modificaciones convenidas por las partes en desarrollo de los contratos de exploración y </w:t>
      </w:r>
      <w:r>
        <w:lastRenderedPageBreak/>
        <w:t>producción de hidrocarburos y de evaluación técnica serán públicos, incluyendo las cláusulas relacionadas con los compromisos en materia de inversión social, los programas de beneficio a las comunidades, así como las inversiones en materia ambiental, salvo en aquellos aspectos que se encuentren sometidos a reserva legal o amparados contractualmente por confidencialidad, de acuerdo con la Constitución y la ley.</w:t>
      </w:r>
    </w:p>
    <w:p w14:paraId="4C583957" w14:textId="77777777" w:rsidR="00413A96" w:rsidRDefault="00413A96" w:rsidP="00413A96"/>
    <w:p w14:paraId="6F9C99A4" w14:textId="77777777" w:rsidR="00413A96" w:rsidRDefault="00413A96" w:rsidP="00413A96">
      <w:r>
        <w:t>ARTÍCULO 29. Fomento a los proyectos de producción incremental. Todos los proyectos de producción incremental serán beneficiarios de lo establecido en el parágrafo tercero del artículo 16° de la Ley 756 de 2002, para lo cual se deberá obtener la aprobación previa del proyecto por parte del Ministerio de Minas y Energía, o quien haga sus veces en materia de fiscalización. Se entenderá por proyectos de producción incremental aquellos que incorporen nuevas reservas recuperables como consecuencia de inversiones adicionales que se realicen a partir de la fecha de promulgación de la presente ley, y las cuales se encuentren encaminadas a aumentar el factor de recobro de los yacimientos existentes.</w:t>
      </w:r>
    </w:p>
    <w:p w14:paraId="65BF1D04" w14:textId="77777777" w:rsidR="00413A96" w:rsidRDefault="00413A96" w:rsidP="00413A96"/>
    <w:p w14:paraId="6FC906C8" w14:textId="77777777" w:rsidR="00413A96" w:rsidRDefault="00413A96" w:rsidP="00413A96">
      <w:r>
        <w:t>ARTÍCULO 30. Determinación de tarifas y tasa por servicios que presten los organismos de apoyo. Modifíquese el artículo 20 de la Ley 1702 de 2013, el cual quedará así:</w:t>
      </w:r>
    </w:p>
    <w:p w14:paraId="0E1608D1" w14:textId="77777777" w:rsidR="00413A96" w:rsidRDefault="00413A96" w:rsidP="00413A96"/>
    <w:p w14:paraId="7E5CEB9A" w14:textId="77777777" w:rsidR="00413A96" w:rsidRDefault="00413A96" w:rsidP="00413A96">
      <w:r>
        <w:t>“ARTÍCULO 20. Determinación de tarifas por servicios que presten los organismos de apoyo. El Ministerio de Transporte definirá mediante resolución, en un plazo no mayor a noventa (90) días contados a partir de la entrada en vigencia de la presente ley, las condiciones, características de seguridad y el rango de precios al usuario dentro del cual se deben ofrecer los servicios que prestan los Centros de Enseñanza Automovilística, los de Reconocimiento y Evaluación de Conductores, los de Diagnóstico Automotor, y los que realicen la prueba teórico­práctica para la obtención de licencias de conducción expresado en salarios mínimos diarios vigentes. Se efectuará un estudio de costos directos e indirectos considerando las particularidades, infraestructura y requerimientos de cada servicio para la fijación de la tarifa. Para la determinación de los valores que por cada servicio deben transferirse al Fondo Nacional de Seguridad Vial, se aplicará el siguiente procedimiento:</w:t>
      </w:r>
    </w:p>
    <w:p w14:paraId="4DC75D31" w14:textId="77777777" w:rsidR="00413A96" w:rsidRDefault="00413A96" w:rsidP="00413A96"/>
    <w:p w14:paraId="744F1084" w14:textId="77777777" w:rsidR="00413A96" w:rsidRDefault="00413A96" w:rsidP="00413A96">
      <w:r>
        <w:t>1.</w:t>
      </w:r>
      <w:r>
        <w:tab/>
        <w:t>Se tomará el valor del presupuesto de la Agencia Nacional de Seguridad Vial ejecutado en el año inmediatamente anterior, certificado por el responsable del presupuesto.</w:t>
      </w:r>
    </w:p>
    <w:p w14:paraId="1839917D" w14:textId="77777777" w:rsidR="00413A96" w:rsidRDefault="00413A96" w:rsidP="00413A96"/>
    <w:p w14:paraId="738F33DC" w14:textId="77777777" w:rsidR="00413A96" w:rsidRDefault="00413A96" w:rsidP="00413A96">
      <w:r>
        <w:t>2.</w:t>
      </w:r>
      <w:r>
        <w:tab/>
        <w:t>Se definirá el número de servicios acumulados en el mismo período por los cuatro (4) grupos de organismos de apoyo (Centros de Enseñanza Automovilística, los de Reconocimiento de Conductores, los de Diagnóstico Automotor y los que realicen la prueba teórico­práctica para la</w:t>
      </w:r>
    </w:p>
    <w:p w14:paraId="57C57BC0" w14:textId="77777777" w:rsidR="00413A96" w:rsidRDefault="00413A96" w:rsidP="00413A96">
      <w:r>
        <w:t xml:space="preserve"> </w:t>
      </w:r>
    </w:p>
    <w:p w14:paraId="4E296644" w14:textId="77777777" w:rsidR="00413A96" w:rsidRDefault="00413A96" w:rsidP="00413A96">
      <w:r>
        <w:t>obtención de licencias de conducción), dividiendo el valor del numeral precedente en el número de servicios.</w:t>
      </w:r>
    </w:p>
    <w:p w14:paraId="25451FAA" w14:textId="77777777" w:rsidR="00413A96" w:rsidRDefault="00413A96" w:rsidP="00413A96"/>
    <w:p w14:paraId="67DC71E1" w14:textId="77777777" w:rsidR="00413A96" w:rsidRDefault="00413A96" w:rsidP="00413A96">
      <w:r>
        <w:t>3.</w:t>
      </w:r>
      <w:r>
        <w:tab/>
        <w:t>El producto de dividir la operación se tendrá como base del cálculo individual de cada tasa.</w:t>
      </w:r>
    </w:p>
    <w:p w14:paraId="0F09BCA0" w14:textId="77777777" w:rsidR="00413A96" w:rsidRDefault="00413A96" w:rsidP="00413A96"/>
    <w:p w14:paraId="03961195" w14:textId="77777777" w:rsidR="00413A96" w:rsidRDefault="00413A96" w:rsidP="00413A96">
      <w:r>
        <w:t>4.</w:t>
      </w:r>
      <w:r>
        <w:tab/>
        <w:t>La tasa final de cada servicio corresponderá al cálculo individual multiplicado por factores numéricos inferiores a uno (1) en función de la pertenencia de cada usuario o de su vehículo (en el caso de los Centros de Diagnóstico Automotor) a grupos de riesgo con base en criterios como edad, tipo de licencia, clase de vehículo, servicio u otros que permitan estimar el riesgo de accidente, tomados con base en las estadísticas oficiales sobre fallecidos y lesionados. Los factores serán crecientes o decrecientes en función de la mayor o menor participación en accidentes, respectivamente.</w:t>
      </w:r>
    </w:p>
    <w:p w14:paraId="2F2D313C" w14:textId="77777777" w:rsidR="00413A96" w:rsidRDefault="00413A96" w:rsidP="00413A96"/>
    <w:p w14:paraId="73C695CC" w14:textId="77777777" w:rsidR="00413A96" w:rsidRDefault="00413A96" w:rsidP="00413A96">
      <w:r>
        <w:t>5.</w:t>
      </w:r>
      <w:r>
        <w:tab/>
        <w:t>Una vez definido el valor de la tasa individual, esta se acumulará al valor de la tarifa para cada servicio.</w:t>
      </w:r>
    </w:p>
    <w:p w14:paraId="246DAC7F" w14:textId="77777777" w:rsidR="00413A96" w:rsidRDefault="00413A96" w:rsidP="00413A96"/>
    <w:p w14:paraId="1E7F4181" w14:textId="77777777" w:rsidR="00413A96" w:rsidRDefault="00413A96" w:rsidP="00413A96">
      <w:r>
        <w:t>En ningún caso la tasa final al usuario podrá superar medio (0,5) salario mínimo diario en las tarifas que cobren los Centros de Reconocimiento de Conductores, de Diagnóstico Automotor y los que realicen la prueba teórico­práctica para la obtención de licencias de conducción y un (1) salario mínimo diario en los Centros de Enseñanza Automovilística.</w:t>
      </w:r>
    </w:p>
    <w:p w14:paraId="1300C2A4" w14:textId="77777777" w:rsidR="00413A96" w:rsidRDefault="00413A96" w:rsidP="00413A96"/>
    <w:p w14:paraId="1F37B9B7" w14:textId="77777777" w:rsidR="00413A96" w:rsidRDefault="00413A96" w:rsidP="00413A96">
      <w:r>
        <w:t>Se determinará el porcentaje correspondiente de que (sic) se girará con destino al Fondo Nacional de Seguridad Vial y la parte que se destinará como remuneración de los organismos de apoyo de que trata este artículo.</w:t>
      </w:r>
    </w:p>
    <w:p w14:paraId="37DC546F" w14:textId="77777777" w:rsidR="00413A96" w:rsidRDefault="00413A96" w:rsidP="00413A96"/>
    <w:p w14:paraId="1A9FED95" w14:textId="77777777" w:rsidR="00413A96" w:rsidRDefault="00413A96" w:rsidP="00413A96">
      <w:r>
        <w:t xml:space="preserve">PARÁGRAFO PRIMERO. La Agencia Nacional de Seguridad Vial, con cargo a los recursos mencionados en el presente artículo y los demás ingresos del Fondo Nacional de Seguridad Vial, podrá apoyar a las autoridades </w:t>
      </w:r>
      <w:r>
        <w:lastRenderedPageBreak/>
        <w:t>de tránsito que requieran intervención con base en sus indicadores de seguridad vial, así como a la Policía Nacional a través de convenios que tendrán por objeto, tanto las acciones de fortalecimiento institucional, como las preventivas y de control, incluyendo, cuando proceda, el uso de dispositivos de detección de aquellas infracciones de tránsito que generen mayor riesgo de accidente.</w:t>
      </w:r>
    </w:p>
    <w:p w14:paraId="046A3D02" w14:textId="77777777" w:rsidR="00413A96" w:rsidRDefault="00413A96" w:rsidP="00413A96"/>
    <w:p w14:paraId="7AB31AF6" w14:textId="77777777" w:rsidR="00413A96" w:rsidRDefault="00413A96" w:rsidP="00413A96">
      <w:r>
        <w:t>PARÁGRAFO SEGUNDO. La Agencia Nacional de Seguridad Vial transferirá al Instituto Nacional de Medicina Legal y Ciencias Forenses, uno coma cinco (1,5) salarios mínimos mensuales legales vigentes (smmlv) por cada necropsia médico legal registrada en el mes anterior por causa o con ocasión de accidentes de tránsito, una vez remita la información de fallecimientos y lesiones bajo las condiciones de reporte fijadas por el Ministerio de Transporte. Los valores estarán destinados al financiamiento de las actividades médico legales y de información relacionadas con accidentes y hechos de tránsito”.</w:t>
      </w:r>
    </w:p>
    <w:p w14:paraId="441E5A22" w14:textId="77777777" w:rsidR="00413A96" w:rsidRDefault="00413A96" w:rsidP="00413A96"/>
    <w:p w14:paraId="5B74B379" w14:textId="77777777" w:rsidR="00413A96" w:rsidRDefault="00413A96" w:rsidP="00413A96">
      <w:r>
        <w:t>ARTÍCULO 31. Financiación de sistemas de transporte. Modifíquese el artículo 14 de la Ley 86 de 1989, el cual quedará así:</w:t>
      </w:r>
    </w:p>
    <w:p w14:paraId="27162318" w14:textId="77777777" w:rsidR="00413A96" w:rsidRDefault="00413A96" w:rsidP="00413A96"/>
    <w:p w14:paraId="174D060B" w14:textId="77777777" w:rsidR="00413A96" w:rsidRDefault="00413A96" w:rsidP="00413A96">
      <w:r>
        <w:t>“ARTÍCULO 14. Los sistemas de transporte deben ser sostenibles. Para ello las tarifas que se cobren por la prestación del servicio de transporte público de pasajeros, sumadas a otras fuentes de financiación de origen territorial si las hubiere, deberán ser suficientes para cubrir los costos de operación, administración, mantenimiento, y reposición de los equipos. En ningún caso el Gobierno nacional podrá realizar transferencias para cubrir estos costos. Lo anterior, sin perjuicio de que las entidades territoriales y/o el Gobierno Nacional, dentro del Marco de Gasto de Mediano Plazo, en los casos en que cofinancie estos sistemas, puedan realizar inversiones en la etapa preoperativa en infraestructura física y adquisición inicial total o parcial de material rodante de sistemas de metro o de transporte férreo interurbano de pasajeros incentivando la incorporación de tecnologías limpias y la accesibilidad a los vehículos para personas con movilidad reducida, estrategias de articulación y fomento de la movilidad en medios no motorizados, así como implementación de sistemas de</w:t>
      </w:r>
    </w:p>
    <w:p w14:paraId="00EDA1ED" w14:textId="77777777" w:rsidR="00413A96" w:rsidRDefault="00413A96" w:rsidP="00413A96">
      <w:r>
        <w:t xml:space="preserve"> </w:t>
      </w:r>
    </w:p>
    <w:p w14:paraId="3769B0FA" w14:textId="77777777" w:rsidR="00413A96" w:rsidRDefault="00413A96" w:rsidP="00413A96">
      <w:r>
        <w:t>recaudo, información y control de flota que garanticen la sostenibilidad del Sistema”.</w:t>
      </w:r>
    </w:p>
    <w:p w14:paraId="6CB74348" w14:textId="77777777" w:rsidR="00413A96" w:rsidRDefault="00413A96" w:rsidP="00413A96"/>
    <w:p w14:paraId="4D9D0C01" w14:textId="77777777" w:rsidR="00413A96" w:rsidRDefault="00413A96" w:rsidP="00413A96">
      <w:r>
        <w:t>Para el caso de cofinanciación de sistemas de metro, el CONFIS podrá autorizar vigencias futuras hasta por el plazo del servicio de la deuda del proyecto de conformidad con la Ley 310 de 1996, dentro del límite anual de autorizaciones para comprometer vigencias futuras establecidas en el artículo 26 de la Ley 1508 de 2012.</w:t>
      </w:r>
    </w:p>
    <w:p w14:paraId="1CE25D1B" w14:textId="77777777" w:rsidR="00413A96" w:rsidRDefault="00413A96" w:rsidP="00413A96"/>
    <w:p w14:paraId="331A8703" w14:textId="77777777" w:rsidR="00413A96" w:rsidRDefault="00413A96" w:rsidP="00413A96">
      <w:r>
        <w:t>ARTÍCULO 32. Apoyo a los sistemas de transporte. Modifíquese el artículo 132 de la Ley 1450 de 2011, el cual quedará así:</w:t>
      </w:r>
    </w:p>
    <w:p w14:paraId="1BBA4C64" w14:textId="77777777" w:rsidR="00413A96" w:rsidRDefault="00413A96" w:rsidP="00413A96"/>
    <w:p w14:paraId="55116B0C" w14:textId="77777777" w:rsidR="00413A96" w:rsidRDefault="00413A96" w:rsidP="00413A96">
      <w:r>
        <w:t>“ARTÍCULO 132. Apoyo a los Sistemas de Transporte. El Gobierno nacional podrá apoyar los SITM, SETP, SITP, SITR que se encuentren en operación, implementación y estructuración, de conformidad con el Marco Fiscal de Mediano Plazo y lo establecido en el artículo 14 de la Ley 86 de 1989 y en la Ley 310 de 1996. Así mismo, podrá apoyar las soluciones de transporte público de pasajeros en zonas urbanas, conurbadas o regionales que estén integradas en el sistema de ciudades que se vienen estructurando, implementando u operando en el país, siempre y cuando comprendan acciones orientadas a incrementar y regular el uso de modos no motorizados y de energías limpias (entendidos como el viaje a pie, bicicleta o tricimóvil, entre otros), integración con otros modos y modalidades, especialmente en zonas de última milla, y medidas contra la ilegalidad y la informalidad.</w:t>
      </w:r>
    </w:p>
    <w:p w14:paraId="18449995" w14:textId="77777777" w:rsidR="00413A96" w:rsidRDefault="00413A96" w:rsidP="00413A96"/>
    <w:p w14:paraId="1AC4A406" w14:textId="77777777" w:rsidR="00413A96" w:rsidRDefault="00413A96" w:rsidP="00413A96">
      <w:r>
        <w:t>Parágrafo 1°. Para efecto de lo establecido en el presente artículo, se entiende como: Sistemas Integrados de Transporte Masivo (SITM) las soluciones de transporte público para municipios o áreas metropolitanas con población superior a los 600.000 habitantes; Sistemas Estratégicos de Transporte Público (SETP), las soluciones de transporte público para municipios o áreas metropolitanas con población entre los 600.000 y los 250.000 habitantes; Sistemas Integrados de Transporte Público (SITP), las soluciones de transporte que busquen proporcionar cobertura al 100% de la demanda de transporte urbano para municipios o áreas metropolitanas donde se han implementado los SITM, y como Sistemas Integrados de Transporte Regional (SITR), las soluciones de transporte de las aglomeraciones urbanas o ciudades funcionales que se encuentran definidas en el documento CONPES 3819 del 21 de octubre de 2014 y que tienen como objetivo consolidar la conectividad y complementariedad del mercado laboral y de servicios en estas áreas.</w:t>
      </w:r>
    </w:p>
    <w:p w14:paraId="04D54B2E" w14:textId="77777777" w:rsidR="00413A96" w:rsidRDefault="00413A96" w:rsidP="00413A96"/>
    <w:p w14:paraId="05B1E4C1" w14:textId="77777777" w:rsidR="00413A96" w:rsidRDefault="00413A96" w:rsidP="00413A96">
      <w:r>
        <w:t xml:space="preserve">Parágrafo 2°. El Gobierno Nacional podrá apoyar la financiación de sistemas de transporte en otras ciudades o regiones del país, estructurados de conformidad con las necesidades propias de la ciudad o región, siempre y </w:t>
      </w:r>
      <w:r>
        <w:lastRenderedPageBreak/>
        <w:t>cuando se garantice el cambio de esquema empresarial, cobertura, eficiencia, accesibilidad y sostenibilidad, así como la incorporación de tecnologías de recaudo, gestión y control de flota, información al usuario, y a los niveles de servicio como su articulación con otros modos y modalidades de transporte, una vez se evalúe y se apruebe el estudio que determine su impacto estratégico en el desarrollo de la región.</w:t>
      </w:r>
    </w:p>
    <w:p w14:paraId="14A166B4" w14:textId="77777777" w:rsidR="00413A96" w:rsidRDefault="00413A96" w:rsidP="00413A96"/>
    <w:p w14:paraId="0EEDCFC6" w14:textId="77777777" w:rsidR="00413A96" w:rsidRDefault="00413A96" w:rsidP="00413A96">
      <w:r>
        <w:t>Parágrafo 3°. Es deber de las autoridades locales, entes gestores, concesionarios de operación y de recaudo, así como de las empresas operadoras del servicio de transporte, suministrar cualquier tipo de información solicitada por el Gobierno Nacional, que permita evaluar las condiciones técnicas, económicas y financieras de los Sistemas cofinanciados por la Nación.</w:t>
      </w:r>
    </w:p>
    <w:p w14:paraId="5448A43D" w14:textId="77777777" w:rsidR="00413A96" w:rsidRDefault="00413A96" w:rsidP="00413A96"/>
    <w:p w14:paraId="01D192AD" w14:textId="77777777" w:rsidR="00413A96" w:rsidRDefault="00413A96" w:rsidP="00413A96">
      <w:r>
        <w:t>Parágrafo 4°. En los proyectos cofinanciados por la Nación a los cuales hace referencia el presente artículo, se podrá seleccionar el combustible para la operación de la flota que en igualdad de condiciones de eficiencia, tenga el menor costo real y ambiental. Lo anterior condicionado a la disponibilidad del combustible y a la viabilidad de su comercialización.</w:t>
      </w:r>
    </w:p>
    <w:p w14:paraId="5FF4BA82" w14:textId="77777777" w:rsidR="00413A96" w:rsidRDefault="00413A96" w:rsidP="00413A96"/>
    <w:p w14:paraId="4AA3E7E4" w14:textId="77777777" w:rsidR="00413A96" w:rsidRDefault="00413A96" w:rsidP="00413A96">
      <w:r>
        <w:t>Parágrafo 5°. Las terminales de transporte habilitadas por el Ministerio de Transporte serán incluidas en los diseños de los sistemas de transporte de que trata este artículo como puntos de integración operacional y articulación del transporte intermunicipal con el transporte urbano. Así mismo, podrán ser los proveedores de la red de estaciones de transferencia y cabecera en los sistemas de transporte previstos en el presente parágrafo. En ningún caso podrá incrementarse la tarifa al usuario de</w:t>
      </w:r>
    </w:p>
    <w:p w14:paraId="0D03FE6E" w14:textId="77777777" w:rsidR="00413A96" w:rsidRDefault="00413A96" w:rsidP="00413A96">
      <w:r>
        <w:t xml:space="preserve"> </w:t>
      </w:r>
    </w:p>
    <w:p w14:paraId="6D448B50" w14:textId="77777777" w:rsidR="00413A96" w:rsidRDefault="00413A96" w:rsidP="00413A96">
      <w:r>
        <w:t>transporte urbano para cubrir tasas por uso de las terminales.</w:t>
      </w:r>
    </w:p>
    <w:p w14:paraId="79A17598" w14:textId="77777777" w:rsidR="00413A96" w:rsidRDefault="00413A96" w:rsidP="00413A96"/>
    <w:p w14:paraId="42293A09" w14:textId="77777777" w:rsidR="00413A96" w:rsidRDefault="00413A96" w:rsidP="00413A96">
      <w:r>
        <w:t>En todo caso, los vehículos de transporte intermunicipal que cubran rutas de media y larga distancia deberán iniciar y terminar sus recorridos en las terminales de transporte intermunicipales habilitadas para tal fin.</w:t>
      </w:r>
    </w:p>
    <w:p w14:paraId="42A441D0" w14:textId="77777777" w:rsidR="00413A96" w:rsidRDefault="00413A96" w:rsidP="00413A96"/>
    <w:p w14:paraId="327D9A89" w14:textId="77777777" w:rsidR="00413A96" w:rsidRDefault="00413A96" w:rsidP="00413A96">
      <w:r>
        <w:t>Parágrafo 6°. El Gobierno nacional impulsará modelos para la gestión de movilidad en las ciudades, en donde se contemplen alternativas para mejorar la calidad de vida, la utilización eficiente de los recursos, la reducción del tiempo de desplazamiento, la promoción de los transportes limpios y la utilización de tecnologías que contribuyan a la gestión del tráfico. Dentro de los seis (6) meses siguientes a la expedición de la presente ley, el Gobierno nacional deberá reglamentar el servicio de lujo dentro de la modalidad individual de pasajeros.</w:t>
      </w:r>
    </w:p>
    <w:p w14:paraId="179E48AC" w14:textId="77777777" w:rsidR="00413A96" w:rsidRDefault="00413A96" w:rsidP="00413A96"/>
    <w:p w14:paraId="2E56AC3A" w14:textId="77777777" w:rsidR="00413A96" w:rsidRDefault="00413A96" w:rsidP="00413A96">
      <w:r>
        <w:t>Parágrafo 7°. Con el propósito de integrar operacionalmente los SITM, los SITP los SETP con el transporte complementario de las ciudades y/o el transporte intermunicipal de pasajeros de corta distancia, las autoridades territoriales, conjuntamente con el Ministerio de Transporte según sea el caso, podrán promover mecanismos de organización entre los mismos, a través de instrumentos como los acuerdos comerciales o convenios de colaboración entre empresas que estén debidamente habilitadas”.</w:t>
      </w:r>
    </w:p>
    <w:p w14:paraId="4E19FA52" w14:textId="77777777" w:rsidR="00413A96" w:rsidRDefault="00413A96" w:rsidP="00413A96"/>
    <w:p w14:paraId="55A5000B" w14:textId="77777777" w:rsidR="00413A96" w:rsidRDefault="00413A96" w:rsidP="00413A96">
      <w:r>
        <w:t>ARTÍCULO 33. Otras fuentes de financiación para los sistemas de transporte. Con el objeto de contribuir a la sostenibilidad de los sistemas de transporte y contar con mecanismos de gestión de la demanda, las entidades territoriales podrán determinar, definir y establecer nuevos recursos de financiación públicos y/o privados que permitan lograr la sostenibilidad económica, ambiental, social e institucional de los sistemas SITM, SETP, SITP y SITR, a través de los siguientes mecanismos:</w:t>
      </w:r>
    </w:p>
    <w:p w14:paraId="35FF812F" w14:textId="77777777" w:rsidR="00413A96" w:rsidRDefault="00413A96" w:rsidP="00413A96"/>
    <w:p w14:paraId="260BC417" w14:textId="77777777" w:rsidR="00413A96" w:rsidRDefault="00413A96" w:rsidP="00413A96">
      <w:r>
        <w:t>1.</w:t>
      </w:r>
      <w:r>
        <w:tab/>
        <w:t>Fondos de estabilización y subsidio a la demanda. En desarrollo de una política de apoyo y fortalecimiento al transporte público en las ciudades del país, los alcaldes de los municipios, distritos o áreas metropolitanas, donde se implementen o estén en operación sistemas de transporte público, podrán establecer fondos de estabilización o compensación tarifaria, que cubran el diferencial entre la tarifa técnica y la tarifa al usuario. La decisión anterior se adoptará mediante decreto municipal, distrital o mediante acuerdo metropolitano, el cual deberá estar soportado en un estudio técnico en el que se demuestre que el fondo de estabilización contribuye a la sostenibilidad del Sistema de Transporte, en términos de eficiencia económica, sostenibilidad financiera, eficacia en la prestación del servicio e impactos esperados.</w:t>
      </w:r>
    </w:p>
    <w:p w14:paraId="2C6E5BEE" w14:textId="77777777" w:rsidR="00413A96" w:rsidRDefault="00413A96" w:rsidP="00413A96"/>
    <w:p w14:paraId="20C98E6F" w14:textId="77777777" w:rsidR="00413A96" w:rsidRDefault="00413A96" w:rsidP="00413A96">
      <w:r>
        <w:t xml:space="preserve">Dicho acto administrativo deberá describir la aplicación del fondo o subsidio de forma tal que se garantice su efectividad, establecer los indicadores que permitan evaluar los resultados de dicha medida, contener la fuente presupuestal y la garantía de la permanencia en el tiempo de los recursos que financiarán los fondos de estabilización o subsidio a la demanda, con criterios de sostenibilidad fiscal  de  la  entidad  territorial.  Para  el  efecto,  deberán  contar  con  previo  concepto del CONFIS municipal o distrital o de la entidad que haga sus </w:t>
      </w:r>
      <w:r>
        <w:lastRenderedPageBreak/>
        <w:t>veces, en la que se indique que el fondeo es sostenible en el tiempo y se encuentra previsto en el Marco Fiscal de Mediano Plazo del ente territorial.</w:t>
      </w:r>
    </w:p>
    <w:p w14:paraId="6F69EB0C" w14:textId="77777777" w:rsidR="00413A96" w:rsidRDefault="00413A96" w:rsidP="00413A96"/>
    <w:p w14:paraId="4D6B2A70" w14:textId="77777777" w:rsidR="00413A96" w:rsidRDefault="00413A96" w:rsidP="00413A96">
      <w:r>
        <w:t>2.</w:t>
      </w:r>
      <w:r>
        <w:tab/>
        <w:t>Contribución por el servicio de garajes o zonas de estacionamiento de uso público. Cuando los Alcaldes municipales o distritales regulen el cobro por el servicio de garajes o zonas de estacionamiento de uso público, incluyendo estacionamiento en vía, las entidades territoriales que cuenten con un sistema de transporte masivo, estratégico, integrado o regional, en concordancia con las competencias de los Concejos Municipales o Distritales, podrán incorporar en las tarifas al usuario de los estacionamientos, una contribución que incentive la utilización de los sistemas de transporte público.</w:t>
      </w:r>
    </w:p>
    <w:p w14:paraId="2347E6ED" w14:textId="77777777" w:rsidR="00413A96" w:rsidRDefault="00413A96" w:rsidP="00413A96"/>
    <w:p w14:paraId="1872DC94" w14:textId="77777777" w:rsidR="00413A96" w:rsidRDefault="00413A96" w:rsidP="00413A96">
      <w:r>
        <w:t>Serán sujetos pasivos los usuarios del servicio en predios de personas naturales o jurídicas que ofrezcan a título oneroso el estacionamiento de vehículos. El factor adicional se calculará así: la base</w:t>
      </w:r>
    </w:p>
    <w:p w14:paraId="0984E260" w14:textId="77777777" w:rsidR="00413A96" w:rsidRDefault="00413A96" w:rsidP="00413A96">
      <w:r>
        <w:t xml:space="preserve"> </w:t>
      </w:r>
    </w:p>
    <w:p w14:paraId="49ED30BA" w14:textId="77777777" w:rsidR="00413A96" w:rsidRDefault="00413A96" w:rsidP="00413A96">
      <w:r>
        <w:t>gravable será dos (2) veces el valor del pasaje promedio del servicio de transporte público (SITM, SETP, SITP o SITR, según sea el caso) en el Municipio o Distrito; esta base se multiplicará por factores inferiores a uno (1) en función de los criterios de oferta de transporte público en la zona, uso del servicio en horas pico y estrato del predio. La contribución se cobrará en forma adicional al total del valor al usuario por parte del prestador del servicio, quien tendrá la condición de agente retenedor. Se exceptúa de este cobro las bicicletas y las motocicletas cilindradas de 125 cm3 e inferiores.</w:t>
      </w:r>
    </w:p>
    <w:p w14:paraId="2B731DB9" w14:textId="77777777" w:rsidR="00413A96" w:rsidRDefault="00413A96" w:rsidP="00413A96"/>
    <w:p w14:paraId="7A4806FD" w14:textId="77777777" w:rsidR="00413A96" w:rsidRDefault="00413A96" w:rsidP="00413A96">
      <w:r>
        <w:t>3.</w:t>
      </w:r>
      <w:r>
        <w:tab/>
        <w:t>Cobros por congestión o contaminación. Los municipios o distritos mayores a 300.000 habitantes, en concordancia con las competencias de los concejos municipales o distritales, podrán establecer tasas, diferentes a los peajes establecidos en la Ley 105 de 1993, por acceso a áreas de alta congestión, de infraestructura construida para evitar congestión urbana, así como por contaminación, con base en la reglamentación que el Gobierno nacional expida para el efecto. Los recursos obtenidos por concepto de las tasas adoptadas por las mencionadas entidades territoriales, se destinarán a financiar proyectos y programas de infraestructura vial, transporte público y programas de mitigación de contaminación ambiental vehicular.</w:t>
      </w:r>
    </w:p>
    <w:p w14:paraId="38410E5F" w14:textId="77777777" w:rsidR="00413A96" w:rsidRDefault="00413A96" w:rsidP="00413A96"/>
    <w:p w14:paraId="32D13318" w14:textId="77777777" w:rsidR="00413A96" w:rsidRDefault="00413A96" w:rsidP="00413A96">
      <w:r>
        <w:t>Para efectos de cobro de tasa para cada ingreso a áreas de alta congestión o vías construidas o mejoradas para evitar congestión urbana, el sujeto pasivo de dicha obligación será el conductor y/o propietario. La tarifa será fijada teniendo en cuenta el tipo de vía, el tipo de servicio del vehículo, el número de pasajeros y los meses y días del año y horas determinadas de uso y el tipo de vehículo, según la siguiente clasificación: motocicletas, automóviles, camperos y camionetas, y buses y camiones. En todo caso se dará una condición tarifaria especial para las motocicletas cilindradas de 125 cm3 e inferiores.</w:t>
      </w:r>
    </w:p>
    <w:p w14:paraId="1EA1FEBB" w14:textId="77777777" w:rsidR="00413A96" w:rsidRDefault="00413A96" w:rsidP="00413A96"/>
    <w:p w14:paraId="47B60BB3" w14:textId="77777777" w:rsidR="00413A96" w:rsidRDefault="00413A96" w:rsidP="00413A96">
      <w:r>
        <w:t>El sujeto pasivo de la tasa por cada ingreso a zonas de alta contaminación será el propietario y/o conductor del vehículo y la tarifa se determinará en forma gradual, teniendo en cuenta el modelo del vehículo, tipo de servicio, cilindraje, tipo de combustible y el tipo de vehículo, según la siguiente clasificación: motocicletas; automóviles; campero y camionetas; buses y camiones.</w:t>
      </w:r>
    </w:p>
    <w:p w14:paraId="2DEB9B9C" w14:textId="77777777" w:rsidR="00413A96" w:rsidRDefault="00413A96" w:rsidP="00413A96"/>
    <w:p w14:paraId="42BD7162" w14:textId="77777777" w:rsidR="00413A96" w:rsidRDefault="00413A96" w:rsidP="00413A96">
      <w:r>
        <w:t>Las tasas se calcularán así: la base gravable será cinco (5) veces el valor del pasaje promedio del servicio de transporte público (SITM, SETP, SITP o SITR, según sea el caso) en el Municipio o Distrito; esta base se multiplicará por factores inferiores a uno (1) en función de los criterios definidos para tasas por congestión y contaminación, respectivamente.</w:t>
      </w:r>
    </w:p>
    <w:p w14:paraId="78B3A1E7" w14:textId="77777777" w:rsidR="00413A96" w:rsidRDefault="00413A96" w:rsidP="00413A96"/>
    <w:p w14:paraId="1E570AF0" w14:textId="77777777" w:rsidR="00413A96" w:rsidRDefault="00413A96" w:rsidP="00413A96">
      <w:r>
        <w:t>4.</w:t>
      </w:r>
      <w:r>
        <w:tab/>
        <w:t>La Nación y sus entidades descentralizadas por servicios podrán cofinanciar proyectos de Asociación Público Privada para el desarrollo de Sistemas de Servicio Público Urbano de Transporte de Pasajeros o de algunos de sus componentes o unidades funcionales, con aportes de capital, en dinero o en especie. La cofinanciación de la Nación podrá ser hasta el 70% del menor valor entre los desembolsos de recursos públicos solicitados para la ejecución del proyecto y el valor estimado del costo y la financiación de las actividades de diseño, pre­construcción y construcción del proyecto.</w:t>
      </w:r>
    </w:p>
    <w:p w14:paraId="0C4B61F2" w14:textId="77777777" w:rsidR="00413A96" w:rsidRDefault="00413A96" w:rsidP="00413A96"/>
    <w:p w14:paraId="42F942B4" w14:textId="77777777" w:rsidR="00413A96" w:rsidRDefault="00413A96" w:rsidP="00413A96">
      <w:r>
        <w:t>El Ministerio de Hacienda y Crédito Público al momento de emitir su no objeción sobre las condiciones financieras y las cláusulas contractuales, propuestas por la entidad competente de que trata el inciso 3° del artículo 26 de la Ley 1508 de 2012, revisará el cumplimiento de lo establecido en el inciso anterior, en relación con la cofinanciación de la Nación.</w:t>
      </w:r>
    </w:p>
    <w:p w14:paraId="6F80B94C" w14:textId="77777777" w:rsidR="00413A96" w:rsidRDefault="00413A96" w:rsidP="00413A96"/>
    <w:p w14:paraId="38518482" w14:textId="77777777" w:rsidR="00413A96" w:rsidRDefault="00413A96" w:rsidP="00413A96">
      <w:r>
        <w:t xml:space="preserve">Los recursos de cofinanciación a los que hace referencia el presente artículo no podrán ser destinados a la </w:t>
      </w:r>
      <w:r>
        <w:lastRenderedPageBreak/>
        <w:t>adquisición de vehículos o material rodante, con excepción de los proyectos de sistemas de metro o de transporte férreo interurbano de pasajeros.</w:t>
      </w:r>
    </w:p>
    <w:p w14:paraId="2A553849" w14:textId="77777777" w:rsidR="00413A96" w:rsidRDefault="00413A96" w:rsidP="00413A96"/>
    <w:p w14:paraId="225CFFD2" w14:textId="77777777" w:rsidR="00413A96" w:rsidRDefault="00413A96" w:rsidP="00413A96">
      <w:r>
        <w:t>5.</w:t>
      </w:r>
      <w:r>
        <w:tab/>
        <w:t>Además de las anteriores fuentes de financiación, se podrán utilizar otras fuentes como valorización, subasta de norma urbanística, herramientas de captura del valor del suelo y cobro o aportes por edificabilidad adicional.</w:t>
      </w:r>
    </w:p>
    <w:p w14:paraId="64CED0B6" w14:textId="77777777" w:rsidR="00413A96" w:rsidRDefault="00413A96" w:rsidP="00413A96"/>
    <w:p w14:paraId="6D29C383" w14:textId="77777777" w:rsidR="00413A96" w:rsidRDefault="00413A96" w:rsidP="00413A96">
      <w:r>
        <w:t>ARTÍCULO  34.  Sistema  de  Recaudo  y  Sistema  de  Gestión  y  Control  de  Flota  de</w:t>
      </w:r>
    </w:p>
    <w:p w14:paraId="763E59EB" w14:textId="77777777" w:rsidR="00413A96" w:rsidRDefault="00413A96" w:rsidP="00413A96">
      <w:r>
        <w:t xml:space="preserve"> </w:t>
      </w:r>
    </w:p>
    <w:p w14:paraId="510C8AC6" w14:textId="77777777" w:rsidR="00413A96" w:rsidRDefault="00413A96" w:rsidP="00413A96">
      <w:r>
        <w:t>Transporte. Modifíquense el inciso primero, los parágrafos tercero y quinto, y adiciónese el parágrafo sexto al artículo 134° de la Ley 1450 de 2011, el cual quedará así:</w:t>
      </w:r>
    </w:p>
    <w:p w14:paraId="6934B840" w14:textId="77777777" w:rsidR="00413A96" w:rsidRDefault="00413A96" w:rsidP="00413A96"/>
    <w:p w14:paraId="268D65CA" w14:textId="77777777" w:rsidR="00413A96" w:rsidRDefault="00413A96" w:rsidP="00413A96">
      <w:r>
        <w:t>“ARTÍCULO 134. Sistema de Recaudo y Sistema de Gestión y Control de Flota de Transporte. Los sistemas de transporte que sean cofinanciados con recursos de la Nación, adoptarán un sistema de recaudo centralizado, así como un sistema de gestión y control de flota, que integre los subsistemas de transporte complementario y de transporte masivo, integrado, estratégico o regional, utilizando mecanismos que así lo permitan, en especial en el sistema de recaudo, el mecanismo de pago electrónico unificado y los sistemas de compensación entre operadores, de conformidad con lo dispuesto por la autoridad de transporte competente”.</w:t>
      </w:r>
    </w:p>
    <w:p w14:paraId="1986B780" w14:textId="77777777" w:rsidR="00413A96" w:rsidRDefault="00413A96" w:rsidP="00413A96"/>
    <w:p w14:paraId="603A570E" w14:textId="77777777" w:rsidR="00413A96" w:rsidRDefault="00413A96" w:rsidP="00413A96">
      <w:r>
        <w:t>(…) “Parágrafo 3°. Se entiende como subsistema de transporte complementario el sistema de transporte público colectivo que atiende la demanda de transporte público que no cubre el sistema de transporte masivo o estratégico”.</w:t>
      </w:r>
    </w:p>
    <w:p w14:paraId="392A9EB6" w14:textId="77777777" w:rsidR="00413A96" w:rsidRDefault="00413A96" w:rsidP="00413A96"/>
    <w:p w14:paraId="331771CD" w14:textId="77777777" w:rsidR="00413A96" w:rsidRDefault="00413A96" w:rsidP="00413A96">
      <w:r>
        <w:t>(...) “Parágrafo 5°. En los Sistemas Integrados de Transporte Masivo, ni los operadores o empresas de transporte, ni sus vinculados económicos, entendidos como tales los que se encuentren en los supuestos previstos por los artículos 450 a 452 del Estatuto Tributario, podrán participar en la operación y administración del sistema de recaudo, salvo cuando se trate de Sistemas Estratégicos de Transporte Público, caso en el cual el Gobierno Nacional reglamentará las condiciones de su participación, garantizando la estabilidad jurídica de los actos administrativos expedidos a la entrada en vigencia de la presente ley por las entidades territoriales o cuando el Sistema Integrado de Transporte Masivo sea operado por una entidad pública. La autoridad competente cancelará las habilitaciones correspondientes a las empresas que no se integren al sistema de recaudo centralizado”.</w:t>
      </w:r>
    </w:p>
    <w:p w14:paraId="25759C77" w14:textId="77777777" w:rsidR="00413A96" w:rsidRDefault="00413A96" w:rsidP="00413A96"/>
    <w:p w14:paraId="2C0056A6" w14:textId="77777777" w:rsidR="00413A96" w:rsidRDefault="00413A96" w:rsidP="00413A96">
      <w:r>
        <w:t>(...) “Parágrafo 6°. En los SITM, SITP, SETP, SITR, u otros, el ente territorial o el ente gestor, podrá ostentar la calidad de operador del Sistema de Recaudo, del Sistema de Control y Gestión de Flota y del Sistema de Información al Usuario, siempre y cuando los estudios de estructuración técnica, legal y financiera lo recomienden en atención a la reducción en los costos de operación del sistema.</w:t>
      </w:r>
    </w:p>
    <w:p w14:paraId="2408FAD8" w14:textId="77777777" w:rsidR="00413A96" w:rsidRDefault="00413A96" w:rsidP="00413A96"/>
    <w:p w14:paraId="078BF076" w14:textId="77777777" w:rsidR="00413A96" w:rsidRDefault="00413A96" w:rsidP="00413A96">
      <w:r>
        <w:t>Dichos estudios deberán contar con el aval del Ministerio de Transporte. En todo caso se garantizará la estabilidad jurídica de los actos administrativos expedidos a la entrada en vigencia de la presente ley por las entidades territoriales”.</w:t>
      </w:r>
    </w:p>
    <w:p w14:paraId="1E9496FE" w14:textId="77777777" w:rsidR="00413A96" w:rsidRDefault="00413A96" w:rsidP="00413A96"/>
    <w:p w14:paraId="4571439F" w14:textId="77777777" w:rsidR="00413A96" w:rsidRDefault="00413A96" w:rsidP="00413A96">
      <w:r>
        <w:t>ARTÍCULO 35. Fondo de Contingencias y Traslados. El Fondo de Contingencias de las Entidades Estatales creado por la Ley 448 de 1998 es el mecanismo de primera instancia autorizado para atender el pago de las obligaciones contingentes que contraigan las entidades sometidas al régimen obligatorio de contingencias contractuales del Estado, en cuanto se trate de riesgos comprendidos por este Fondo. El CONPES establecerá los lineamientos para los mecanismos alternativos válidos para la atención de las obligaciones contingentes.</w:t>
      </w:r>
    </w:p>
    <w:p w14:paraId="253C1131" w14:textId="77777777" w:rsidR="00413A96" w:rsidRDefault="00413A96" w:rsidP="00413A96"/>
    <w:p w14:paraId="0C6C43E5" w14:textId="77777777" w:rsidR="00413A96" w:rsidRDefault="00413A96" w:rsidP="00413A96">
      <w:r>
        <w:t>PARÁGRAFO PRIMERO. Las obligaciones contingentes que son atendidas por el Fondo, mantendrán su naturaleza y condición de contingentes, siempre y cuando estén aprobadas en el respectivo plan de aportes y hasta el monto estipulado en este, sin que su cobertura quede condicionada al momento de la realización de los aportes al Fondo. Así mismo, con cargo a los recursos del Fondo de Contingencias se podrán atender los intereses asociados a las obligaciones contingentes, exclusivamente dentro de los plazos establecidos en cada contrato.</w:t>
      </w:r>
    </w:p>
    <w:p w14:paraId="3075596C" w14:textId="77777777" w:rsidR="00413A96" w:rsidRDefault="00413A96" w:rsidP="00413A96"/>
    <w:p w14:paraId="20F444AD" w14:textId="77777777" w:rsidR="00413A96" w:rsidRDefault="00413A96" w:rsidP="00413A96">
      <w:r>
        <w:t xml:space="preserve">PARÁGRAFO SEGUNDO. La fiduciaria que administre el Fondo de Contingencias de las Entidades Estatales, podrá, previa solicitud de la entidad aportante, transferir recursos de uno a otro riesgo, con la finalidad de atender las obligaciones contingentes amparadas. Dicha transferencia deberá contar con la aprobación previa </w:t>
      </w:r>
      <w:r>
        <w:lastRenderedPageBreak/>
        <w:t>del plan de aportes por parte de la Dirección General de Crédito Público y Tesoro Nacional del Ministerio de Hacienda y Crédito Público, siempre y cuando cumpla los siguientes requisitos: (i) cuando la entidad aportante determine a través del seguimiento que el riesgo ha</w:t>
      </w:r>
    </w:p>
    <w:p w14:paraId="55FB5C6A" w14:textId="77777777" w:rsidR="00413A96" w:rsidRDefault="00413A96" w:rsidP="00413A96">
      <w:r>
        <w:t xml:space="preserve"> </w:t>
      </w:r>
    </w:p>
    <w:p w14:paraId="271537DC" w14:textId="77777777" w:rsidR="00413A96" w:rsidRDefault="00413A96" w:rsidP="00413A96">
      <w:r>
        <w:t>disminuido totalmente, caso en el que el valor a transferir será el 100% del saldo de la subcuenta; o</w:t>
      </w:r>
    </w:p>
    <w:p w14:paraId="740CB53B" w14:textId="77777777" w:rsidR="00413A96" w:rsidRDefault="00413A96" w:rsidP="00413A96">
      <w:r>
        <w:t>(ii) cuando la entidad aportante determine a través del seguimiento que el riesgo ha disminuido parcialmente, caso en el cual el valor a transferir será el exceso del saldo en la subcuenta.</w:t>
      </w:r>
    </w:p>
    <w:p w14:paraId="26918F1F" w14:textId="77777777" w:rsidR="00413A96" w:rsidRDefault="00413A96" w:rsidP="00413A96"/>
    <w:p w14:paraId="392C6750" w14:textId="77777777" w:rsidR="00413A96" w:rsidRDefault="00413A96" w:rsidP="00413A96">
      <w:r>
        <w:t>En todo caso, la entidad aportante será la única responsable por la veracidad y completitud de la información que suministre a la Dirección General de Crédito Público y Tesoro Nacional.</w:t>
      </w:r>
    </w:p>
    <w:p w14:paraId="778433BD" w14:textId="77777777" w:rsidR="00413A96" w:rsidRDefault="00413A96" w:rsidP="00413A96"/>
    <w:p w14:paraId="25C1C509" w14:textId="77777777" w:rsidR="00413A96" w:rsidRDefault="00413A96" w:rsidP="00413A96">
      <w:r>
        <w:t>ARTÍCULO 36. Contribución especial de vigilancia para la Superintendencia de Puertos y Transporte. Sustitúyase la tasa de vigilancia prevista por el numeral 2° del artículo 27 de la Ley 1ª de 1991 y ampliada por el artículo 89 de la Ley 1450 de 2011, por una contribución especial de vigilancia a favor de la Superintendencia de Puertos y Transporte, para cubrir los costos y gastos que ocasione su funcionamiento e inversión, la cual deberán cancelar anualmente todas las personas naturales y/o jurídicas que estén sometidas a su vigilancia, inspección y/o control de acuerdo con la ley o el reglamento.</w:t>
      </w:r>
    </w:p>
    <w:p w14:paraId="15B0A8FD" w14:textId="77777777" w:rsidR="00413A96" w:rsidRDefault="00413A96" w:rsidP="00413A96"/>
    <w:p w14:paraId="354FA6A9" w14:textId="77777777" w:rsidR="00413A96" w:rsidRDefault="00413A96" w:rsidP="00413A96">
      <w:r>
        <w:t>La contribución se fijará por parte de la Superintendencia de Puertos y Transporte conforme a los siguientes criterios:</w:t>
      </w:r>
    </w:p>
    <w:p w14:paraId="4BB97670" w14:textId="77777777" w:rsidR="00413A96" w:rsidRDefault="00413A96" w:rsidP="00413A96"/>
    <w:p w14:paraId="250186BF" w14:textId="77777777" w:rsidR="00413A96" w:rsidRDefault="00413A96" w:rsidP="00413A96">
      <w:r>
        <w:t>1.</w:t>
      </w:r>
      <w:r>
        <w:tab/>
        <w:t>El total de las contribuciones corresponderá al monto del presupuesto anual de funcionamiento e inversión de la Superintendencia de Puertos y Transporte.</w:t>
      </w:r>
    </w:p>
    <w:p w14:paraId="469B21FB" w14:textId="77777777" w:rsidR="00413A96" w:rsidRDefault="00413A96" w:rsidP="00413A96"/>
    <w:p w14:paraId="487376CB" w14:textId="77777777" w:rsidR="00413A96" w:rsidRDefault="00413A96" w:rsidP="00413A96">
      <w:r>
        <w:t>2.</w:t>
      </w:r>
      <w:r>
        <w:tab/>
        <w:t>Con base en los ingresos brutos derivados de la actividad de transporte que perciba el sujeto supervisado durante el periodo anual anterior, la Superintendencia de Puertos y Transporte, mediante resolución, establecerá la tarifa de la contribución a cobrar que no podrá ser superior al cero coma dos por ciento (0,2%) de dichos ingresos brutos.</w:t>
      </w:r>
    </w:p>
    <w:p w14:paraId="10A13712" w14:textId="77777777" w:rsidR="00413A96" w:rsidRDefault="00413A96" w:rsidP="00413A96"/>
    <w:p w14:paraId="13CA618B" w14:textId="77777777" w:rsidR="00413A96" w:rsidRDefault="00413A96" w:rsidP="00413A96">
      <w:r>
        <w:t>3.</w:t>
      </w:r>
      <w:r>
        <w:tab/>
        <w:t>La contribución deberá cancelarse anualmente, en los plazos que para tal efecto determine la Superintendencia de Puertos y Transporte.</w:t>
      </w:r>
    </w:p>
    <w:p w14:paraId="560CC738" w14:textId="77777777" w:rsidR="00413A96" w:rsidRDefault="00413A96" w:rsidP="00413A96"/>
    <w:p w14:paraId="43439240" w14:textId="77777777" w:rsidR="00413A96" w:rsidRDefault="00413A96" w:rsidP="00413A96">
      <w:r>
        <w:t>PARÁGRAFO PRIMERO. Para efectos del presente artículo, se entenderá por ingresos brutos derivados de la actividad de transporte, todos aquellos que recibe el supervisado por las actividades relacionadas con el tránsito, transporte, su infraestructura o sus servicios conexos y complementarios, durante el período anual anterior, sin restarle las contribuciones, gastos, costos, tributos, descuentos y deducciones.</w:t>
      </w:r>
    </w:p>
    <w:p w14:paraId="124E721A" w14:textId="77777777" w:rsidR="00413A96" w:rsidRDefault="00413A96" w:rsidP="00413A96"/>
    <w:p w14:paraId="667C028B" w14:textId="77777777" w:rsidR="00413A96" w:rsidRDefault="00413A96" w:rsidP="00413A96">
      <w:r>
        <w:t>PARÁGRAFO SEGUNDO. La tarifa de la contribución podrá ser diferencial dependiendo de si la supervisión es integral, objetiva o subjetiva.</w:t>
      </w:r>
    </w:p>
    <w:p w14:paraId="3E7A8A0E" w14:textId="77777777" w:rsidR="00413A96" w:rsidRDefault="00413A96" w:rsidP="00413A96"/>
    <w:p w14:paraId="7E0F02B7" w14:textId="77777777" w:rsidR="00413A96" w:rsidRDefault="00413A96" w:rsidP="00413A96">
      <w:r>
        <w:t>PARÁGRAFO TERCERO. Los concesionarios de puertos de servicio privado pagarán la contribución especial de vigilancia teniendo en cuenta como base de liquidación, la cifra resultante de multiplicar las toneladas movilizadas en el año inmediatamente anterior por la tarifa calculada anualmente por la Superintendencia de Puertos y Transporte para cada tipo de carga de acuerdo con la metodología establecida en los planes de expansión portuaria y demás normas concordantes.</w:t>
      </w:r>
    </w:p>
    <w:p w14:paraId="20E81933" w14:textId="77777777" w:rsidR="00413A96" w:rsidRDefault="00413A96" w:rsidP="00413A96"/>
    <w:p w14:paraId="031B709B" w14:textId="77777777" w:rsidR="00413A96" w:rsidRDefault="00413A96" w:rsidP="00413A96">
      <w:r>
        <w:t>PARÁGRAFO CUARTO. Para efectos del control en el pago de la contribución aquí prevista, la Superintendencia de Puertos y Transporte reglamentará la inscripción y registro de los operadores portuarios, marítimos y fluviales.</w:t>
      </w:r>
    </w:p>
    <w:p w14:paraId="4EBB8AD4" w14:textId="77777777" w:rsidR="00413A96" w:rsidRDefault="00413A96" w:rsidP="00413A96"/>
    <w:p w14:paraId="0BC9BA6B" w14:textId="77777777" w:rsidR="00413A96" w:rsidRDefault="00413A96" w:rsidP="00413A96">
      <w:r>
        <w:t>PARÁGRAFO QUINTO. Dótese de personería jurídica a la Superintendencia de Puertos y Transporte, la cual para todos sus efectos tendrá el régimen presupuestal y financiero aplicable a los establecimientos públicos.</w:t>
      </w:r>
    </w:p>
    <w:p w14:paraId="5501455B" w14:textId="77777777" w:rsidR="00413A96" w:rsidRDefault="00413A96" w:rsidP="00413A96"/>
    <w:p w14:paraId="2CCE8D86" w14:textId="77777777" w:rsidR="00413A96" w:rsidRDefault="00413A96" w:rsidP="00413A96">
      <w:r>
        <w:t>ARTÍCULO 37. Derecho a retribuciones en proyectos de APP. Modifíquese el artículo 5° de la Ley 1508 de 2012, el cual quedará así:</w:t>
      </w:r>
    </w:p>
    <w:p w14:paraId="0B1822E0" w14:textId="77777777" w:rsidR="00413A96" w:rsidRDefault="00413A96" w:rsidP="00413A96">
      <w:r>
        <w:t xml:space="preserve"> </w:t>
      </w:r>
    </w:p>
    <w:p w14:paraId="37FEB302" w14:textId="77777777" w:rsidR="00413A96" w:rsidRDefault="00413A96" w:rsidP="00413A96">
      <w:r>
        <w:t xml:space="preserve">“ARTÍCULO 5°. Derecho a retribuciones. El derecho al recaudo de recursos por la explotación económica del proyecto, a recibir desembolsos de recursos públicos o a cualquier otra retribución, en proyectos de asociación </w:t>
      </w:r>
      <w:r>
        <w:lastRenderedPageBreak/>
        <w:t>público­privada, estará condicionado a la disponibilidad de la infraestructura, al cumplimiento de niveles de servicio, y estándares de calidad en las distintas unidades funcionales o etapas del proyecto, y los demás requisitos que determine el reglamento.</w:t>
      </w:r>
    </w:p>
    <w:p w14:paraId="41262014" w14:textId="77777777" w:rsidR="00413A96" w:rsidRDefault="00413A96" w:rsidP="00413A96"/>
    <w:p w14:paraId="6EA97CA0" w14:textId="77777777" w:rsidR="00413A96" w:rsidRDefault="00413A96" w:rsidP="00413A96">
      <w:r>
        <w:t>Parágrafo 1°. En los esquemas de asociación público­privada podrán efectuarse aportes en especie por parte de las entidades estatales. En todo caso, tales aportes no computarán para el límite previsto en los artículos 13, 17 y 18 de la presente ley.</w:t>
      </w:r>
    </w:p>
    <w:p w14:paraId="771EEC66" w14:textId="77777777" w:rsidR="00413A96" w:rsidRDefault="00413A96" w:rsidP="00413A96"/>
    <w:p w14:paraId="78600302" w14:textId="77777777" w:rsidR="00413A96" w:rsidRDefault="00413A96" w:rsidP="00413A96">
      <w:r>
        <w:t>Los gobiernos locales y regionales podrán aplicar la plusvalía por las obras que resulten de proyectos de asociación público­privada.</w:t>
      </w:r>
    </w:p>
    <w:p w14:paraId="16604A9B" w14:textId="77777777" w:rsidR="00413A96" w:rsidRDefault="00413A96" w:rsidP="00413A96"/>
    <w:p w14:paraId="071ADEEC" w14:textId="77777777" w:rsidR="00413A96" w:rsidRDefault="00413A96" w:rsidP="00413A96">
      <w:r>
        <w:t>Parágrafo 2°. En los contratos para ejecutar proyectos de asociación público­privada podrá pactarse el derecho a retribución por unidades funcionales, previa aprobación del Ministerio u órgano cabeza del sector o quien haga sus veces a nivel territorial, siempre y cuando:</w:t>
      </w:r>
    </w:p>
    <w:p w14:paraId="2CE6C992" w14:textId="77777777" w:rsidR="00413A96" w:rsidRDefault="00413A96" w:rsidP="00413A96"/>
    <w:p w14:paraId="2CCFA49B" w14:textId="77777777" w:rsidR="00413A96" w:rsidRDefault="00413A96" w:rsidP="00413A96">
      <w:r>
        <w:t>a)</w:t>
      </w:r>
      <w:r>
        <w:tab/>
        <w:t>El proyecto se encuentre totalmente estructurado.</w:t>
      </w:r>
    </w:p>
    <w:p w14:paraId="34EA9B7C" w14:textId="77777777" w:rsidR="00413A96" w:rsidRDefault="00413A96" w:rsidP="00413A96"/>
    <w:p w14:paraId="275BC156" w14:textId="77777777" w:rsidR="00413A96" w:rsidRDefault="00413A96" w:rsidP="00413A96">
      <w:r>
        <w:t>b)</w:t>
      </w:r>
      <w:r>
        <w:tab/>
        <w:t>El proyecto haya sido estructurado, contemplando unidades funcionales de infraestructura, cuya ejecución podría haberse realizado y contratado en forma independiente y autónoma, y la remuneración estará condicionada a la disponibilidad de la infraestructura y al cumplimiento de niveles de servicio y estándares de calidad previstos para las respectivas unidades funcionales.</w:t>
      </w:r>
    </w:p>
    <w:p w14:paraId="0614B931" w14:textId="77777777" w:rsidR="00413A96" w:rsidRDefault="00413A96" w:rsidP="00413A96"/>
    <w:p w14:paraId="64114213" w14:textId="77777777" w:rsidR="00413A96" w:rsidRDefault="00413A96" w:rsidP="00413A96">
      <w:r>
        <w:t>c)</w:t>
      </w:r>
      <w:r>
        <w:tab/>
        <w:t>Las demás condiciones que defina el Gobierno nacional, entre estas el correspondiente monto mínimo de cada unidad funcional.</w:t>
      </w:r>
    </w:p>
    <w:p w14:paraId="0520B25D" w14:textId="77777777" w:rsidR="00413A96" w:rsidRDefault="00413A96" w:rsidP="00413A96"/>
    <w:p w14:paraId="52675CFF" w14:textId="77777777" w:rsidR="00413A96" w:rsidRDefault="00413A96" w:rsidP="00413A96">
      <w:r>
        <w:t>Parágrafo 3°. Complementario a lo previsto en el parágrafo anterior, en los contratos para ejecutar proyectos de asociación público­privada podrá pactarse el derecho a retribución por etapas, entendiéndose por etapa, cada una de las fases sucesivas en el tiempo, definidas en el contrato, en las que se desarrollan o mejoran unidades funcionales específicas, previa aprobación del Ministerio u órgano cabeza del sector o quien haga sus veces a nivel territorial, siempre y cuando:</w:t>
      </w:r>
    </w:p>
    <w:p w14:paraId="626779DA" w14:textId="77777777" w:rsidR="00413A96" w:rsidRDefault="00413A96" w:rsidP="00413A96"/>
    <w:p w14:paraId="36BA8A85" w14:textId="77777777" w:rsidR="00413A96" w:rsidRDefault="00413A96" w:rsidP="00413A96">
      <w:r>
        <w:t>a)</w:t>
      </w:r>
      <w:r>
        <w:tab/>
        <w:t>El proyecto se encuentre totalmente estructurado.</w:t>
      </w:r>
    </w:p>
    <w:p w14:paraId="2D60E07E" w14:textId="77777777" w:rsidR="00413A96" w:rsidRDefault="00413A96" w:rsidP="00413A96"/>
    <w:p w14:paraId="789102E2" w14:textId="77777777" w:rsidR="00413A96" w:rsidRDefault="00413A96" w:rsidP="00413A96">
      <w:r>
        <w:t>b)</w:t>
      </w:r>
      <w:r>
        <w:tab/>
        <w:t>Durante el plazo inicial del contrato se ejecuten todas las etapas previstas.</w:t>
      </w:r>
    </w:p>
    <w:p w14:paraId="6E289262" w14:textId="77777777" w:rsidR="00413A96" w:rsidRDefault="00413A96" w:rsidP="00413A96"/>
    <w:p w14:paraId="2584A43A" w14:textId="77777777" w:rsidR="00413A96" w:rsidRDefault="00413A96" w:rsidP="00413A96">
      <w:r>
        <w:t>c)</w:t>
      </w:r>
      <w:r>
        <w:tab/>
        <w:t>El proyecto haya sido estructurado en etapas sucesivas en el tiempo, de acuerdo con las necesidades del servicio respecto de las cuales se define un alcance específico en el contrato y sus correspondientes niveles de servicio y estándares de calidad.</w:t>
      </w:r>
    </w:p>
    <w:p w14:paraId="6C9D0AD3" w14:textId="77777777" w:rsidR="00413A96" w:rsidRDefault="00413A96" w:rsidP="00413A96"/>
    <w:p w14:paraId="5FB544F9" w14:textId="77777777" w:rsidR="00413A96" w:rsidRDefault="00413A96" w:rsidP="00413A96">
      <w:r>
        <w:t>d)</w:t>
      </w:r>
      <w:r>
        <w:tab/>
        <w:t>La retribución al inversionista privado estará condicionada a la disponibilidad de la infraestructura, al cumplimiento de niveles de servicio estándares de calidad.</w:t>
      </w:r>
    </w:p>
    <w:p w14:paraId="4823FC44" w14:textId="77777777" w:rsidR="00413A96" w:rsidRDefault="00413A96" w:rsidP="00413A96"/>
    <w:p w14:paraId="2791A78D" w14:textId="77777777" w:rsidR="00413A96" w:rsidRDefault="00413A96" w:rsidP="00413A96">
      <w:r>
        <w:t>e)</w:t>
      </w:r>
      <w:r>
        <w:tab/>
        <w:t>Las demás condiciones que defina el Gobierno Nacional, entre estas el correspondiente monto mínimo de cada etapa.</w:t>
      </w:r>
    </w:p>
    <w:p w14:paraId="19D5A6D0" w14:textId="77777777" w:rsidR="00413A96" w:rsidRDefault="00413A96" w:rsidP="00413A96"/>
    <w:p w14:paraId="346D4431" w14:textId="77777777" w:rsidR="00413A96" w:rsidRDefault="00413A96" w:rsidP="00413A96">
      <w:r>
        <w:t>Parágrafo 4°. En proyectos de asociación público­privada de iniciativa pública del orden nacional, la entidad estatal competente podrá reconocer derechos reales sobre inmuebles que no se requieran para la prestación del servicio para el cual se desarrolló el proyecto, como componente de la retribución al inversionista privado.</w:t>
      </w:r>
    </w:p>
    <w:p w14:paraId="5EDDE257" w14:textId="77777777" w:rsidR="00413A96" w:rsidRDefault="00413A96" w:rsidP="00413A96"/>
    <w:p w14:paraId="01411BF2" w14:textId="77777777" w:rsidR="00413A96" w:rsidRDefault="00413A96" w:rsidP="00413A96">
      <w:r>
        <w:t>El Gobierno reglamentará las condiciones bajo las cuales se realizará el reconocimiento de los derechos reales y de explotación sobre inmuebles, garantizando que su tasación sea acorde con su valor en el mercado y a las posibilidades de explotación económica del activo. Adicionalmente, se</w:t>
      </w:r>
    </w:p>
    <w:p w14:paraId="39D9BB73" w14:textId="77777777" w:rsidR="00413A96" w:rsidRDefault="00413A96" w:rsidP="00413A96">
      <w:r>
        <w:t xml:space="preserve"> </w:t>
      </w:r>
    </w:p>
    <w:p w14:paraId="70F90EE1" w14:textId="77777777" w:rsidR="00413A96" w:rsidRDefault="00413A96" w:rsidP="00413A96">
      <w:r>
        <w:t>incluirán en dicha reglamentación las condiciones que permitan que el inversionista privado reciba los ingresos de dicha explotación económica o enajenación, condicionados a la disponibilidad de la infraestructura y al cumplimiento de los estándares de calidad y niveles de servicio pactados.</w:t>
      </w:r>
    </w:p>
    <w:p w14:paraId="1DBCCCD2" w14:textId="77777777" w:rsidR="00413A96" w:rsidRDefault="00413A96" w:rsidP="00413A96"/>
    <w:p w14:paraId="6F0A4A29" w14:textId="77777777" w:rsidR="00413A96" w:rsidRDefault="00413A96" w:rsidP="00413A96">
      <w:r>
        <w:t xml:space="preserve">Parágrafo 5°. En caso de que en el proyecto de asociación público­privada la entidad estatal entregue al </w:t>
      </w:r>
      <w:r>
        <w:lastRenderedPageBreak/>
        <w:t>inversionista privado una infraestructura existente en condiciones de operación, la entidad estatal podrá pactar el derecho a la retribución de los costos de operación y mantenimiento de esta infraestructura existente condicionado a su disponibilidad, al cumplimiento de los niveles de servicio y estándares de calidad.</w:t>
      </w:r>
    </w:p>
    <w:p w14:paraId="78CBF7BC" w14:textId="77777777" w:rsidR="00413A96" w:rsidRDefault="00413A96" w:rsidP="00413A96"/>
    <w:p w14:paraId="43EBD66A" w14:textId="77777777" w:rsidR="00413A96" w:rsidRDefault="00413A96" w:rsidP="00413A96">
      <w:r>
        <w:t>Parágrafo 6°. En proyectos de asociación público­privada, podrán establecerse, unidades funcionales de tramos de túneles o de vías férreas, en virtud de las cuales se predicará únicamente disponibilidad parcial y estándar de calidad para efectos de la retribución. El Gobierno nacional reglamentará la materia”.</w:t>
      </w:r>
    </w:p>
    <w:p w14:paraId="498D88BC" w14:textId="77777777" w:rsidR="00413A96" w:rsidRDefault="00413A96" w:rsidP="00413A96"/>
    <w:p w14:paraId="55C3612C" w14:textId="77777777" w:rsidR="00413A96" w:rsidRDefault="00413A96" w:rsidP="00413A96">
      <w:r>
        <w:t>ARTÍCULO  38.  Iniciativas  privadas  que  requieren  desembolsos  de  recursos públicos. Modifíquese el artículo 17° de la Ley 1508 de 2012, el cual quedará así:</w:t>
      </w:r>
    </w:p>
    <w:p w14:paraId="4373BCC3" w14:textId="77777777" w:rsidR="00413A96" w:rsidRDefault="00413A96" w:rsidP="00413A96"/>
    <w:p w14:paraId="4A1D4E45" w14:textId="77777777" w:rsidR="00413A96" w:rsidRDefault="00413A96" w:rsidP="00413A96">
      <w:r>
        <w:t>“ARTÍCULO 17° Iniciativas privadas que requieren desembolsos de recursos públicos. Logrado el acuerdo entre la entidad estatal competente y el originador de la iniciativa, pero requiriendo la ejecución del proyecto desembolsos de recursos públicos, se abrirá una licitación pública para seleccionar el contratista que adelante el proyecto que el originador ha propuesto, proceso de selección en el cual quien presentó la iniciativa tendrá una bonificación en su calificación entre el 3 y el 10% sobre su calificación inicial, dependiendo del tamaño y complejidad del proyecto, para compensar su actividad previa, en los términos que señale el reglamento.</w:t>
      </w:r>
    </w:p>
    <w:p w14:paraId="61508734" w14:textId="77777777" w:rsidR="00413A96" w:rsidRDefault="00413A96" w:rsidP="00413A96"/>
    <w:p w14:paraId="695FC36F" w14:textId="77777777" w:rsidR="00413A96" w:rsidRDefault="00413A96" w:rsidP="00413A96">
      <w:r>
        <w:t>En esta clase de proyectos de asociación público­privada, los recursos del Presupuesto General de la Nación, de las entidades territoriales o de otros fondos públicos, no podrán ser superiores al 30% del presupuesto estimado de inversión del proyecto. Tratándose de proyectos de infraestructura vial de carreteras dicho porcentaje no podrá ser superior al 20% del presupuesto estimado de inversión del proyecto.</w:t>
      </w:r>
    </w:p>
    <w:p w14:paraId="19D96898" w14:textId="77777777" w:rsidR="00413A96" w:rsidRDefault="00413A96" w:rsidP="00413A96"/>
    <w:p w14:paraId="448E5EF1" w14:textId="77777777" w:rsidR="00413A96" w:rsidRDefault="00413A96" w:rsidP="00413A96">
      <w:r>
        <w:t>Si el originador no resulta seleccionado para la ejecución del contrato, deberá recibir del adjudicatario el valor que la entidad pública competente haya determinado, antes de la licitación, como costos de los estudios realizados para la estructuración del proyecto.</w:t>
      </w:r>
    </w:p>
    <w:p w14:paraId="24DD2795" w14:textId="77777777" w:rsidR="00413A96" w:rsidRDefault="00413A96" w:rsidP="00413A96"/>
    <w:p w14:paraId="53444569" w14:textId="77777777" w:rsidR="00413A96" w:rsidRDefault="00413A96" w:rsidP="00413A96">
      <w:r>
        <w:t>En todos los casos la entidad estatal competente, deberá cumplir con los requisitos establecidos en el artículo 11, numerales 11.2 y siguientes de la presente ley”.</w:t>
      </w:r>
    </w:p>
    <w:p w14:paraId="7D27B584" w14:textId="77777777" w:rsidR="00413A96" w:rsidRDefault="00413A96" w:rsidP="00413A96"/>
    <w:p w14:paraId="776B8A20" w14:textId="77777777" w:rsidR="00413A96" w:rsidRDefault="00413A96" w:rsidP="00413A96">
      <w:r>
        <w:t>ARTÍCULO 39. Fortalecimiento al desarrollo de software, aplicaciones y contenidos digitales con impacto social. El Ministerio de las Tecnologías de la Información y las Comunicaciones (MinTIC), a través del Fondo de Tecnologías de la Información y las Comunicaciones (FONTIC), apoyará la creación de planes específicos de TIC para cada sector, que impulsen el desarrollo de aplicaciones y contenidos digitales con enfoque social, incluyendo las multiplataformas, por parte de compañías colombianas.</w:t>
      </w:r>
    </w:p>
    <w:p w14:paraId="739EF385" w14:textId="77777777" w:rsidR="00413A96" w:rsidRDefault="00413A96" w:rsidP="00413A96"/>
    <w:p w14:paraId="33F125EF" w14:textId="77777777" w:rsidR="00413A96" w:rsidRDefault="00413A96" w:rsidP="00413A96">
      <w:r>
        <w:t>A través de las partidas del Fondo para el Desarrollo de la Televisión y los Contenidos, destinadas por la Autoridad Nacional de Televisión (ANTV) a los canales públicos de televisión, se apoyará el desarrollo de contenidos digitales multiplataforma a los beneficiarios establecidos por las normas vigentes.</w:t>
      </w:r>
    </w:p>
    <w:p w14:paraId="45491BF7" w14:textId="77777777" w:rsidR="00413A96" w:rsidRDefault="00413A96" w:rsidP="00413A96"/>
    <w:p w14:paraId="20C299EA" w14:textId="77777777" w:rsidR="00413A96" w:rsidRDefault="00413A96" w:rsidP="00413A96">
      <w:r>
        <w:t>ARTÍCULO 40. Definición de una senda de banda ancha regulatoria. La Comisión de Regulación de Comunicaciones (CRC), deberá establecer una senda de crecimiento para la definición regulatoria de banda ancha a largo plazo. Dicha senda deberá establecer la ruta y los plazos para cerrar las brechas entre los estándares del país y los equivalentes al promedio de la Organización para la</w:t>
      </w:r>
    </w:p>
    <w:p w14:paraId="64976EE9" w14:textId="77777777" w:rsidR="00413A96" w:rsidRDefault="00413A96" w:rsidP="00413A96">
      <w:r>
        <w:t xml:space="preserve"> </w:t>
      </w:r>
    </w:p>
    <w:p w14:paraId="2086D6BC" w14:textId="77777777" w:rsidR="00413A96" w:rsidRDefault="00413A96" w:rsidP="00413A96">
      <w:r>
        <w:t>Cooperación y Desarrollo Económico, incluyendo los estándares para altas y muy altas velocidades. Para tal efecto, la CRC podrá utilizar criterios diferenciadores atendiendo características geográficas, demográficas y técnicas.</w:t>
      </w:r>
    </w:p>
    <w:p w14:paraId="6FE8A7F6" w14:textId="77777777" w:rsidR="00413A96" w:rsidRDefault="00413A96" w:rsidP="00413A96"/>
    <w:p w14:paraId="4B807503" w14:textId="77777777" w:rsidR="00413A96" w:rsidRDefault="00413A96" w:rsidP="00413A96">
      <w:r>
        <w:t>ARTÍCULO 41. Concesiones de espacios de televisión en el canal nacional de operación pública. La Autoridad Nacional de Televisión (ANTV) podrá otorgar los espacios de televisión del canal nacional de operación pública, Canal UNO, garantizando el derecho a la información, a la igualdad en el acceso y uso del espectro y al pluralismo informativo en los procesos de selección objetiva que adelante para otorgar la(s) concesión(es), siempre y cuando este o sus socios no tengan participación accionaria en los canales privados de televisión abierta nacional o local. La ANTV determinará el número de concesionarios y condiciones de los contratos, de acuerdo con los estudios técnicos y de mercado que se realicen para estos efectos.</w:t>
      </w:r>
    </w:p>
    <w:p w14:paraId="1A15DC9E" w14:textId="77777777" w:rsidR="00413A96" w:rsidRDefault="00413A96" w:rsidP="00413A96"/>
    <w:p w14:paraId="53BD5BC9" w14:textId="77777777" w:rsidR="00413A96" w:rsidRDefault="00413A96" w:rsidP="00413A96">
      <w:r>
        <w:t xml:space="preserve">La autorización prevista en el presente artículo para la(s) concesión(es) de espacios de televisión de Canal </w:t>
      </w:r>
      <w:r>
        <w:lastRenderedPageBreak/>
        <w:t>UNO no se homologa a la operación de un canal de operación privada nacional, toda vez que no hay lugar a una asignación de espectro radioeléctrico, en concordancia con lo dispuesto en el artículo 35 de la Ley 182 de 1995. En consecuencia, el operador encargado de la emisión y transmisión del Canal Uno, seguirá siendo el operador público nacional RTVC, o quien haga sus veces.</w:t>
      </w:r>
    </w:p>
    <w:p w14:paraId="22770550" w14:textId="77777777" w:rsidR="00413A96" w:rsidRDefault="00413A96" w:rsidP="00413A96"/>
    <w:p w14:paraId="4B1398FE" w14:textId="77777777" w:rsidR="00413A96" w:rsidRDefault="00413A96" w:rsidP="00413A96">
      <w:r>
        <w:t>Parágrafo. Sin perjuicio de lo establecido en el literal g) del artículo 5° de la Ley 182 de 1995, la Autoridad Nacional de Televisión, a la hora de definir el valor de la concesión de espacios de programación del canal nacional de operación pública, Canal UNO, tendrá en cuenta los criterios:</w:t>
      </w:r>
    </w:p>
    <w:p w14:paraId="49E11453" w14:textId="77777777" w:rsidR="00413A96" w:rsidRDefault="00413A96" w:rsidP="00413A96"/>
    <w:p w14:paraId="5AD59C00" w14:textId="77777777" w:rsidR="00413A96" w:rsidRDefault="00413A96" w:rsidP="00413A96">
      <w:r>
        <w:t>a)</w:t>
      </w:r>
      <w:r>
        <w:tab/>
        <w:t>Remuneración eficiente de los costos de inversión, operación y mantenimiento de las funciones de emisión y transmisión en cabeza del operador nacional de televisión pública o quien haga sus veces, así como el reconocimiento de las inversiones asociadas con el despliegue de la televisión digital terrestre de operación pública.</w:t>
      </w:r>
    </w:p>
    <w:p w14:paraId="4FCEA2C3" w14:textId="77777777" w:rsidR="00413A96" w:rsidRDefault="00413A96" w:rsidP="00413A96"/>
    <w:p w14:paraId="4546E8DC" w14:textId="77777777" w:rsidR="00413A96" w:rsidRDefault="00413A96" w:rsidP="00413A96">
      <w:r>
        <w:t>b)</w:t>
      </w:r>
      <w:r>
        <w:tab/>
        <w:t>El mercado de pauta publicitaria, el nivel de competencia, la población cubierta, el ingreso per cápita, la audiencia potencial y los costos de oportunidad de la red, incluyendo el espectro radioeléctrico.</w:t>
      </w:r>
    </w:p>
    <w:p w14:paraId="4C60077A" w14:textId="77777777" w:rsidR="00413A96" w:rsidRDefault="00413A96" w:rsidP="00413A96"/>
    <w:p w14:paraId="1B0BBF12" w14:textId="77777777" w:rsidR="00413A96" w:rsidRDefault="00413A96" w:rsidP="00413A96">
      <w:r>
        <w:t>ARTÍCULO 42. Plazo y renovación de los permisos para el uso del espectro radioeléctrico. Modifíquese el primer inciso del artículo 12 de la Ley 1341 de 2009, el cual quedará así:</w:t>
      </w:r>
    </w:p>
    <w:p w14:paraId="2CADD0A9" w14:textId="77777777" w:rsidR="00413A96" w:rsidRDefault="00413A96" w:rsidP="00413A96"/>
    <w:p w14:paraId="232AA2F0" w14:textId="77777777" w:rsidR="00413A96" w:rsidRDefault="00413A96" w:rsidP="00413A96">
      <w:r>
        <w:t>“ARTÍCULO 12. Plazo y renovación de los permisos para el uso del espectro radioeléctrico. El permiso para el uso del espectro radioeléctrico tendrá un plazo definido inicial hasta de diez (10) años, el cual podrá renovarse a solicitud de parte por períodos de hasta diez (10) años. Para determinar el periodo de renovación, la autoridad competente tendrá en cuenta, entre otros criterios, razones de interés público, el reordenamiento nacional del espectro radioeléctrico, o el cumplimiento a las atribuciones y disposiciones internacionales de frecuencias, la determinación deberá efectuarse mediante acto administrativo motivado”.</w:t>
      </w:r>
    </w:p>
    <w:p w14:paraId="35B985DD" w14:textId="77777777" w:rsidR="00413A96" w:rsidRDefault="00413A96" w:rsidP="00413A96"/>
    <w:p w14:paraId="29513D5D" w14:textId="77777777" w:rsidR="00413A96" w:rsidRDefault="00413A96" w:rsidP="00413A96">
      <w:r>
        <w:t>ARTÍCULO 43. Funciones de la Agencia Nacional del Espectro. La Agencia Nacional del Espectro, además de las funciones señaladas en el artículo 26° de la Ley 1341 de 2009 y el Decreto 4169 de 2011, cumplirá las siguientes:</w:t>
      </w:r>
    </w:p>
    <w:p w14:paraId="2CABD69A" w14:textId="77777777" w:rsidR="00413A96" w:rsidRDefault="00413A96" w:rsidP="00413A96"/>
    <w:p w14:paraId="5754A62A" w14:textId="77777777" w:rsidR="00413A96" w:rsidRDefault="00413A96" w:rsidP="00413A96">
      <w:r>
        <w:t>Expedir las normas relacionadas con el despliegue de antenas, las cuales contemplarán, entre otras, la potencia máxima de las antenas o límites de exposición de las personas a campos electromagnéticos y las condiciones técnicas para cumplir dichos límites. Lo anterior, con excepción de lo relativo a los componentes de infraestructura pasiva y de soporte y su compartición, en lo que corresponda a la competencia de la Comisión de Regulación de Comunicaciones.</w:t>
      </w:r>
    </w:p>
    <w:p w14:paraId="65777964" w14:textId="77777777" w:rsidR="00413A96" w:rsidRDefault="00413A96" w:rsidP="00413A96">
      <w:r>
        <w:t xml:space="preserve"> </w:t>
      </w:r>
    </w:p>
    <w:p w14:paraId="3378CCE4" w14:textId="77777777" w:rsidR="00413A96" w:rsidRDefault="00413A96" w:rsidP="00413A96">
      <w:r>
        <w:t>ARTÍCULO 44. Sanciones en materia TIC. Modifíquese el artículo 65° de la Ley 1341 de 2009, el cual quedará así:</w:t>
      </w:r>
    </w:p>
    <w:p w14:paraId="3C591F52" w14:textId="77777777" w:rsidR="00413A96" w:rsidRDefault="00413A96" w:rsidP="00413A96"/>
    <w:p w14:paraId="4213541F" w14:textId="77777777" w:rsidR="00413A96" w:rsidRDefault="00413A96" w:rsidP="00413A96">
      <w:r>
        <w:t>“ARTÍCULO 65. Sanciones. Sin perjuicio de la responsabilidad penal o civil en que pueda incurrir el infractor, la persona natural o jurídica que incurra en cualquiera de las infracciones señaladas en el artículo 64 de la presente ley, será sancionada, además de la orden de cesación inmediata de la conducta que sea contraria a las disposiciones previstas en esta ley, con:</w:t>
      </w:r>
    </w:p>
    <w:p w14:paraId="7A8F001A" w14:textId="77777777" w:rsidR="00413A96" w:rsidRDefault="00413A96" w:rsidP="00413A96"/>
    <w:p w14:paraId="5B03D34A" w14:textId="77777777" w:rsidR="00413A96" w:rsidRDefault="00413A96" w:rsidP="00413A96">
      <w:r>
        <w:t>1.</w:t>
      </w:r>
      <w:r>
        <w:tab/>
        <w:t>Amonestación.</w:t>
      </w:r>
    </w:p>
    <w:p w14:paraId="3CCDA2D0" w14:textId="77777777" w:rsidR="00413A96" w:rsidRDefault="00413A96" w:rsidP="00413A96"/>
    <w:p w14:paraId="37EBD2BD" w14:textId="77777777" w:rsidR="00413A96" w:rsidRDefault="00413A96" w:rsidP="00413A96">
      <w:r>
        <w:t>2.</w:t>
      </w:r>
      <w:r>
        <w:tab/>
        <w:t>Multa hasta por el equivalente a dos mil (2.000) salarios mínimos legales mensuales para personas naturales.</w:t>
      </w:r>
    </w:p>
    <w:p w14:paraId="6D0079F2" w14:textId="77777777" w:rsidR="00413A96" w:rsidRDefault="00413A96" w:rsidP="00413A96"/>
    <w:p w14:paraId="46531839" w14:textId="77777777" w:rsidR="00413A96" w:rsidRDefault="00413A96" w:rsidP="00413A96">
      <w:r>
        <w:t>3.</w:t>
      </w:r>
      <w:r>
        <w:tab/>
        <w:t>Multa hasta por el equivalente a quince mil (15.000) salarios mínimos legales mensuales para personas jurídicas.</w:t>
      </w:r>
    </w:p>
    <w:p w14:paraId="7CD51E57" w14:textId="77777777" w:rsidR="00413A96" w:rsidRDefault="00413A96" w:rsidP="00413A96"/>
    <w:p w14:paraId="16F9F56E" w14:textId="77777777" w:rsidR="00413A96" w:rsidRDefault="00413A96" w:rsidP="00413A96">
      <w:r>
        <w:t>4.</w:t>
      </w:r>
      <w:r>
        <w:tab/>
        <w:t>Suspensión de la operación al público hasta por dos (2) meses.</w:t>
      </w:r>
    </w:p>
    <w:p w14:paraId="0E494053" w14:textId="77777777" w:rsidR="00413A96" w:rsidRDefault="00413A96" w:rsidP="00413A96"/>
    <w:p w14:paraId="2B356EF2" w14:textId="77777777" w:rsidR="00413A96" w:rsidRDefault="00413A96" w:rsidP="00413A96">
      <w:r>
        <w:t>5.</w:t>
      </w:r>
      <w:r>
        <w:tab/>
        <w:t>Caducidad del contrato o cancelación de la licencia, autorización o permiso.</w:t>
      </w:r>
    </w:p>
    <w:p w14:paraId="3BEDF5A2" w14:textId="77777777" w:rsidR="00413A96" w:rsidRDefault="00413A96" w:rsidP="00413A96"/>
    <w:p w14:paraId="32F518C6" w14:textId="77777777" w:rsidR="00413A96" w:rsidRDefault="00413A96" w:rsidP="00413A96">
      <w:r>
        <w:t xml:space="preserve">ARTÍCULO 45. Estándares, modelos y lineamientos de tecnologías de la información y las comunicaciones </w:t>
      </w:r>
      <w:r>
        <w:lastRenderedPageBreak/>
        <w:t>para los servicios al ciudadano. Bajo la plena observancia del derecho fundamental de hábeas data, el Ministerio de las Tecnologías de la Información y las Comunicaciones (MinTIC), en coordinación con las entidades responsables de cada uno de los trámites y servicios, definirá y expedirá los estándares, modelos, lineamientos y normas técnicas para la incorporación de las Tecnologías de la Información y las Comunicaciones (TIC), que contribuyan a la mejora de los trámites y servicios que el Estado ofrece al ciudadano, los cuales deberán ser adoptados por las entidades estatales y aplicarán, entre otros, para los siguientes casos:</w:t>
      </w:r>
    </w:p>
    <w:p w14:paraId="7FC4445C" w14:textId="77777777" w:rsidR="00413A96" w:rsidRDefault="00413A96" w:rsidP="00413A96"/>
    <w:p w14:paraId="277F74DC" w14:textId="77777777" w:rsidR="00413A96" w:rsidRDefault="00413A96" w:rsidP="00413A96">
      <w:r>
        <w:t>a)</w:t>
      </w:r>
      <w:r>
        <w:tab/>
        <w:t>Agendamiento electrónico de citas médicas.</w:t>
      </w:r>
    </w:p>
    <w:p w14:paraId="5FB2E414" w14:textId="77777777" w:rsidR="00413A96" w:rsidRDefault="00413A96" w:rsidP="00413A96"/>
    <w:p w14:paraId="6CE4AA08" w14:textId="77777777" w:rsidR="00413A96" w:rsidRDefault="00413A96" w:rsidP="00413A96">
      <w:r>
        <w:t>b)</w:t>
      </w:r>
      <w:r>
        <w:tab/>
        <w:t>Historia clínica electrónica.</w:t>
      </w:r>
    </w:p>
    <w:p w14:paraId="1B5BDBC9" w14:textId="77777777" w:rsidR="00413A96" w:rsidRDefault="00413A96" w:rsidP="00413A96"/>
    <w:p w14:paraId="2E0B70A2" w14:textId="77777777" w:rsidR="00413A96" w:rsidRDefault="00413A96" w:rsidP="00413A96">
      <w:r>
        <w:t>c)</w:t>
      </w:r>
      <w:r>
        <w:tab/>
        <w:t>Autenticación electrónica.</w:t>
      </w:r>
    </w:p>
    <w:p w14:paraId="07ECBCB0" w14:textId="77777777" w:rsidR="00413A96" w:rsidRDefault="00413A96" w:rsidP="00413A96"/>
    <w:p w14:paraId="200F6A81" w14:textId="77777777" w:rsidR="00413A96" w:rsidRDefault="00413A96" w:rsidP="00413A96">
      <w:r>
        <w:t>d)</w:t>
      </w:r>
      <w:r>
        <w:tab/>
        <w:t>Publicación de datos abiertos.</w:t>
      </w:r>
    </w:p>
    <w:p w14:paraId="0A75A40B" w14:textId="77777777" w:rsidR="00413A96" w:rsidRDefault="00413A96" w:rsidP="00413A96"/>
    <w:p w14:paraId="5E22F0EB" w14:textId="77777777" w:rsidR="00413A96" w:rsidRDefault="00413A96" w:rsidP="00413A96">
      <w:r>
        <w:t>e)</w:t>
      </w:r>
      <w:r>
        <w:tab/>
        <w:t>Integración de los sistemas de información de trámites y servicios de las entidades estatales con el Portal del Estado colombiano.</w:t>
      </w:r>
    </w:p>
    <w:p w14:paraId="7D8146AD" w14:textId="77777777" w:rsidR="00413A96" w:rsidRDefault="00413A96" w:rsidP="00413A96"/>
    <w:p w14:paraId="63815CD9" w14:textId="77777777" w:rsidR="00413A96" w:rsidRDefault="00413A96" w:rsidP="00413A96">
      <w:r>
        <w:t>f)</w:t>
      </w:r>
      <w:r>
        <w:tab/>
        <w:t>Implementación de la estrategia de Gobierno en Línea.</w:t>
      </w:r>
    </w:p>
    <w:p w14:paraId="74D3D05D" w14:textId="77777777" w:rsidR="00413A96" w:rsidRDefault="00413A96" w:rsidP="00413A96"/>
    <w:p w14:paraId="7CED7053" w14:textId="77777777" w:rsidR="00413A96" w:rsidRDefault="00413A96" w:rsidP="00413A96">
      <w:r>
        <w:t>g)</w:t>
      </w:r>
      <w:r>
        <w:tab/>
        <w:t>Marco de referencia de arquitectura empresarial para la gestión de las tecnologías de información en el Estado.</w:t>
      </w:r>
    </w:p>
    <w:p w14:paraId="3BFB19C3" w14:textId="77777777" w:rsidR="00413A96" w:rsidRDefault="00413A96" w:rsidP="00413A96"/>
    <w:p w14:paraId="2B182030" w14:textId="77777777" w:rsidR="00413A96" w:rsidRDefault="00413A96" w:rsidP="00413A96">
      <w:r>
        <w:t>h)</w:t>
      </w:r>
      <w:r>
        <w:tab/>
        <w:t>Administración, gestión y modernización de la justicia y defensa, entre otras la posibilidad de recibir registrar, tramitar, gestionar y hacer trazabilidad y seguimiento de todo tipo de denuncias y querellas, así como el reporte de control de las mismas.</w:t>
      </w:r>
    </w:p>
    <w:p w14:paraId="57979CD0" w14:textId="77777777" w:rsidR="00413A96" w:rsidRDefault="00413A96" w:rsidP="00413A96"/>
    <w:p w14:paraId="6E67CD6C" w14:textId="77777777" w:rsidR="00413A96" w:rsidRDefault="00413A96" w:rsidP="00413A96">
      <w:r>
        <w:t>i)</w:t>
      </w:r>
      <w:r>
        <w:tab/>
        <w:t>Sistema integrado de seguridad y emergencias (SIES), a nivel territorial y nacional.</w:t>
      </w:r>
    </w:p>
    <w:p w14:paraId="1F409DB9" w14:textId="77777777" w:rsidR="00413A96" w:rsidRDefault="00413A96" w:rsidP="00413A96"/>
    <w:p w14:paraId="0CEF94DB" w14:textId="77777777" w:rsidR="00413A96" w:rsidRDefault="00413A96" w:rsidP="00413A96">
      <w:r>
        <w:t>j)</w:t>
      </w:r>
      <w:r>
        <w:tab/>
        <w:t>Interoperabilidad de datos como base para la estructuración de la estrategia que sobre la captura, almacenamiento, procesamiento, análisis y publicación de grandes volúmenes de datos (Big Data) formule el Departamento Nacional de Planeación.</w:t>
      </w:r>
    </w:p>
    <w:p w14:paraId="5E2E5672" w14:textId="77777777" w:rsidR="00413A96" w:rsidRDefault="00413A96" w:rsidP="00413A96">
      <w:r>
        <w:t xml:space="preserve"> </w:t>
      </w:r>
    </w:p>
    <w:p w14:paraId="32B738CB" w14:textId="77777777" w:rsidR="00413A96" w:rsidRDefault="00413A96" w:rsidP="00413A96">
      <w:r>
        <w:t>k)</w:t>
      </w:r>
      <w:r>
        <w:tab/>
        <w:t>Servicios de Telemedicina y Telesalud.</w:t>
      </w:r>
    </w:p>
    <w:p w14:paraId="3A0A945F" w14:textId="77777777" w:rsidR="00413A96" w:rsidRDefault="00413A96" w:rsidP="00413A96"/>
    <w:p w14:paraId="42EAC512" w14:textId="77777777" w:rsidR="00413A96" w:rsidRDefault="00413A96" w:rsidP="00413A96">
      <w:r>
        <w:t>l)</w:t>
      </w:r>
      <w:r>
        <w:tab/>
        <w:t>Sistema de seguimiento del mercado laboral.</w:t>
      </w:r>
    </w:p>
    <w:p w14:paraId="43972519" w14:textId="77777777" w:rsidR="00413A96" w:rsidRDefault="00413A96" w:rsidP="00413A96"/>
    <w:p w14:paraId="1876F698" w14:textId="77777777" w:rsidR="00413A96" w:rsidRDefault="00413A96" w:rsidP="00413A96">
      <w:r>
        <w:t>m)</w:t>
      </w:r>
      <w:r>
        <w:tab/>
        <w:t>El registro de partidos, movimientos y agrupaciones políticas a cargo del Consejo Nacional Electoral, y en especial el registro de afiliados.</w:t>
      </w:r>
    </w:p>
    <w:p w14:paraId="26DED5C6" w14:textId="77777777" w:rsidR="00413A96" w:rsidRDefault="00413A96" w:rsidP="00413A96"/>
    <w:p w14:paraId="4DBBDB61" w14:textId="77777777" w:rsidR="00413A96" w:rsidRDefault="00413A96" w:rsidP="00413A96">
      <w:r>
        <w:t>PARÁGRAFO PRIMERO. Estos trámites y servicios podrán ser ofrecidos por el sector privado. Los trámites y servicios que se presten mediante los estándares definidos en los literales a), b) y c) serán facultativos para los usuarios de los mismos. El Gobierno nacional reglamentará la materia.</w:t>
      </w:r>
    </w:p>
    <w:p w14:paraId="3ADBF8E5" w14:textId="77777777" w:rsidR="00413A96" w:rsidRDefault="00413A96" w:rsidP="00413A96"/>
    <w:p w14:paraId="23E84F2C" w14:textId="77777777" w:rsidR="00413A96" w:rsidRDefault="00413A96" w:rsidP="00413A96">
      <w:r>
        <w:t>PARÁGRAFO SEGUNDO. El Gobierno Nacional, a través del MinTIC, diseñará e implementará políticas, planes y programas que promuevan y optimicen la gestión, el acceso, uso y apropiación de las TIC en el sector público, cuya adopción será de obligatorio cumplimiento por todas las entidades estatales y conforme a la gradualidad que para el efecto establezca el MinTIC. Tales políticas comportarán el desarrollo de, entre otros, los siguientes temas:</w:t>
      </w:r>
    </w:p>
    <w:p w14:paraId="223206A1" w14:textId="77777777" w:rsidR="00413A96" w:rsidRDefault="00413A96" w:rsidP="00413A96"/>
    <w:p w14:paraId="74351871" w14:textId="77777777" w:rsidR="00413A96" w:rsidRDefault="00413A96" w:rsidP="00413A96">
      <w:r>
        <w:t>a)</w:t>
      </w:r>
      <w:r>
        <w:tab/>
        <w:t xml:space="preserve">Carpeta ciudadana electrónica. Bajo la plena observancia del derecho fundamental de hábeas data, se podrá ofrecer a todo ciudadano una cuenta de correo electrónico oficial y el acceso a una carpeta ciudadana electrónica que le permitirá contar con un repositorio de información electrónica para almacenar y compartir documentos públicos o privados, recibir comunicados de las entidades públicas, y facilitar las actividades necesarias para interactuar con el Estado. En esta carpeta podrá estar almacenada la historia clínica electrónica. El MinTIC definirá el modelo de operación y los estándares técnicos y de seguridad de la Carpeta Ciudadana Electrónica. Las entidades del Estado podrán utilizar la Carpeta Ciudadana Electrónica para </w:t>
      </w:r>
      <w:r>
        <w:lastRenderedPageBreak/>
        <w:t>realizar notificaciones oficiales. Todas las actuaciones que se adelanten a través de las herramientas de esta carpeta tendrán plena validez y fuerza probatoria.</w:t>
      </w:r>
    </w:p>
    <w:p w14:paraId="33F78B9B" w14:textId="77777777" w:rsidR="00413A96" w:rsidRDefault="00413A96" w:rsidP="00413A96"/>
    <w:p w14:paraId="3AB38A28" w14:textId="77777777" w:rsidR="00413A96" w:rsidRDefault="00413A96" w:rsidP="00413A96">
      <w:r>
        <w:t>b)</w:t>
      </w:r>
      <w:r>
        <w:tab/>
        <w:t>Director de Tecnologías y Sistemas de Información. Las entidades estatales tendrán un Director de Tecnologías y Sistemas de Información responsable de ejecutar los planes, programas y proyectos de tecnologías y sistemas de información en la respectiva entidad. Para tales efectos, cada entidad pública efectuará los ajustes necesarios en sus estructuras organizacionales, de acuerdo con sus disponibilidades presupuestales, sin incrementar los gastos de personal. El Director de Tecnologías y Sistemas de Información reportará directamente al representante legal de la entidad a la que pertenezca y se acogerá a los lineamientos que en materia de TI defina el MinTIC.</w:t>
      </w:r>
    </w:p>
    <w:p w14:paraId="14C7FA00" w14:textId="77777777" w:rsidR="00413A96" w:rsidRDefault="00413A96" w:rsidP="00413A96"/>
    <w:p w14:paraId="56CE80D4" w14:textId="77777777" w:rsidR="00413A96" w:rsidRDefault="00413A96" w:rsidP="00413A96">
      <w:r>
        <w:t>ARTÍCULO 46. Funciones del Fondo de Tecnologías de la Información y las Comunicaciones. El Fondo de Tecnologías de la Información y las comunicaciones cumplirá, además de las señaladas en el artículo 35° de la Ley 1341 de 2009, las siguientes funciones:</w:t>
      </w:r>
    </w:p>
    <w:p w14:paraId="4B313303" w14:textId="77777777" w:rsidR="00413A96" w:rsidRDefault="00413A96" w:rsidP="00413A96"/>
    <w:p w14:paraId="397EC671" w14:textId="77777777" w:rsidR="00413A96" w:rsidRDefault="00413A96" w:rsidP="00413A96">
      <w:r>
        <w:t>1.</w:t>
      </w:r>
      <w:r>
        <w:tab/>
        <w:t>Financiar planes, programas y proyectos para apoyar a emprendedores del sector de contenidos y aplicaciones digitales en todas las etapas del negocio, incluyendo el impulso a la vinculación de capital de riesgo para dichos emprendimientos.</w:t>
      </w:r>
    </w:p>
    <w:p w14:paraId="4F8FBA69" w14:textId="77777777" w:rsidR="00413A96" w:rsidRDefault="00413A96" w:rsidP="00413A96"/>
    <w:p w14:paraId="57EF346C" w14:textId="77777777" w:rsidR="00413A96" w:rsidRDefault="00413A96" w:rsidP="00413A96">
      <w:r>
        <w:t>2.</w:t>
      </w:r>
      <w:r>
        <w:tab/>
        <w:t>Financiar y fomentar planes, programas y proyectos para el fomento de capital humano en Tecnologías de la Información y Comunicaciones.</w:t>
      </w:r>
    </w:p>
    <w:p w14:paraId="0EBAEAC1" w14:textId="77777777" w:rsidR="00413A96" w:rsidRDefault="00413A96" w:rsidP="00413A96"/>
    <w:p w14:paraId="33CCA796" w14:textId="77777777" w:rsidR="00413A96" w:rsidRDefault="00413A96" w:rsidP="00413A96">
      <w:r>
        <w:t>3.</w:t>
      </w:r>
      <w:r>
        <w:tab/>
        <w:t>Financiar planes, programas y proyectos para el fomento de la industria de software y de contenidos digitales.</w:t>
      </w:r>
    </w:p>
    <w:p w14:paraId="4D45E52E" w14:textId="77777777" w:rsidR="00413A96" w:rsidRDefault="00413A96" w:rsidP="00413A96"/>
    <w:p w14:paraId="0D75FEB0" w14:textId="77777777" w:rsidR="00413A96" w:rsidRDefault="00413A96" w:rsidP="00413A96">
      <w:r>
        <w:t>4.</w:t>
      </w:r>
      <w:r>
        <w:tab/>
        <w:t>Financiar planes, programas y proyectos que contribuyan al mejoramiento de la calidad educativa en el País a través del uso de las Tecnologías de la Información y las Comunicaciones.</w:t>
      </w:r>
    </w:p>
    <w:p w14:paraId="02B86BC6" w14:textId="77777777" w:rsidR="00413A96" w:rsidRDefault="00413A96" w:rsidP="00413A96"/>
    <w:p w14:paraId="780B497E" w14:textId="77777777" w:rsidR="00413A96" w:rsidRDefault="00413A96" w:rsidP="00413A96">
      <w:r>
        <w:t>5.</w:t>
      </w:r>
      <w:r>
        <w:tab/>
        <w:t>Financiar planes, programas y proyectos para la implementación y puesta en marcha del Sistema Nacional de Telecomunicaciones de Emergencias.</w:t>
      </w:r>
    </w:p>
    <w:p w14:paraId="640F5A50" w14:textId="77777777" w:rsidR="00413A96" w:rsidRDefault="00413A96" w:rsidP="00413A96">
      <w:r>
        <w:t xml:space="preserve"> </w:t>
      </w:r>
    </w:p>
    <w:p w14:paraId="3C08A36D" w14:textId="77777777" w:rsidR="00413A96" w:rsidRDefault="00413A96" w:rsidP="00413A96"/>
    <w:p w14:paraId="327269CF" w14:textId="77777777" w:rsidR="00413A96" w:rsidRDefault="00413A96" w:rsidP="00413A96">
      <w:r>
        <w:t>Las funciones a que se refiere el presente artículo se realizarán previa celebración de convenios interadministrativos con las entidades competentes para desarrollar los planes, programas y proyectos correspondientes.</w:t>
      </w:r>
    </w:p>
    <w:p w14:paraId="6A52028A" w14:textId="77777777" w:rsidR="00413A96" w:rsidRDefault="00413A96" w:rsidP="00413A96"/>
    <w:p w14:paraId="673847E4" w14:textId="77777777" w:rsidR="00413A96" w:rsidRDefault="00413A96" w:rsidP="00413A96">
      <w:r>
        <w:t>ARTÍCULO 47. Servidumbres para garantizar el servicio de comunicación. Adiciónese un numeral 22 al artículo 22° de la Ley 1341 de 2009, así:</w:t>
      </w:r>
    </w:p>
    <w:p w14:paraId="752AD4E9" w14:textId="77777777" w:rsidR="00413A96" w:rsidRDefault="00413A96" w:rsidP="00413A96"/>
    <w:p w14:paraId="0736DBBE" w14:textId="77777777" w:rsidR="00413A96" w:rsidRDefault="00413A96" w:rsidP="00413A96">
      <w:r>
        <w:t>“22. Conocer y decidir a prevención respecto de las actuaciones administrativas de imposición de servidumbres sobre predios, a solicitud del proveedor de redes y servicios de telecomunicaciones, y en los términos de los artículos 56, 57 y del Capítulo III del Título VII de la Ley 142 de 1994. Lo anterior para garantizar la prestación de los servicios de telecomunicaciones y sin perjuicio de que el proveedor de redes y servicios pueda promover el proceso de imposición de servidumbre al que se refiere la Ley 56 de 1981.</w:t>
      </w:r>
    </w:p>
    <w:p w14:paraId="5E98CD7B" w14:textId="77777777" w:rsidR="00413A96" w:rsidRDefault="00413A96" w:rsidP="00413A96"/>
    <w:p w14:paraId="270FD023" w14:textId="77777777" w:rsidR="00413A96" w:rsidRDefault="00413A96" w:rsidP="00413A96">
      <w:r>
        <w:t>Para adelantar los procesos de servidumbre por acto administrativo la Comisión de Regulación de Comunicaciones seguirá lo dispuesto sobre este particular en el Capítulo II del Título II de la Ley 56 de 1981”.</w:t>
      </w:r>
    </w:p>
    <w:p w14:paraId="24B08A23" w14:textId="77777777" w:rsidR="00413A96" w:rsidRDefault="00413A96" w:rsidP="00413A96"/>
    <w:p w14:paraId="23B015C4" w14:textId="77777777" w:rsidR="00413A96" w:rsidRDefault="00413A96" w:rsidP="00413A96">
      <w:r>
        <w:t>ARTÍCULO 48. Bonos hipotecarios. Modifíquese el inciso primero del artículo 9° de la Ley 546 de 1999, el cual quedará así:</w:t>
      </w:r>
    </w:p>
    <w:p w14:paraId="353FCAC2" w14:textId="77777777" w:rsidR="00413A96" w:rsidRDefault="00413A96" w:rsidP="00413A96"/>
    <w:p w14:paraId="6B52440C" w14:textId="77777777" w:rsidR="00413A96" w:rsidRDefault="00413A96" w:rsidP="00413A96">
      <w:r>
        <w:t>“ARTÍCULO 9°. Bonos hipotecarios. Se autoriza a los establecimientos de crédito la emisión de bonos hipotecarios los cuales se enmarcarán dentro de los siguientes lineamientos”:</w:t>
      </w:r>
    </w:p>
    <w:p w14:paraId="4E097CD1" w14:textId="77777777" w:rsidR="00413A96" w:rsidRDefault="00413A96" w:rsidP="00413A96"/>
    <w:p w14:paraId="5D062C86" w14:textId="77777777" w:rsidR="00413A96" w:rsidRDefault="00413A96" w:rsidP="00413A96">
      <w:r>
        <w:t xml:space="preserve">ARTÍCULO 49. Sistema Nacional de Proyectos de Interés Nacional y Estratégicos (SINAPINE). El Gobierno Nacional organizará el Sistema Nacional de Proyectos de Interés Nacional y Estratégicos (SINAPINE) como la estrategia de gestión pública para la planeación integral, optimización de los procedimientos y trámites, gestión y seguimiento de los Proyectos de Interés Nacional y Estratégicos (PINE), de origen público, privado o mixto </w:t>
      </w:r>
      <w:r>
        <w:lastRenderedPageBreak/>
        <w:t>que sean seleccionados como tales por el Gobierno nacional, por su alto impacto en el crecimiento económico y social del país.</w:t>
      </w:r>
    </w:p>
    <w:p w14:paraId="50E6FF46" w14:textId="77777777" w:rsidR="00413A96" w:rsidRDefault="00413A96" w:rsidP="00413A96"/>
    <w:p w14:paraId="48DBFE2A" w14:textId="77777777" w:rsidR="00413A96" w:rsidRDefault="00413A96" w:rsidP="00413A96">
      <w:r>
        <w:t>La Comisión Intersectorial de Infraestructura y Proyectos Estratégicos (CIIPE) seleccionará los proyectos que serán considerados como PINE y ordenará que se incluyan en el SINAPE.</w:t>
      </w:r>
    </w:p>
    <w:p w14:paraId="3AB27404" w14:textId="77777777" w:rsidR="00413A96" w:rsidRDefault="00413A96" w:rsidP="00413A96"/>
    <w:p w14:paraId="6B19805D" w14:textId="77777777" w:rsidR="00413A96" w:rsidRDefault="00413A96" w:rsidP="00413A96">
      <w:r>
        <w:t>La ejecución y desarrollo de los PINE constituye motivo de utilidad pública e interés social, quedando autorizada la expropiación administrativa o judicial de los bienes inmuebles urbanos y rurales que se requieran para tal fin, de conformidad con el artículo 58 de la Constitución Política.</w:t>
      </w:r>
    </w:p>
    <w:p w14:paraId="4C5E517E" w14:textId="77777777" w:rsidR="00413A96" w:rsidRDefault="00413A96" w:rsidP="00413A96"/>
    <w:p w14:paraId="59692337" w14:textId="77777777" w:rsidR="00413A96" w:rsidRDefault="00413A96" w:rsidP="00413A96">
      <w:r>
        <w:t>En estos proyectos el área requerida para la construcción y operación debidamente delimitadas, le confiere a la entidad ejecutora o gestora del proyecto la primera opción de compra de todos los inmuebles comprendidos en tal zona, la cual podrá ejercer durante un periodo de tiempo no mayor a tres (3) años, contados a partir del acto de adjudicación del proyecto, el cual deberá ser registrado en el respectivo folio de matrícula inmobiliaria. Para proyectos de generación eléctrica que decida conformar la comisión tripartita, este plazo contará a partir de la aprobación del manual de valores unitarios, y para los demás proyectos de generación, este plazo se contará a partir de la ejecutoria del acto administrativo mediante el cual se otorga la licencia ambiental.</w:t>
      </w:r>
    </w:p>
    <w:p w14:paraId="3178EA05" w14:textId="77777777" w:rsidR="00413A96" w:rsidRDefault="00413A96" w:rsidP="00413A96"/>
    <w:p w14:paraId="06B69105" w14:textId="77777777" w:rsidR="00413A96" w:rsidRDefault="00413A96" w:rsidP="00413A96">
      <w:r>
        <w:t>La CIIPE podrá conferirle la categoría PINE a proyectos que hubiesen sido declarados de utilidad pública e interés social antes de la entrada en vigencia de esta ley.</w:t>
      </w:r>
    </w:p>
    <w:p w14:paraId="24E62012" w14:textId="77777777" w:rsidR="00413A96" w:rsidRDefault="00413A96" w:rsidP="00413A96"/>
    <w:p w14:paraId="2B690F4F" w14:textId="77777777" w:rsidR="00413A96" w:rsidRDefault="00413A96" w:rsidP="00413A96">
      <w:r>
        <w:t>ARTÍCULO 50. Proyectos de Interés Nacional y Estratégicos (PINE). A los Proyectos de Interés Nacional y Estratégicos (PINE), les serán aplicables las disposiciones contenidas en las Leyes 9ª de 1989, 388 de 1997 y 1682 de 2013 y demás normas que las reglamenten, modifiquen o adicionen.</w:t>
      </w:r>
    </w:p>
    <w:p w14:paraId="787D0916" w14:textId="77777777" w:rsidR="00413A96" w:rsidRDefault="00413A96" w:rsidP="00413A96">
      <w:r>
        <w:t xml:space="preserve"> </w:t>
      </w:r>
    </w:p>
    <w:p w14:paraId="6FD28474" w14:textId="77777777" w:rsidR="00413A96" w:rsidRDefault="00413A96" w:rsidP="00413A96">
      <w:r>
        <w:t>La inclusión del predio en los PINE se entenderá en los términos del artículo 72° de la Ley 1448 de 2011 como una imposibilidad jurídica para la restitución que impondrá al Fondo de la Unidad Administrativa Especial de Gestión de Restitución de Tierras Despojadas la obligación de compensar a las víctimas con un predio de similares condiciones, en el orden y lineamientos establecidos en el artículo 98° de la Ley 1448 de 2011 y sus decretos reglamentarios. Sin embargo, en estos casos, el pago de la compensación se realizará con cargo a los recursos que se consignen en el depósito judicial efectuado por la entidad propietaria con cargo al proyecto, en virtud del proceso de expropiación.</w:t>
      </w:r>
    </w:p>
    <w:p w14:paraId="7A3052E5" w14:textId="77777777" w:rsidR="00413A96" w:rsidRDefault="00413A96" w:rsidP="00413A96"/>
    <w:p w14:paraId="2AE905AB" w14:textId="77777777" w:rsidR="00413A96" w:rsidRDefault="00413A96" w:rsidP="00413A96">
      <w:r>
        <w:t>PARÁGRAFO. Las disposiciones previstas en este artículo se podrán aplicar a los proyectos que antes de la promulgación de esta ley hubiesen sido declarados como Proyectos de Interés Nacional y Estratégicos (PINE).</w:t>
      </w:r>
    </w:p>
    <w:p w14:paraId="488B28F1" w14:textId="77777777" w:rsidR="00413A96" w:rsidRDefault="00413A96" w:rsidP="00413A96"/>
    <w:p w14:paraId="1DAE8BC1" w14:textId="77777777" w:rsidR="00413A96" w:rsidRDefault="00413A96" w:rsidP="00413A96">
      <w:r>
        <w:t>ARTÍCULO 51. Licencias y permisos ambientales para Proyectos de Interés Nacional y Estratégicos (PINE). La Autoridad Nacional de Licencias Ambientales (ANLA), tramitará de manera integral y exclusiva los permisos y licencias ambientales requeridos en la ejecución de los Proyectos de Interés Nacional y Estratégicos (PINE).</w:t>
      </w:r>
    </w:p>
    <w:p w14:paraId="4C343BA9" w14:textId="77777777" w:rsidR="00413A96" w:rsidRDefault="00413A96" w:rsidP="00413A96"/>
    <w:p w14:paraId="0AE1A65A" w14:textId="77777777" w:rsidR="00413A96" w:rsidRDefault="00413A96" w:rsidP="00413A96">
      <w:r>
        <w:t>PARÁGRAFO. Los responsables de los proyectos que hayan sido validados como Proyectos de Interés Nacional y Estratégicos (PINE), podrán desistir de los trámites ambientales en curso e iniciarlos nuevamente ante la Autoridad Nacional de Licencias Ambientales (ANLA).</w:t>
      </w:r>
    </w:p>
    <w:p w14:paraId="0DB78A03" w14:textId="77777777" w:rsidR="00413A96" w:rsidRDefault="00413A96" w:rsidP="00413A96"/>
    <w:p w14:paraId="55365B39" w14:textId="77777777" w:rsidR="00413A96" w:rsidRDefault="00413A96" w:rsidP="00413A96">
      <w:r>
        <w:t>ARTÍCULO 52. Servidumbre en Proyectos de Interés Nacional y Estratégicos (PINE). Adiciónese el artículo 32A a la Ley 56 de 1981, el cual quedará así:</w:t>
      </w:r>
    </w:p>
    <w:p w14:paraId="21567426" w14:textId="77777777" w:rsidR="00413A96" w:rsidRDefault="00413A96" w:rsidP="00413A96"/>
    <w:p w14:paraId="0CB29280" w14:textId="77777777" w:rsidR="00413A96" w:rsidRDefault="00413A96" w:rsidP="00413A96">
      <w:r>
        <w:t>“ARTÍCULO 32A. El Gobierno Nacional reglamentará el procedimiento para la imposición de servidumbres requeridas para el desarrollo de proyectos de generación y trasmisión de energía eléctrica que hayan sido calificados de interés nacional y estratégico por la Comisión Intersectorial de Infraestructura y Proyectos Estratégicos (CIIPE)”.</w:t>
      </w:r>
    </w:p>
    <w:p w14:paraId="39AAF0EC" w14:textId="77777777" w:rsidR="00413A96" w:rsidRDefault="00413A96" w:rsidP="00413A96"/>
    <w:p w14:paraId="6DE95EF4" w14:textId="77777777" w:rsidR="00413A96" w:rsidRDefault="00413A96" w:rsidP="00413A96">
      <w:r>
        <w:t>ARTÍCULO 53. Prórrogas de concesiones mineras. Como mínimo dos (2) años antes de vencerse el período de explotación y encontrándose a paz y salvo con todas las obligaciones derivadas del contrato, el concesionario podrá solicitar la prórroga del mismo hasta por treinta (30) años, la cual no será automática.</w:t>
      </w:r>
    </w:p>
    <w:p w14:paraId="2CECB2F3" w14:textId="77777777" w:rsidR="00413A96" w:rsidRDefault="00413A96" w:rsidP="00413A96"/>
    <w:p w14:paraId="0F99D4F2" w14:textId="77777777" w:rsidR="00413A96" w:rsidRDefault="00413A96" w:rsidP="00413A96">
      <w:r>
        <w:t xml:space="preserve">Presentada la solicitud, la Autoridad Minera Nacional determinará si concede o no la prórroga, para lo cual realizará una evaluación del costo beneficio donde se establecerá la conveniencia de la misma para los </w:t>
      </w:r>
      <w:r>
        <w:lastRenderedPageBreak/>
        <w:t>intereses del Estado, teniendo en cuenta los criterios que establezca el Gobierno nacional, según la clasificación de la minería.</w:t>
      </w:r>
    </w:p>
    <w:p w14:paraId="1B8AF207" w14:textId="77777777" w:rsidR="00413A96" w:rsidRDefault="00413A96" w:rsidP="00413A96"/>
    <w:p w14:paraId="3C73AD2B" w14:textId="77777777" w:rsidR="00413A96" w:rsidRDefault="00413A96" w:rsidP="00413A96">
      <w:r>
        <w:t>En caso de solicitarse por parte de un titular minero la prórroga de un contrato de concesión, podrá exigirse por la Autoridad Minera Nacional nuevas condiciones frente a los contratos y pactar contraprestaciones adicionales a las regalías.</w:t>
      </w:r>
    </w:p>
    <w:p w14:paraId="3CC70E0F" w14:textId="77777777" w:rsidR="00413A96" w:rsidRDefault="00413A96" w:rsidP="00413A96"/>
    <w:p w14:paraId="3B731B35" w14:textId="77777777" w:rsidR="00413A96" w:rsidRDefault="00413A96" w:rsidP="00413A96">
      <w:r>
        <w:t>PARÁGRAFO PRIMERO. Los beneficiarios de licencias de explotación que hayan optado por la prórroga de este título minero y los beneficiarios de contratos mineros de pequeña minería celebrados en áreas de aporte, tendrán derecho de preferencia para obtener nuevamente el área objeto del respectivo título minero mediante contrato de concesión en los términos y condiciones establecidos en el inciso segundo de este artículo. Lo anterior sin perjuicio de lo dispuesto por la ley para las zonas de exclusión.</w:t>
      </w:r>
    </w:p>
    <w:p w14:paraId="49E79E37" w14:textId="77777777" w:rsidR="00413A96" w:rsidRDefault="00413A96" w:rsidP="00413A96"/>
    <w:p w14:paraId="55AD7547" w14:textId="77777777" w:rsidR="00413A96" w:rsidRDefault="00413A96" w:rsidP="00413A96">
      <w:r>
        <w:t>Lo anterior siempre y cuando acredite estar al día con todas sus obligaciones y alleguen los estudios técnicos que fundamenten la viabilidad de continuar con las actividades de explotación.</w:t>
      </w:r>
    </w:p>
    <w:p w14:paraId="7A7901B3" w14:textId="77777777" w:rsidR="00413A96" w:rsidRDefault="00413A96" w:rsidP="00413A96"/>
    <w:p w14:paraId="0F433939" w14:textId="77777777" w:rsidR="00413A96" w:rsidRDefault="00413A96" w:rsidP="00413A96">
      <w:r>
        <w:t>PARÁGRAFO SEGUNDO. En todos los contratos de concesión minera podrán solicitarse prórrogas</w:t>
      </w:r>
    </w:p>
    <w:p w14:paraId="20F709AA" w14:textId="77777777" w:rsidR="00413A96" w:rsidRDefault="00413A96" w:rsidP="00413A96">
      <w:r>
        <w:t xml:space="preserve"> </w:t>
      </w:r>
    </w:p>
    <w:p w14:paraId="403A7CF3" w14:textId="77777777" w:rsidR="00413A96" w:rsidRDefault="00413A96" w:rsidP="00413A96">
      <w:r>
        <w:t>de la etapa de exploración por periodos de dos (2) años cada una, hasta por un término total de once</w:t>
      </w:r>
    </w:p>
    <w:p w14:paraId="1ED846FA" w14:textId="77777777" w:rsidR="00413A96" w:rsidRDefault="00413A96" w:rsidP="00413A96">
      <w:r>
        <w:t>(11) años, para lo cual el concesionario deberá sustentar las razones técnicas y económicas respectivas, el cumplimiento de la normatividad minero­ambiental, describir y demostrar los trabajos de exploración ejecutados y los que faltan por realizar especificando su duración, las inversiones a efectuar y demostrar que se encuentra al día en las obligaciones de pago del canon superficiario y que mantiene vigente la póliza Minero­Ambiental.</w:t>
      </w:r>
    </w:p>
    <w:p w14:paraId="6A27B059" w14:textId="77777777" w:rsidR="00413A96" w:rsidRDefault="00413A96" w:rsidP="00413A96"/>
    <w:p w14:paraId="0FA523C5" w14:textId="77777777" w:rsidR="00413A96" w:rsidRDefault="00413A96" w:rsidP="00413A96">
      <w:r>
        <w:t>ARTÍCULO 54. Concesiones para uso del recurso hídrico. Adiciónese un parágrafo al artículo 55 del Decreto­ley 2811 de 1974, así:</w:t>
      </w:r>
    </w:p>
    <w:p w14:paraId="4D5A0373" w14:textId="77777777" w:rsidR="00413A96" w:rsidRDefault="00413A96" w:rsidP="00413A96"/>
    <w:p w14:paraId="1143262D" w14:textId="77777777" w:rsidR="00413A96" w:rsidRDefault="00413A96" w:rsidP="00413A96">
      <w:r>
        <w:t>“PARÁGRAFO. En caso de ser viable el otorgamiento de una concesión de agua para el uso del recurso hídrico con destino a la operación de plantas de generación de energía eléctrica serán otorgadas por periodos mínimos de veinte años y hasta cincuenta años. Cuando haya lugar a otorgar prórrogas a estas concesiones, las mismas serán otorgadas por periodos mínimos de veinte (20) años, sin superar la vida económica de los proyectos de generación. Dichas prórrogas deberán tramitarse dentro de los dos (2) últimos años de la concesión.</w:t>
      </w:r>
    </w:p>
    <w:p w14:paraId="581C4631" w14:textId="77777777" w:rsidR="00413A96" w:rsidRDefault="00413A96" w:rsidP="00413A96"/>
    <w:p w14:paraId="4FBDA855" w14:textId="77777777" w:rsidR="00413A96" w:rsidRDefault="00413A96" w:rsidP="00413A96">
      <w:r>
        <w:t>Lo anterior, sin perjuicio del seguimiento, vigilancia y control que efectúen dichas autoridades a las concesiones otorgadas y/o sus prórrogas”.</w:t>
      </w:r>
    </w:p>
    <w:p w14:paraId="39EF9940" w14:textId="77777777" w:rsidR="00413A96" w:rsidRDefault="00413A96" w:rsidP="00413A96"/>
    <w:p w14:paraId="37D6F3F5" w14:textId="77777777" w:rsidR="00413A96" w:rsidRDefault="00413A96" w:rsidP="00413A96">
      <w:r>
        <w:t>CAPÍTULO II MOVILIDAD SOCIAL</w:t>
      </w:r>
    </w:p>
    <w:p w14:paraId="4C59D153" w14:textId="77777777" w:rsidR="00413A96" w:rsidRDefault="00413A96" w:rsidP="00413A96">
      <w:r>
        <w:t>ARTÍCULO 55. Obligatoriedad de la educación media. La educación media será obligatoria, para lo cual el Estado adelantará las acciones tendientes a asegurar la cobertura hasta el grado once (11) en todos los establecimientos educativos. El Ministerio de Educación Nacional definirá los mecanismos para hacer exigible la atención hasta el grado once (11), de manera progresiva, en todos los establecimientos educativos.</w:t>
      </w:r>
    </w:p>
    <w:p w14:paraId="2CC03665" w14:textId="77777777" w:rsidR="00413A96" w:rsidRDefault="00413A96" w:rsidP="00413A96"/>
    <w:p w14:paraId="64F380FA" w14:textId="77777777" w:rsidR="00413A96" w:rsidRDefault="00413A96" w:rsidP="00413A96">
      <w:r>
        <w:t>PARÁGRAFO. El Gobierno Nacional y las entidades territoriales certificadas en educación, diseñarán planes para la implementación de la universalidad de la educación media, de forma gradual, en un plazo que no supere al año 2025 en las zonas urbanas y el 2030 para las zonas rurales. En el proceso de diseño, las facultades de educación del país y las juntas de asociación de padres de familia podrán ser consultadas.</w:t>
      </w:r>
    </w:p>
    <w:p w14:paraId="6CA7F12D" w14:textId="77777777" w:rsidR="00413A96" w:rsidRDefault="00413A96" w:rsidP="00413A96"/>
    <w:p w14:paraId="01DC3CF1" w14:textId="77777777" w:rsidR="00413A96" w:rsidRDefault="00413A96" w:rsidP="00413A96">
      <w:r>
        <w:t>ARTÍCULO 56. Educación inicial. La educación inicial es un derecho de los niños y las niñas menores de cinco (5) años de edad.</w:t>
      </w:r>
    </w:p>
    <w:p w14:paraId="791AAB1C" w14:textId="77777777" w:rsidR="00413A96" w:rsidRDefault="00413A96" w:rsidP="00413A96"/>
    <w:p w14:paraId="0F234EE8" w14:textId="77777777" w:rsidR="00413A96" w:rsidRDefault="00413A96" w:rsidP="00413A96">
      <w:r>
        <w:t>El Gobierno Nacional reglamentará su articulación con el servicio educativo en el marco de la Atención Integral, considerando como mínimo los siguientes aspectos:</w:t>
      </w:r>
    </w:p>
    <w:p w14:paraId="5896DCE4" w14:textId="77777777" w:rsidR="00413A96" w:rsidRDefault="00413A96" w:rsidP="00413A96"/>
    <w:p w14:paraId="2EA50307" w14:textId="77777777" w:rsidR="00413A96" w:rsidRDefault="00413A96" w:rsidP="00413A96">
      <w:r>
        <w:t>a)</w:t>
      </w:r>
      <w:r>
        <w:tab/>
        <w:t>El desarrollo del Sistema de Gestión de la Calidad.</w:t>
      </w:r>
    </w:p>
    <w:p w14:paraId="0B71E21D" w14:textId="77777777" w:rsidR="00413A96" w:rsidRDefault="00413A96" w:rsidP="00413A96"/>
    <w:p w14:paraId="2AFC195A" w14:textId="77777777" w:rsidR="00413A96" w:rsidRDefault="00413A96" w:rsidP="00413A96">
      <w:r>
        <w:t>b)</w:t>
      </w:r>
      <w:r>
        <w:tab/>
        <w:t xml:space="preserve">La definición del Proceso de tránsito de la educación inicial al grado de preescolar en el Sistema </w:t>
      </w:r>
      <w:r>
        <w:lastRenderedPageBreak/>
        <w:t>Educativo Nacional.</w:t>
      </w:r>
    </w:p>
    <w:p w14:paraId="2465489F" w14:textId="77777777" w:rsidR="00413A96" w:rsidRDefault="00413A96" w:rsidP="00413A96"/>
    <w:p w14:paraId="5C9FB4B5" w14:textId="77777777" w:rsidR="00413A96" w:rsidRDefault="00413A96" w:rsidP="00413A96">
      <w:r>
        <w:t>c)</w:t>
      </w:r>
      <w:r>
        <w:tab/>
        <w:t>Los referentes técnicos y pedagógicos de la educación inicial.</w:t>
      </w:r>
    </w:p>
    <w:p w14:paraId="75E45F63" w14:textId="77777777" w:rsidR="00413A96" w:rsidRDefault="00413A96" w:rsidP="00413A96"/>
    <w:p w14:paraId="552C5EC9" w14:textId="77777777" w:rsidR="00413A96" w:rsidRDefault="00413A96" w:rsidP="00413A96">
      <w:r>
        <w:t>d)</w:t>
      </w:r>
      <w:r>
        <w:tab/>
        <w:t>El desarrollo del Sistema de Seguimiento al Desarrollo Integral de la Primera Infancia.</w:t>
      </w:r>
    </w:p>
    <w:p w14:paraId="223D2EBF" w14:textId="77777777" w:rsidR="00413A96" w:rsidRDefault="00413A96" w:rsidP="00413A96"/>
    <w:p w14:paraId="2037142E" w14:textId="77777777" w:rsidR="00413A96" w:rsidRDefault="00413A96" w:rsidP="00413A96">
      <w:r>
        <w:t>e)</w:t>
      </w:r>
      <w:r>
        <w:tab/>
        <w:t>Los procesos para la excelencia del talento humano.</w:t>
      </w:r>
    </w:p>
    <w:p w14:paraId="7C0DE46D" w14:textId="77777777" w:rsidR="00413A96" w:rsidRDefault="00413A96" w:rsidP="00413A96"/>
    <w:p w14:paraId="3C0120E2" w14:textId="77777777" w:rsidR="00413A96" w:rsidRDefault="00413A96" w:rsidP="00413A96">
      <w:r>
        <w:t>PARÁGRAFO PRIMERO. Para su reglamentación, la educación inicial se entenderá como un proceso educativo y pedagógico intencional, permanente y estructurado, a través del cual los niños y las niñas</w:t>
      </w:r>
    </w:p>
    <w:p w14:paraId="12575E8A" w14:textId="77777777" w:rsidR="00413A96" w:rsidRDefault="00413A96" w:rsidP="00413A96">
      <w:r>
        <w:t xml:space="preserve"> </w:t>
      </w:r>
    </w:p>
    <w:p w14:paraId="3CD27ED8" w14:textId="77777777" w:rsidR="00413A96" w:rsidRDefault="00413A96" w:rsidP="00413A96">
      <w:r>
        <w:t>desarrollan su potencial, capacidades y habilidades por medio del juego, el arte, la literatura y la exploración del medio, contando con la familia como actor central de dicho proceso.</w:t>
      </w:r>
    </w:p>
    <w:p w14:paraId="7258EC79" w14:textId="77777777" w:rsidR="00413A96" w:rsidRDefault="00413A96" w:rsidP="00413A96"/>
    <w:p w14:paraId="5874CD26" w14:textId="77777777" w:rsidR="00413A96" w:rsidRDefault="00413A96" w:rsidP="00413A96">
      <w:r>
        <w:t>PARÁGRAFO SEGUNDO. Los niños y niñas entre los 5 y 6 años tienen el derecho a ingresar al grado obligatorio de transición, el cual para los casos en que sea ofrecido por instituciones educativas estatales se sujetará a las reglas que establece la Ley 715 de 2001, o la norma que lo modifique o sustituya.</w:t>
      </w:r>
    </w:p>
    <w:p w14:paraId="13EF19ED" w14:textId="77777777" w:rsidR="00413A96" w:rsidRDefault="00413A96" w:rsidP="00413A96"/>
    <w:p w14:paraId="56C25AE2" w14:textId="77777777" w:rsidR="00413A96" w:rsidRDefault="00413A96" w:rsidP="00413A96">
      <w:r>
        <w:t>PARÁGRAFO TERCERO. Los referentes técnicos pedagógicos deberán contener estándares de inclusión y accesibilidad dando cumplimiento al artículo 11° de la Ley 1618 de 2013 y acorde al artículo 24° de la Convención sobre los Derechos de las Personas con Discapacidad.</w:t>
      </w:r>
    </w:p>
    <w:p w14:paraId="79257C5F" w14:textId="77777777" w:rsidR="00413A96" w:rsidRDefault="00413A96" w:rsidP="00413A96"/>
    <w:p w14:paraId="2E213469" w14:textId="77777777" w:rsidR="00413A96" w:rsidRDefault="00413A96" w:rsidP="00413A96">
      <w:r>
        <w:t>ARTÍCULO 57. Jornadas en los establecimientos educativos. Modifíquese el artículo 85° de la Ley 115 de 1994, el cual quedará así:</w:t>
      </w:r>
    </w:p>
    <w:p w14:paraId="4AE46933" w14:textId="77777777" w:rsidR="00413A96" w:rsidRDefault="00413A96" w:rsidP="00413A96"/>
    <w:p w14:paraId="37A4A730" w14:textId="77777777" w:rsidR="00413A96" w:rsidRDefault="00413A96" w:rsidP="00413A96">
      <w:r>
        <w:t>“ARTÍCULO 85. Jornadas en los establecimientos educativos. El servicio público educativo se prestará en las instituciones educativas en jornada única, la cual se define para todos los efectos, como la jornada escolar en la cual los estudiantes desarrollan actividades que forman parte del plan de estudios del establecimiento educativo y el receso durante al menos siete (7) horas al día. Tratándose de preescolar el tiempo dedicado al plan de estudios será al menos de seis (6) horas.</w:t>
      </w:r>
    </w:p>
    <w:p w14:paraId="42AEB83A" w14:textId="77777777" w:rsidR="00413A96" w:rsidRDefault="00413A96" w:rsidP="00413A96"/>
    <w:p w14:paraId="43DE501A" w14:textId="77777777" w:rsidR="00413A96" w:rsidRDefault="00413A96" w:rsidP="00413A96">
      <w:r>
        <w:t>Las secretarías de educación implementarán los mecanismos para asegurar que los establecimientos educativos entreguen, dentro de sus informes periódicos de evaluación, la relación del total de horas efectivas desarrolladas en cada una de las áreas obligatorias y fundamentales, establecidas por la Ley General de Educación.</w:t>
      </w:r>
    </w:p>
    <w:p w14:paraId="42B3D6C7" w14:textId="77777777" w:rsidR="00413A96" w:rsidRDefault="00413A96" w:rsidP="00413A96"/>
    <w:p w14:paraId="08436843" w14:textId="77777777" w:rsidR="00413A96" w:rsidRDefault="00413A96" w:rsidP="00413A96">
      <w:r>
        <w:t>Excepcionalmente, cuando las limitaciones del servicio educativo impidan el desarrollo de la jornada única, podrán ofrecerse dos jornadas escolares, una diurna y otra nocturna, bajo la responsabilidad de una misma administración. La jornada escolar nocturna se destinará, preferentemente, a la educación de adultos de que trata el Título III de la presente ley.</w:t>
      </w:r>
    </w:p>
    <w:p w14:paraId="1D038F42" w14:textId="77777777" w:rsidR="00413A96" w:rsidRDefault="00413A96" w:rsidP="00413A96"/>
    <w:p w14:paraId="2C9BA44E" w14:textId="77777777" w:rsidR="00413A96" w:rsidRDefault="00413A96" w:rsidP="00413A96">
      <w:r>
        <w:t>PARÁGRAFO. El Gobierno nacional y las entidades territoriales certificadas en educación, diseñarán planes para la implementación, de forma gradual, de la jornada única en un plazo que no supere al año 2025 en las zonas urbanas y el 2030 para las zonas rurales. En el proceso de diseño, las facultades de educación del país, las juntas de asociación de padres de familias y los docentes podrán ser consultados”.</w:t>
      </w:r>
    </w:p>
    <w:p w14:paraId="69FB0931" w14:textId="77777777" w:rsidR="00413A96" w:rsidRDefault="00413A96" w:rsidP="00413A96"/>
    <w:p w14:paraId="5E9C9A3B" w14:textId="77777777" w:rsidR="00413A96" w:rsidRDefault="00413A96" w:rsidP="00413A96">
      <w:r>
        <w:t>ARTÍCULO 58. Sistemas Nacionales de Educación. Créese el Sistema Nacional de Educación Terciaria (SNET), conformado por toda aquella educación o formación posterior a la educación media, cuyo objeto es promover el aprendizaje a un nivel elevado de complejidad y especialización. La construcción de este sistema no modifica lo dispuesto por el artículo 16 de la Ley 30 de 1992 y el artículo 213 de la Ley 115 de 1994.</w:t>
      </w:r>
    </w:p>
    <w:p w14:paraId="38D5A5D2" w14:textId="77777777" w:rsidR="00413A96" w:rsidRDefault="00413A96" w:rsidP="00413A96"/>
    <w:p w14:paraId="774741B4" w14:textId="77777777" w:rsidR="00413A96" w:rsidRDefault="00413A96" w:rsidP="00413A96">
      <w:r>
        <w:t>Créese el Sistema Nacional de Calidad de la Educación Terciaria (SISNACET), como instancia de integración y coordinación de los organismos, estrategias e instrumentos de educación terciaria, cuyo objeto es asegurar y promover la calidad de la misma.</w:t>
      </w:r>
    </w:p>
    <w:p w14:paraId="03B07D1F" w14:textId="77777777" w:rsidR="00413A96" w:rsidRDefault="00413A96" w:rsidP="00413A96"/>
    <w:p w14:paraId="24BCC2F0" w14:textId="77777777" w:rsidR="00413A96" w:rsidRDefault="00413A96" w:rsidP="00413A96">
      <w:r>
        <w:t>Créese el Marco Nacional de Cualificaciones (MNC), como un instrumento para clasificar y estructurar los conocimientos, las destrezas y las aptitudes en un esquema de niveles de acuerdo con un conjunto de criterios sobre los aprendizajes logrados por las personas.</w:t>
      </w:r>
    </w:p>
    <w:p w14:paraId="788F3F42" w14:textId="77777777" w:rsidR="00413A96" w:rsidRDefault="00413A96" w:rsidP="00413A96"/>
    <w:p w14:paraId="2A7AD185" w14:textId="77777777" w:rsidR="00413A96" w:rsidRDefault="00413A96" w:rsidP="00413A96">
      <w:r>
        <w:t>Créese el Sistema Nacional de Acumulación y Transferencia de Créditos (SNATC) con la finalidad de afianzar los procesos de aseguramiento de la calidad, acompañar la implementación del Marco Nacional de Cualificaciones, flexibilizar la oferta educativa, lograr la integración entre los diferentes tipos de educación (formal y para el trabajo y el desarrollo humano), generar integración entre los</w:t>
      </w:r>
    </w:p>
    <w:p w14:paraId="44C4AF9C" w14:textId="77777777" w:rsidR="00413A96" w:rsidRDefault="00413A96" w:rsidP="00413A96">
      <w:r>
        <w:t xml:space="preserve"> </w:t>
      </w:r>
    </w:p>
    <w:p w14:paraId="4891DAC6" w14:textId="77777777" w:rsidR="00413A96" w:rsidRDefault="00413A96" w:rsidP="00413A96">
      <w:r>
        <w:t>diferentes niveles (básica primaria, básica secundaria, media, educación para el trabajo y el desarrollo humano, y superior), mejorar las capacidades para enfrentar las pruebas nacionales e internacionales y afianzar las relaciones entre el sector educativo y el sector productivo.</w:t>
      </w:r>
    </w:p>
    <w:p w14:paraId="1E82B560" w14:textId="77777777" w:rsidR="00413A96" w:rsidRDefault="00413A96" w:rsidP="00413A96"/>
    <w:p w14:paraId="1774D661" w14:textId="77777777" w:rsidR="00413A96" w:rsidRDefault="00413A96" w:rsidP="00413A96">
      <w:r>
        <w:t>PARÁGRAFO PRIMERO. Las mallas de equivalencias serán el instrumento que permita el tránsito entre instituciones y niveles educativos en el SNATC. La transparencia de las equivalencias del SNATC dependerá de la concentración de la información desde un único sistema de información, accesible a todos los ciudadanos y que garantice la superación de la ambigüedad y parcialidad en los datos existentes.</w:t>
      </w:r>
    </w:p>
    <w:p w14:paraId="78510B0C" w14:textId="77777777" w:rsidR="00413A96" w:rsidRDefault="00413A96" w:rsidP="00413A96"/>
    <w:p w14:paraId="5821B3F5" w14:textId="77777777" w:rsidR="00413A96" w:rsidRDefault="00413A96" w:rsidP="00413A96">
      <w:r>
        <w:t>PARÁGRAFO SEGUNDO. El Gobierno Nacional, a través del Ministerio de Educación Nacional, construirá y reglamentará el Marco Nacional de Cualificaciones (MNC), el Sistema Nacional de Acumulación y Transferencia de Créditos (SNATC), y el Sistema Nacional de Calidad de la Educación Terciaria. El MNC y el SNATC se implementarán de manera paralela, y con integración a los Sistemas de Información.</w:t>
      </w:r>
    </w:p>
    <w:p w14:paraId="2001ADB9" w14:textId="77777777" w:rsidR="00413A96" w:rsidRDefault="00413A96" w:rsidP="00413A96"/>
    <w:p w14:paraId="7B726560" w14:textId="77777777" w:rsidR="00413A96" w:rsidRDefault="00413A96" w:rsidP="00413A96">
      <w:r>
        <w:t>PARÁGRAFO TERCERO. El Gobierno Nacional, a través del Ministerio de Educación Nacional, presentará cada dos (2) años a las Comisiones Sextas del Congreso de la República un informe sobre los diferentes avances y logros del Sistema Nacional de Educación Terciaria (SNET), del Marco Nacional de Cualificaciones (MNC), del Sistema Nacional de Calidad de la Educación Terciaria (Sisnacet) y del Sistema Nacional de Acumulación y Transferencia de Créditos (SNATC).</w:t>
      </w:r>
    </w:p>
    <w:p w14:paraId="6EA8058A" w14:textId="77777777" w:rsidR="00413A96" w:rsidRDefault="00413A96" w:rsidP="00413A96"/>
    <w:p w14:paraId="3EE96E1A" w14:textId="77777777" w:rsidR="00413A96" w:rsidRDefault="00413A96" w:rsidP="00413A96">
      <w:r>
        <w:t>ARTÍCULO 59. Fondo de Financiamiento de la Infraestructura Educativa Preescolar, básica y media. Créase el Fondo de Financiamiento de la Infraestructura Educativa Pre­escolar, básica y media, sin personería jurídica, como una cuenta especial del Ministerio de Educación Nacional.</w:t>
      </w:r>
    </w:p>
    <w:p w14:paraId="1C31B5BD" w14:textId="77777777" w:rsidR="00413A96" w:rsidRDefault="00413A96" w:rsidP="00413A96"/>
    <w:p w14:paraId="3A15C26B" w14:textId="77777777" w:rsidR="00413A96" w:rsidRDefault="00413A96" w:rsidP="00413A96">
      <w:r>
        <w:t>Con cargo a los recursos administrados por el Fondo de Financiamiento de la Infraestructura Educativa Pre­escolar, básica y media, se asumirán los costos en que se incurra para el manejo y control de los recursos, los gastos de operación del fondo, y cualquier otro contrato que se requiera para la estructuración, desarrollo e implementación de esquemas necesarios para lograr la ejecución de los proyectos del Plan Nacional de Infraestructura Educativa.</w:t>
      </w:r>
    </w:p>
    <w:p w14:paraId="6FD04388" w14:textId="77777777" w:rsidR="00413A96" w:rsidRDefault="00413A96" w:rsidP="00413A96"/>
    <w:p w14:paraId="23BBAF3F" w14:textId="77777777" w:rsidR="00413A96" w:rsidRDefault="00413A96" w:rsidP="00413A96">
      <w:r>
        <w:t>El Fondo de Financiamiento de la Infraestructura Educativa será administrado por una Junta cuya estructura y funcionamiento será definida por el Gobierno Nacional.</w:t>
      </w:r>
    </w:p>
    <w:p w14:paraId="723EBAA8" w14:textId="77777777" w:rsidR="00413A96" w:rsidRDefault="00413A96" w:rsidP="00413A96"/>
    <w:p w14:paraId="6B8BB6C4" w14:textId="77777777" w:rsidR="00413A96" w:rsidRDefault="00413A96" w:rsidP="00413A96">
      <w:r>
        <w:t>Los recursos del Fondo de Financiamiento de la Infraestructura Educativa Pre­escolar, básica y media provendrán de las siguientes fuentes:</w:t>
      </w:r>
    </w:p>
    <w:p w14:paraId="69EF613B" w14:textId="77777777" w:rsidR="00413A96" w:rsidRDefault="00413A96" w:rsidP="00413A96"/>
    <w:p w14:paraId="1F720128" w14:textId="77777777" w:rsidR="00413A96" w:rsidRDefault="00413A96" w:rsidP="00413A96">
      <w:r>
        <w:t>a)</w:t>
      </w:r>
      <w:r>
        <w:tab/>
        <w:t>Los recursos provenientes del recaudo establecido en el artículo 11° de la Ley 21 de 1982, destinados al Ministerio de Educación Nacional.</w:t>
      </w:r>
    </w:p>
    <w:p w14:paraId="73A32482" w14:textId="77777777" w:rsidR="00413A96" w:rsidRDefault="00413A96" w:rsidP="00413A96"/>
    <w:p w14:paraId="54BC8C48" w14:textId="77777777" w:rsidR="00413A96" w:rsidRDefault="00413A96" w:rsidP="00413A96">
      <w:r>
        <w:t>b)</w:t>
      </w:r>
      <w:r>
        <w:tab/>
        <w:t>Las partidas que se le asignen en el Presupuesto Nacional y estén contenidas en el Marco Fiscal de Mediano Plazo y el Marco de Gastos de Mediano Plazo.</w:t>
      </w:r>
    </w:p>
    <w:p w14:paraId="605E8623" w14:textId="77777777" w:rsidR="00413A96" w:rsidRDefault="00413A96" w:rsidP="00413A96"/>
    <w:p w14:paraId="254CE0B5" w14:textId="77777777" w:rsidR="00413A96" w:rsidRDefault="00413A96" w:rsidP="00413A96">
      <w:r>
        <w:t>c)</w:t>
      </w:r>
      <w:r>
        <w:tab/>
        <w:t>Los rendimientos financieros derivados de la inversión de sus recursos.</w:t>
      </w:r>
    </w:p>
    <w:p w14:paraId="11553A20" w14:textId="77777777" w:rsidR="00413A96" w:rsidRDefault="00413A96" w:rsidP="00413A96"/>
    <w:p w14:paraId="0DA3A436" w14:textId="77777777" w:rsidR="00413A96" w:rsidRDefault="00413A96" w:rsidP="00413A96">
      <w:r>
        <w:t>Así mismo, los proyectos de infraestructura educativa que se desarrollen a través del Fondo, podrán contar con recursos provenientes de:</w:t>
      </w:r>
    </w:p>
    <w:p w14:paraId="59DF6323" w14:textId="77777777" w:rsidR="00413A96" w:rsidRDefault="00413A96" w:rsidP="00413A96"/>
    <w:p w14:paraId="69EB2668" w14:textId="77777777" w:rsidR="00413A96" w:rsidRDefault="00413A96" w:rsidP="00413A96">
      <w:r>
        <w:t>d)</w:t>
      </w:r>
      <w:r>
        <w:tab/>
        <w:t>El Sistema General de Regalías destinados a la infraestructura educativa, en los casos en que el OCAD designe al Ministerio de Educación Nacional como ejecutor de los mismos.</w:t>
      </w:r>
    </w:p>
    <w:p w14:paraId="7D2D44CF" w14:textId="77777777" w:rsidR="00413A96" w:rsidRDefault="00413A96" w:rsidP="00413A96"/>
    <w:p w14:paraId="4CB5C205" w14:textId="77777777" w:rsidR="00413A96" w:rsidRDefault="00413A96" w:rsidP="00413A96">
      <w:r>
        <w:t>e)</w:t>
      </w:r>
      <w:r>
        <w:tab/>
        <w:t>Los recursos de cooperación internacional o cooperación de privados que éste gestione o se gestionen a su favor.</w:t>
      </w:r>
    </w:p>
    <w:p w14:paraId="73E1075D" w14:textId="77777777" w:rsidR="00413A96" w:rsidRDefault="00413A96" w:rsidP="00413A96">
      <w:r>
        <w:lastRenderedPageBreak/>
        <w:t xml:space="preserve"> </w:t>
      </w:r>
    </w:p>
    <w:p w14:paraId="1AE47AEA" w14:textId="77777777" w:rsidR="00413A96" w:rsidRDefault="00413A96" w:rsidP="00413A96">
      <w:r>
        <w:t>f)</w:t>
      </w:r>
      <w:r>
        <w:tab/>
        <w:t>Aportes de los Departamentos, Distritos y Municipios.</w:t>
      </w:r>
    </w:p>
    <w:p w14:paraId="4A4C2DDC" w14:textId="77777777" w:rsidR="00413A96" w:rsidRDefault="00413A96" w:rsidP="00413A96"/>
    <w:p w14:paraId="67883C5E" w14:textId="77777777" w:rsidR="00413A96" w:rsidRDefault="00413A96" w:rsidP="00413A96">
      <w:r>
        <w:t>g)</w:t>
      </w:r>
      <w:r>
        <w:tab/>
        <w:t>Participación del sector privado mediante proyectos de Asociaciones Público­ Privadas.</w:t>
      </w:r>
    </w:p>
    <w:p w14:paraId="7080CE1E" w14:textId="77777777" w:rsidR="00413A96" w:rsidRDefault="00413A96" w:rsidP="00413A96"/>
    <w:p w14:paraId="18704B4A" w14:textId="77777777" w:rsidR="00413A96" w:rsidRDefault="00413A96" w:rsidP="00413A96">
      <w:r>
        <w:t>h)</w:t>
      </w:r>
      <w:r>
        <w:tab/>
        <w:t>Excedentes de los recursos del Sistema General de Participaciones en Educación de las entidades territoriales certificadas en las vigencias anteriores, una vez garantizados los recursos para: 1) saneamiento de deudas, incluyendo las deudas laborales, que resulten del reconocimiento de los costos del servicio educativo siempre que tengan amparo constitucional y legal y estén certificadas por el Ministerio de Educación y la prestación del servicio educativo; y 2) el pago de nómina y contratación de la prestación del servicio educativo de conformidad con lo dispuesto en el artículo 27 de la Ley 715 de 2001 y las normas reglamentarias correspondientes.</w:t>
      </w:r>
    </w:p>
    <w:p w14:paraId="27050910" w14:textId="77777777" w:rsidR="00413A96" w:rsidRDefault="00413A96" w:rsidP="00413A96"/>
    <w:p w14:paraId="0739609D" w14:textId="77777777" w:rsidR="00413A96" w:rsidRDefault="00413A96" w:rsidP="00413A96">
      <w:r>
        <w:t>En caso de que un proyecto priorizado por la Junta Administradora involucre cualquiera de los recursos de que tratan los literales d), e), f), g) y h) del presente artículo, con cargo al Fondo de Financiamiento de la Infraestructura Educativa se podrán constituir patrimonios autónomos que se regirán por normas de derecho privado en donde podrán confluir todas las fuentes de recursos con las que cuenten los proyectos. Dichos Patrimonios Autónomos, podrán celebrar operaciones de crédito interno o externo a su nombre, para lo cual la Nación podrá otorgar los avales o garantías correspondientes.</w:t>
      </w:r>
    </w:p>
    <w:p w14:paraId="3F3C2A8C" w14:textId="77777777" w:rsidR="00413A96" w:rsidRDefault="00413A96" w:rsidP="00413A96"/>
    <w:p w14:paraId="02390997" w14:textId="77777777" w:rsidR="00413A96" w:rsidRDefault="00413A96" w:rsidP="00413A96">
      <w:r>
        <w:t>PARÁGRAFO. Todo proyecto sufragado por el Fondo de Financiamiento de la Infraestructura Educativa deberá contemplar obligatoriamente los ajustes razonables para acceso a la población con discapacidad de que trata la Ley Estatutaria 1618 de 2013.</w:t>
      </w:r>
    </w:p>
    <w:p w14:paraId="61319954" w14:textId="77777777" w:rsidR="00413A96" w:rsidRDefault="00413A96" w:rsidP="00413A96"/>
    <w:p w14:paraId="46D4238E" w14:textId="77777777" w:rsidR="00413A96" w:rsidRDefault="00413A96" w:rsidP="00413A96">
      <w:r>
        <w:t>ARTÍCULO 60. Programa para el estímulo a la calidad educativa y la implementación de la jornada única. Créase el programa para la implementación de la jornada única y el mejoramiento de la calidad de la educación básica y media, el cual se constituirá como un fondo­cuenta de la Nación, adscrito al Ministerio de Educación Nacional. El Ministerio de Educación Nacional reglamentará la implementación del programa, en coordinación con el Departamento Nacional de Planeación y el Ministerio de Hacienda y Crédito Público.</w:t>
      </w:r>
    </w:p>
    <w:p w14:paraId="5364C89D" w14:textId="77777777" w:rsidR="00413A96" w:rsidRDefault="00413A96" w:rsidP="00413A96"/>
    <w:p w14:paraId="5C711A8E" w14:textId="77777777" w:rsidR="00413A96" w:rsidRDefault="00413A96" w:rsidP="00413A96">
      <w:r>
        <w:t>El Gobierno Nacional, a través del Ministerio de Educación Nacional, podrá utilizar los recursos de este programa para otorgar estímulos a las entidades territoriales certificadas en educación y a los establecimientos educativos, para el mejoramiento de la calidad de la educación básica y media y los procesos de capacitación y actualización de docentes. Los estímulos se otorgarán de conformidad con lo establecido en los acuerdos de desempeño firmados entre la respectiva entidad territorial y/o el establecimiento educativo y el Ministerio de Educación Nacional.</w:t>
      </w:r>
    </w:p>
    <w:p w14:paraId="7A14AC86" w14:textId="77777777" w:rsidR="00413A96" w:rsidRDefault="00413A96" w:rsidP="00413A96"/>
    <w:p w14:paraId="062B82F3" w14:textId="77777777" w:rsidR="00413A96" w:rsidRDefault="00413A96" w:rsidP="00413A96">
      <w:r>
        <w:t>Adicionalmente con cargo a los recursos de este programa, el Ministerio de Educación Nacional transferirá recursos a las entidades territoriales certificadas en educación, para la implementación de la Jornada Única de conformidad con lo establecido en los acuerdos que al efecto se suscriban.</w:t>
      </w:r>
    </w:p>
    <w:p w14:paraId="4E4B57E7" w14:textId="77777777" w:rsidR="00413A96" w:rsidRDefault="00413A96" w:rsidP="00413A96"/>
    <w:p w14:paraId="3B781887" w14:textId="77777777" w:rsidR="00413A96" w:rsidRDefault="00413A96" w:rsidP="00413A96">
      <w:r>
        <w:t>PARÁGRAFO. El otorgamiento de estímulos a la calidad educativa solo se podrá hacer con fundamento en las mejoras que registren los establecimientos educativos, medidas de acuerdo con el índice de calidad que defina el Ministerio de Educación Nacional, el cual se construirá a partir de los resultados de las pruebas administradas por el Instituto Colombiano para el Fomento de la Educación Superior (Icfes) y de los sistemas de información del Ministerio de Educación Nacional</w:t>
      </w:r>
    </w:p>
    <w:p w14:paraId="0951C432" w14:textId="77777777" w:rsidR="00413A96" w:rsidRDefault="00413A96" w:rsidP="00413A96"/>
    <w:p w14:paraId="20E05AC7" w14:textId="77777777" w:rsidR="00413A96" w:rsidRDefault="00413A96" w:rsidP="00413A96">
      <w:r>
        <w:t>ARTÍCULO 61. Focalización de subsidios a los créditos del Icetex. Los beneficiarios de créditos de educación superior que se encuentren en los estratos 1, 2, y 3, priorizados en el Sisbén, dentro de los puntos de corte establecidos por el Ministerio de Educación Nacional, y que terminen su programa, solo pagarán el capital prestado durante su período de estudios, más la inflación causada de acuerdo con los datos publicados por el Departamento Administrativo Nacional de Estadística (DANE), correspondientes al periodo de amortización.</w:t>
      </w:r>
    </w:p>
    <w:p w14:paraId="5A074900" w14:textId="77777777" w:rsidR="00413A96" w:rsidRDefault="00413A96" w:rsidP="00413A96">
      <w:r>
        <w:t xml:space="preserve"> </w:t>
      </w:r>
    </w:p>
    <w:p w14:paraId="6488747E" w14:textId="77777777" w:rsidR="00413A96" w:rsidRDefault="00413A96" w:rsidP="00413A96">
      <w:r>
        <w:t xml:space="preserve">El Gobierno Nacional propenderá por un aumento de cobertura de los créditos del Icetex entre la población no focalizada por el subsidio con el objeto de ampliar el otorgamiento de créditos. El Icetex podrá ofrecer opciones de crédito sin amortizaciones durante el periodo de estudios, sin exigencia de colaterales, que podrá incluir apoyos de sostenimiento diferenciales por el municipio o distrito de origen del beneficiario, y que cubran la totalidad de costos del programa de estudios. El Icetex garantizará acceso preferente a estos beneficios para </w:t>
      </w:r>
      <w:r>
        <w:lastRenderedPageBreak/>
        <w:t>quienes estén matriculados en programas o instituciones con acreditación de alta calidad.</w:t>
      </w:r>
    </w:p>
    <w:p w14:paraId="61E9EA66" w14:textId="77777777" w:rsidR="00413A96" w:rsidRDefault="00413A96" w:rsidP="00413A96"/>
    <w:p w14:paraId="65D24915" w14:textId="77777777" w:rsidR="00413A96" w:rsidRDefault="00413A96" w:rsidP="00413A96">
      <w:r>
        <w:t>Asimismo, con el propósito de incentivar la permanencia y calidad, se concederá una condonación de la deuda de los créditos de Educación Superior otorgados a través del Icetex, de acuerdo con lo que reglamente el Gobierno Nacional, a las personas que cumplan los siguientes requisitos:</w:t>
      </w:r>
    </w:p>
    <w:p w14:paraId="4F4A9866" w14:textId="77777777" w:rsidR="00413A96" w:rsidRDefault="00413A96" w:rsidP="00413A96"/>
    <w:p w14:paraId="7BC55EDD" w14:textId="77777777" w:rsidR="00413A96" w:rsidRDefault="00413A96" w:rsidP="00413A96">
      <w:r>
        <w:t>1.</w:t>
      </w:r>
      <w:r>
        <w:tab/>
        <w:t>Estar en los estratos 1, 2, y 3, priorizados en el Sisbén, dentro de los puntos de corte establecidos por el Ministerio de Educación Nacional, al momento del otorgamiento del crédito.</w:t>
      </w:r>
    </w:p>
    <w:p w14:paraId="5DD52E02" w14:textId="77777777" w:rsidR="00413A96" w:rsidRDefault="00413A96" w:rsidP="00413A96"/>
    <w:p w14:paraId="5652E7F4" w14:textId="77777777" w:rsidR="00413A96" w:rsidRDefault="00413A96" w:rsidP="00413A96">
      <w:r>
        <w:t>2.</w:t>
      </w:r>
      <w:r>
        <w:tab/>
        <w:t>Que los resultados de las pruebas Saber Pro estén ubicados en el decil superior en su respectiva área.</w:t>
      </w:r>
    </w:p>
    <w:p w14:paraId="459964B1" w14:textId="77777777" w:rsidR="00413A96" w:rsidRDefault="00413A96" w:rsidP="00413A96"/>
    <w:p w14:paraId="28B8A71B" w14:textId="77777777" w:rsidR="00413A96" w:rsidRDefault="00413A96" w:rsidP="00413A96">
      <w:r>
        <w:t>3.</w:t>
      </w:r>
      <w:r>
        <w:tab/>
        <w:t>Haber terminado su programa educativo en el periodo señalado para el mismo.</w:t>
      </w:r>
    </w:p>
    <w:p w14:paraId="4EEF7141" w14:textId="77777777" w:rsidR="00413A96" w:rsidRDefault="00413A96" w:rsidP="00413A96"/>
    <w:p w14:paraId="52D8982A" w14:textId="77777777" w:rsidR="00413A96" w:rsidRDefault="00413A96" w:rsidP="00413A96">
      <w:r>
        <w:t>La Nación garantizará y destinará al Icetex los recursos requeridos para compensar los ingresos que deja de percibir por los conceptos anteriores.</w:t>
      </w:r>
    </w:p>
    <w:p w14:paraId="5A525D05" w14:textId="77777777" w:rsidR="00413A96" w:rsidRDefault="00413A96" w:rsidP="00413A96"/>
    <w:p w14:paraId="24C779E3" w14:textId="77777777" w:rsidR="00413A96" w:rsidRDefault="00413A96" w:rsidP="00413A96">
      <w:r>
        <w:t>Desde 2018 los créditos y becas financiados por el Icetex estarán destinados únicamente a financiar programas que cuenten con acreditación o en su defecto programas en instituciones de educación acreditadas institucionalmente.</w:t>
      </w:r>
    </w:p>
    <w:p w14:paraId="139BB09D" w14:textId="77777777" w:rsidR="00413A96" w:rsidRDefault="00413A96" w:rsidP="00413A96"/>
    <w:p w14:paraId="56D344E2" w14:textId="77777777" w:rsidR="00413A96" w:rsidRDefault="00413A96" w:rsidP="00413A96">
      <w:r>
        <w:t>PARÁGRAFO PRIMERO. Los créditos de educación superior otorgados a la fecha de entrada en vigencia de la presente ley, continuarán con las mismas condiciones que obtuvieron al momento de su otorgamiento.</w:t>
      </w:r>
    </w:p>
    <w:p w14:paraId="020687BE" w14:textId="77777777" w:rsidR="00413A96" w:rsidRDefault="00413A96" w:rsidP="00413A96"/>
    <w:p w14:paraId="4F923E3E" w14:textId="77777777" w:rsidR="00413A96" w:rsidRDefault="00413A96" w:rsidP="00413A96">
      <w:r>
        <w:t>PARÁGRAFO SEGUNDO. Las tasas de interés que aplica el Icetex deberán estar siempre por debajo de las tasas de interés comerciales para créditos educativos o de libre inversión que ofrezca el mercado. Los márgenes que se establezcan no podrán obedecer a fines de lucro y tendrán por objeto garantizar la sostenibilidad y viabilidad financiera del sistema de créditos e incentivos que ofrece el Icetex.</w:t>
      </w:r>
    </w:p>
    <w:p w14:paraId="386AAF89" w14:textId="77777777" w:rsidR="00413A96" w:rsidRDefault="00413A96" w:rsidP="00413A96"/>
    <w:p w14:paraId="6FDCF189" w14:textId="77777777" w:rsidR="00413A96" w:rsidRDefault="00413A96" w:rsidP="00413A96">
      <w:r>
        <w:t>ARTÍCULO 62. Convalidación de títulos en educación superior. El Ministerio de Educación Nacional establecerá, mediante un reglamento específico, el procedimiento de convalidación de títulos extranjeros de acuerdo con los criterios legalmente establecidos, y según los acuerdos internacionales que existan al respecto.</w:t>
      </w:r>
    </w:p>
    <w:p w14:paraId="0A2AFBA6" w14:textId="77777777" w:rsidR="00413A96" w:rsidRDefault="00413A96" w:rsidP="00413A96"/>
    <w:p w14:paraId="2E04D1EB" w14:textId="77777777" w:rsidR="00413A96" w:rsidRDefault="00413A96" w:rsidP="00413A96">
      <w:r>
        <w:t>El Ministerio de Educación Nacional contará con dos (2) meses para resolver las solicitudes de convalidación de títulos, cuando la institución que otorgó el título que se somete a convalidación o el programa académico que conduce a la expedición del título a convalidar se encuentren acreditados, o cuenten con un reconocimiento equivalente por parte de una entidad certificadora o evaluadora de alta calidad, reconocida en el país de procedencia del título o a nivel internacional.</w:t>
      </w:r>
    </w:p>
    <w:p w14:paraId="09F5EA35" w14:textId="77777777" w:rsidR="00413A96" w:rsidRDefault="00413A96" w:rsidP="00413A96"/>
    <w:p w14:paraId="3A26B1D2" w14:textId="77777777" w:rsidR="00413A96" w:rsidRDefault="00413A96" w:rsidP="00413A96">
      <w:r>
        <w:t>Las solicitudes de convalidación de los títulos universitarios oficiales, no incluidos en los supuestos del inciso anterior, se resolverán en un plazo máximo de cuatro (4) meses.</w:t>
      </w:r>
    </w:p>
    <w:p w14:paraId="79809276" w14:textId="77777777" w:rsidR="00413A96" w:rsidRDefault="00413A96" w:rsidP="00413A96"/>
    <w:p w14:paraId="547FBC84" w14:textId="77777777" w:rsidR="00413A96" w:rsidRDefault="00413A96" w:rsidP="00413A96">
      <w:r>
        <w:t>PARÁGRAFO PRIMERO. Los títulos otorgados por instituciones de educación superior, pero no validados por las autoridades de educación oficiales del país de origen de la institución y denominados como universitarios no oficiales o propios, otorgados a partir de la entrada en vigencia de la presente ley, no serán objeto de convalidación.</w:t>
      </w:r>
    </w:p>
    <w:p w14:paraId="436FF356" w14:textId="77777777" w:rsidR="00413A96" w:rsidRDefault="00413A96" w:rsidP="00413A96">
      <w:r>
        <w:t xml:space="preserve"> </w:t>
      </w:r>
    </w:p>
    <w:p w14:paraId="38D70CD9" w14:textId="77777777" w:rsidR="00413A96" w:rsidRDefault="00413A96" w:rsidP="00413A96"/>
    <w:p w14:paraId="2D14BC2C" w14:textId="77777777" w:rsidR="00413A96" w:rsidRDefault="00413A96" w:rsidP="00413A96">
      <w:r>
        <w:t>Sólo se convalidarán aquellos títulos universitarios no oficiales o propios, a los estudiantes que se encuentren matriculados en Programas de Educación Superior que conduzcan a la obtención de títulos universitarios no oficiales o propios, con anterioridad a la expedición de la presente ley, bajo el criterio exclusivo de evaluación académica.</w:t>
      </w:r>
    </w:p>
    <w:p w14:paraId="0F83A793" w14:textId="77777777" w:rsidR="00413A96" w:rsidRDefault="00413A96" w:rsidP="00413A96"/>
    <w:p w14:paraId="48C05FBC" w14:textId="77777777" w:rsidR="00413A96" w:rsidRDefault="00413A96" w:rsidP="00413A96">
      <w:r>
        <w:t>PARÁGRAFO SEGUNDO. Las Instituciones Estatales no podrán financiar con recursos públicos, aquellos estudios de Educación Superior que conduzcan a la obtención de títulos universitarios no oficiales o propios.</w:t>
      </w:r>
    </w:p>
    <w:p w14:paraId="17258505" w14:textId="77777777" w:rsidR="00413A96" w:rsidRDefault="00413A96" w:rsidP="00413A96"/>
    <w:p w14:paraId="156CBC81" w14:textId="77777777" w:rsidR="00413A96" w:rsidRDefault="00413A96" w:rsidP="00413A96">
      <w:r>
        <w:t xml:space="preserve">ARTÍCULO 63. Adjudicación de predios baldíos para la educación y la primera infancia. Las entidades territoriales, el ICBF y las instituciones de educación superior públicas, podrán solicitar al Instituto Colombiano </w:t>
      </w:r>
      <w:r>
        <w:lastRenderedPageBreak/>
        <w:t>de Desarrollo Rural (INCODER), o a la entidad que haga sus veces, la adjudicación de los inmuebles baldíos donde funcionan establecimientos educativos oficiales, de atención a primera infancia en modalidad institucional pública o instituciones de educación superior públicas cuando corresponda al momento de expedición de la presente ley.</w:t>
      </w:r>
    </w:p>
    <w:p w14:paraId="0788505F" w14:textId="77777777" w:rsidR="00413A96" w:rsidRDefault="00413A96" w:rsidP="00413A96"/>
    <w:p w14:paraId="13800622" w14:textId="77777777" w:rsidR="00413A96" w:rsidRDefault="00413A96" w:rsidP="00413A96">
      <w:r>
        <w:t>El INCODER podrá hacer entrega material anticipada del inmueble en la diligencia de inspección ocular del predio. A partir de ese momento se podrán invertir recursos públicos en proyectos de infraestructura sobre estos inmuebles. El desarrollo del proceso administrativo no podrá afectar bajo ninguna circunstancia la prestación del servicio.</w:t>
      </w:r>
    </w:p>
    <w:p w14:paraId="317813FA" w14:textId="77777777" w:rsidR="00413A96" w:rsidRDefault="00413A96" w:rsidP="00413A96"/>
    <w:p w14:paraId="66A33E8D" w14:textId="77777777" w:rsidR="00413A96" w:rsidRDefault="00413A96" w:rsidP="00413A96">
      <w:r>
        <w:t>ARTÍCULO 64. Titulación de la posesión material y saneamiento de títulos con falsa tradición sobre inmuebles para la educación y la primera infancia. Las entidades territoriales, el ICBF y las instituciones de educación superior públicas, podrán adquirir el dominio sobre los inmuebles que posean materialmente y donde operen establecimientos educativos oficiales, de atención a primera infancia en modalidad institucional pública y las instituciones de educación superior públicas según sea el caso, o sanear la falsa tradición de los mismos cuando corresponda, sin importar su valor catastral o comercial, mediante el proceso verbal especial establecido en la Ley 1561 de 2012 y en las leyes que la reformen o modifiquen, el cual se desarrollará en todos los aspectos que le sean aplicables a las entidades territoriales.</w:t>
      </w:r>
    </w:p>
    <w:p w14:paraId="1FA3942C" w14:textId="77777777" w:rsidR="00413A96" w:rsidRDefault="00413A96" w:rsidP="00413A96"/>
    <w:p w14:paraId="61781381" w14:textId="77777777" w:rsidR="00413A96" w:rsidRDefault="00413A96" w:rsidP="00413A96">
      <w:r>
        <w:t>En el procedimiento previsto en la Ley 1561 de 2012 y para todos los efectos que ella prevé se aplicarán estas reglas:</w:t>
      </w:r>
    </w:p>
    <w:p w14:paraId="56912C8E" w14:textId="77777777" w:rsidR="00413A96" w:rsidRDefault="00413A96" w:rsidP="00413A96"/>
    <w:p w14:paraId="1A67249F" w14:textId="77777777" w:rsidR="00413A96" w:rsidRDefault="00413A96" w:rsidP="00413A96">
      <w:r>
        <w:t>En ejercicio de la competencia que le confieren los artículos 5 y 9 de la Ley 1561 de 2012 el juez de conocimiento subsanará de oficio la demanda cuando no se haya aportado el plano certificado por la autoridad catastral a que se refiere el literal C del artículo 11 de la misma ley, siempre y cuando el demandante pruebe que solicitó dicho plan certificado y advierta que la entidad competente no dio respuesta a su petición en el plazo fijado por la ley.</w:t>
      </w:r>
    </w:p>
    <w:p w14:paraId="01F4A3DC" w14:textId="77777777" w:rsidR="00413A96" w:rsidRDefault="00413A96" w:rsidP="00413A96"/>
    <w:p w14:paraId="213ED5F6" w14:textId="77777777" w:rsidR="00413A96" w:rsidRDefault="00413A96" w:rsidP="00413A96">
      <w:r>
        <w:t>En el auto admisorio de la demanda, el juez ordenará informar de la existencia del proceso a la Superintendencia de Notariado y Registro, al Instituto Colombiano para el Desarrollo Rural (INCODER), a la Unidad Administrativa Especial de Atención y Reparación Integral a Víctimas y al Instituto Geográfico Agustín Codazzi (IGAC), para que si lo consideran pertinente, haga las manifestaciones a que hubiere lugar en el ámbito de sus funciones.</w:t>
      </w:r>
    </w:p>
    <w:p w14:paraId="02A30A33" w14:textId="77777777" w:rsidR="00413A96" w:rsidRDefault="00413A96" w:rsidP="00413A96"/>
    <w:p w14:paraId="43CB0A1D" w14:textId="77777777" w:rsidR="00413A96" w:rsidRDefault="00413A96" w:rsidP="00413A96">
      <w:r>
        <w:t>En caso de que las entidades mencionadas en el inciso anterior guarden silencio, el juez continuará el proceso y decidirá lo pertinente con las pruebas que hizo valer el demandante en las oportunidades que establezca la ley.</w:t>
      </w:r>
    </w:p>
    <w:p w14:paraId="5F4FCE3B" w14:textId="77777777" w:rsidR="00413A96" w:rsidRDefault="00413A96" w:rsidP="00413A96"/>
    <w:p w14:paraId="13A79A28" w14:textId="77777777" w:rsidR="00413A96" w:rsidRDefault="00413A96" w:rsidP="00413A96">
      <w:r>
        <w:t>ARTÍCULO 65. Política de atención integral en salud. El Ministerio de Salud y Protección Social (MSPS), dentro del marco de la Ley 1751 de 2015, Estatutaria en Salud, así como las demás leyes vigentes, definirá la política en salud que recibirá la población residente en el territorio colombiano, la cual será de obligatorio cumplimiento para los integrantes del Sistema General de Seguridad Social</w:t>
      </w:r>
    </w:p>
    <w:p w14:paraId="1FD1B984" w14:textId="77777777" w:rsidR="00413A96" w:rsidRDefault="00413A96" w:rsidP="00413A96">
      <w:r>
        <w:t xml:space="preserve"> </w:t>
      </w:r>
    </w:p>
    <w:p w14:paraId="4BC6AD48" w14:textId="77777777" w:rsidR="00413A96" w:rsidRDefault="00413A96" w:rsidP="00413A96">
      <w:r>
        <w:t>en Salud (SGSSS) y de las demás entidades que tengan a su cargo acciones en salud, en el marco de sus competencias y funciones.</w:t>
      </w:r>
    </w:p>
    <w:p w14:paraId="1FF28311" w14:textId="77777777" w:rsidR="00413A96" w:rsidRDefault="00413A96" w:rsidP="00413A96"/>
    <w:p w14:paraId="359AE9D6" w14:textId="77777777" w:rsidR="00413A96" w:rsidRDefault="00413A96" w:rsidP="00413A96">
      <w:r>
        <w:t>Para la definición de la política integral en salud se integrarán los siguientes enfoques: i) atención primaria en salud (APS); ii) salud familiar y comunitaria, iii) articulación de las actividades individuales y colectivas y iv) enfoque poblacional y diferencial. Dicha atención tendrá en cuenta los componentes relativos a las rutas de atención para la promoción y mantenimiento de la salud por curso de vida, las rutas de atención específicas por grupos de riesgos, el fortalecimiento del prestador primario, la operación en redes integrales de servicios, el desarrollo del talento humano, en el marco de la Ley 1164 de 2007, articulación de las intervenciones individuales y colectivas, el desarrollo de incentivos en salud y la definición de requerimientos de información para su seguimiento y evaluación.</w:t>
      </w:r>
    </w:p>
    <w:p w14:paraId="1309753C" w14:textId="77777777" w:rsidR="00413A96" w:rsidRDefault="00413A96" w:rsidP="00413A96"/>
    <w:p w14:paraId="6CE34501" w14:textId="77777777" w:rsidR="00413A96" w:rsidRDefault="00413A96" w:rsidP="00413A96">
      <w:r>
        <w:t xml:space="preserve">PARÁGRAFO PRIMERO. El Ministerio de Salud y Protección Social (MSPS) realizará la adaptación de esta política en los ámbitos territoriales con población dispersa, rural y urbana diferenciando a los municipios y distritos que tengan más de un millón de habitantes. Para zonas con población dispersa y rural, se podrá </w:t>
      </w:r>
      <w:r>
        <w:lastRenderedPageBreak/>
        <w:t>determinar la existencia de uno o varios aseguradores. Si se trata de un único asegurador, el MSPS establecerá las condiciones para su selección.</w:t>
      </w:r>
    </w:p>
    <w:p w14:paraId="65DB18C5" w14:textId="77777777" w:rsidR="00413A96" w:rsidRDefault="00413A96" w:rsidP="00413A96"/>
    <w:p w14:paraId="21521C81" w14:textId="77777777" w:rsidR="00413A96" w:rsidRDefault="00413A96" w:rsidP="00413A96">
      <w:r>
        <w:t>PARÁGRAFO SEGUNDO. Para la definición de la política de atención integral, el Ministerio de Salud y Protección Social garantizará una amplia participación de todos los grupos de interés del sector salud: usuarios, prestadores, aseguradores, academia, asociaciones científicas, entes territoriales, entre otros.</w:t>
      </w:r>
    </w:p>
    <w:p w14:paraId="661C39A8" w14:textId="77777777" w:rsidR="00413A96" w:rsidRDefault="00413A96" w:rsidP="00413A96"/>
    <w:p w14:paraId="63DCD618" w14:textId="77777777" w:rsidR="00413A96" w:rsidRDefault="00413A96" w:rsidP="00413A96">
      <w:r>
        <w:t>ARTÍCULO 66. Del manejo unificado de los recursos destinados a la financiación del Sistema General de Seguridad Social en Salud (SGSSS). Con el fin de garantizar el adecuado flujo y los respectivos controles de recursos del Sistema General de Seguridad Social en Salud, créase una entidad de naturaleza especial del nivel descentralizado del orden nacional asimilada a una empresa industrial y comercial del Estado que se denominará Entidad Administradora de los Recursos del Sistema General de Seguridad Social en Salud (SGSSS). La Entidad hará parte del SGSSS y estará adscrita al Ministerio de Salud y Protección Social (MSPS), con personería jurídica, autonomía administrativa y financiera y patrimonio independiente.</w:t>
      </w:r>
    </w:p>
    <w:p w14:paraId="2A0E3E6C" w14:textId="77777777" w:rsidR="00413A96" w:rsidRDefault="00413A96" w:rsidP="00413A96"/>
    <w:p w14:paraId="7F7D77B1" w14:textId="77777777" w:rsidR="00413A96" w:rsidRDefault="00413A96" w:rsidP="00413A96">
      <w:r>
        <w:t>En materia laboral los servidores de la Entidad se regirán por las normas generales aplicables a los empleados de la rama ejecutiva del orden nacional; en materia de nomenclatura se regirán por el sistema especial que establezca el Gobierno Nacional. En materia de contratación se regirá por el régimen público.</w:t>
      </w:r>
    </w:p>
    <w:p w14:paraId="0B65C5ED" w14:textId="77777777" w:rsidR="00413A96" w:rsidRDefault="00413A96" w:rsidP="00413A96"/>
    <w:p w14:paraId="5A66DC0E" w14:textId="77777777" w:rsidR="00413A96" w:rsidRDefault="00413A96" w:rsidP="00413A96">
      <w:r>
        <w:t>La Entidad tendrá como objeto administrar los recursos que hacen parte del Fondo de Solidaridad y Garantías (FOSYGA), los del Fondo de Salvamento y Garantías para el Sector Salud (FONSAET), los que financien el aseguramiento en salud, los copagos por concepto de prestaciones no incluidas en el plan de beneficios del Régimen Contributivo, los recursos que se recauden como consecuencia de las gestiones que realiza la Unidad Administrativa Especial de Gestión Pensional y Contribuciones Parafiscales de la Protección Social (UGPP); los cuales confluirán en la Entidad. En ningún caso la Entidad asumirá las funciones asignadas a las Entidades Promotoras de Salud.</w:t>
      </w:r>
    </w:p>
    <w:p w14:paraId="3714DF73" w14:textId="77777777" w:rsidR="00413A96" w:rsidRDefault="00413A96" w:rsidP="00413A96"/>
    <w:p w14:paraId="36CD1ADD" w14:textId="77777777" w:rsidR="00413A96" w:rsidRDefault="00413A96" w:rsidP="00413A96">
      <w:r>
        <w:t>Para desarrollar el objeto la Entidad tendrá las siguientes funciones:</w:t>
      </w:r>
    </w:p>
    <w:p w14:paraId="758C7330" w14:textId="77777777" w:rsidR="00413A96" w:rsidRDefault="00413A96" w:rsidP="00413A96"/>
    <w:p w14:paraId="282BEFA6" w14:textId="77777777" w:rsidR="00413A96" w:rsidRDefault="00413A96" w:rsidP="00413A96">
      <w:r>
        <w:t>a)</w:t>
      </w:r>
      <w:r>
        <w:tab/>
        <w:t>Administrar los recursos del Sistema, de conformidad con lo previsto en el presente artículo.</w:t>
      </w:r>
    </w:p>
    <w:p w14:paraId="38958CD8" w14:textId="77777777" w:rsidR="00413A96" w:rsidRDefault="00413A96" w:rsidP="00413A96"/>
    <w:p w14:paraId="5C4916A1" w14:textId="77777777" w:rsidR="00413A96" w:rsidRDefault="00413A96" w:rsidP="00413A96">
      <w:r>
        <w:t>b)</w:t>
      </w:r>
      <w:r>
        <w:tab/>
        <w:t>Administrar los recursos del Fondo de Salvamento y Garantías para el Sector Salud (FONSAET) creado por el artículo 50 de la Ley 1438 de 2011 y modificado por el artículo 7 de la Ley 1608 de 2013.</w:t>
      </w:r>
    </w:p>
    <w:p w14:paraId="7AF6085C" w14:textId="77777777" w:rsidR="00413A96" w:rsidRDefault="00413A96" w:rsidP="00413A96"/>
    <w:p w14:paraId="4BABA483" w14:textId="77777777" w:rsidR="00413A96" w:rsidRDefault="00413A96" w:rsidP="00413A96">
      <w:r>
        <w:t>c)</w:t>
      </w:r>
      <w:r>
        <w:tab/>
        <w:t>Efectuar el reconocimiento y pago de las Unidades de Pago por Capitación y demás recursos del</w:t>
      </w:r>
    </w:p>
    <w:p w14:paraId="12D30F6F" w14:textId="77777777" w:rsidR="00413A96" w:rsidRDefault="00413A96" w:rsidP="00413A96">
      <w:r>
        <w:t xml:space="preserve"> </w:t>
      </w:r>
    </w:p>
    <w:p w14:paraId="4603C0A2" w14:textId="77777777" w:rsidR="00413A96" w:rsidRDefault="00413A96" w:rsidP="00413A96">
      <w:r>
        <w:t>aseguramiento obligatorio en salud.</w:t>
      </w:r>
    </w:p>
    <w:p w14:paraId="1901E03E" w14:textId="77777777" w:rsidR="00413A96" w:rsidRDefault="00413A96" w:rsidP="00413A96"/>
    <w:p w14:paraId="780478BF" w14:textId="77777777" w:rsidR="00413A96" w:rsidRDefault="00413A96" w:rsidP="00413A96">
      <w:r>
        <w:t>d)</w:t>
      </w:r>
      <w:r>
        <w:tab/>
        <w:t>Realizar los pagos, efectuar giros directos, a los prestadores de servicios de salud y proveedores de tecnologías en salud, de acuerdo con lo autorizado por el beneficiario de los recursos y adelantar las transferencias que correspondan a los diferentes agentes del Sistema, que en todo caso optimice el flujo de recursos.</w:t>
      </w:r>
    </w:p>
    <w:p w14:paraId="5E992980" w14:textId="77777777" w:rsidR="00413A96" w:rsidRDefault="00413A96" w:rsidP="00413A96"/>
    <w:p w14:paraId="34DA05EB" w14:textId="77777777" w:rsidR="00413A96" w:rsidRDefault="00413A96" w:rsidP="00413A96">
      <w:r>
        <w:t>e)</w:t>
      </w:r>
      <w:r>
        <w:tab/>
        <w:t>Adelantar las verificaciones para el reconocimiento y pago por los distintos conceptos, que promueva la eficiencia en la gestión de los recursos.</w:t>
      </w:r>
    </w:p>
    <w:p w14:paraId="2B21C9DC" w14:textId="77777777" w:rsidR="00413A96" w:rsidRDefault="00413A96" w:rsidP="00413A96"/>
    <w:p w14:paraId="4A49CD52" w14:textId="77777777" w:rsidR="00413A96" w:rsidRDefault="00413A96" w:rsidP="00413A96">
      <w:r>
        <w:t>f)</w:t>
      </w:r>
      <w:r>
        <w:tab/>
        <w:t>Desarrollar los mecanismos establecidos en los artículos 41 del Decreto­ley 4107 de 2011 y 9° de la Ley 1608 de 2013.</w:t>
      </w:r>
    </w:p>
    <w:p w14:paraId="0C5698CF" w14:textId="77777777" w:rsidR="00413A96" w:rsidRDefault="00413A96" w:rsidP="00413A96"/>
    <w:p w14:paraId="713104C1" w14:textId="77777777" w:rsidR="00413A96" w:rsidRDefault="00413A96" w:rsidP="00413A96">
      <w:r>
        <w:t>g)</w:t>
      </w:r>
      <w:r>
        <w:tab/>
        <w:t>Administrar la información propia de sus operaciones.</w:t>
      </w:r>
    </w:p>
    <w:p w14:paraId="00904BDD" w14:textId="77777777" w:rsidR="00413A96" w:rsidRDefault="00413A96" w:rsidP="00413A96"/>
    <w:p w14:paraId="3ABB188E" w14:textId="77777777" w:rsidR="00413A96" w:rsidRDefault="00413A96" w:rsidP="00413A96">
      <w:r>
        <w:t>h)</w:t>
      </w:r>
      <w:r>
        <w:tab/>
        <w:t>Las demás necesarias para el desarrollo de su objeto.</w:t>
      </w:r>
    </w:p>
    <w:p w14:paraId="36A9CD10" w14:textId="77777777" w:rsidR="00413A96" w:rsidRDefault="00413A96" w:rsidP="00413A96"/>
    <w:p w14:paraId="2B2CBD13" w14:textId="77777777" w:rsidR="00413A96" w:rsidRDefault="00413A96" w:rsidP="00413A96">
      <w:r>
        <w:t xml:space="preserve">Los recursos destinados al régimen subsidiado en salud, deberán ser presupuestados y ejecutados sin situación de fondos por parte de las entidades territoriales en el respectivo fondo local, distrital o departamental de salud, según sea el caso. La entidad territorial que no gestione el giro de estos recursos a la Entidad, será responsable del pago en lo que corresponda, sin perjuicio de las sanciones a que haya lugar por la omisión en dicha gestión. Los recursos del Presupuesto General de la Nación destinados al financiamiento del Sistema </w:t>
      </w:r>
      <w:r>
        <w:lastRenderedPageBreak/>
        <w:t>General de Seguridad Social en Salud (SGSSS) se presupuestarán como transferencias para ser trasladados a la Entidad.</w:t>
      </w:r>
    </w:p>
    <w:p w14:paraId="6E5E48B5" w14:textId="77777777" w:rsidR="00413A96" w:rsidRDefault="00413A96" w:rsidP="00413A96"/>
    <w:p w14:paraId="32183A8C" w14:textId="77777777" w:rsidR="00413A96" w:rsidRDefault="00413A96" w:rsidP="00413A96">
      <w:r>
        <w:t>Los recursos administrados por la Entidad harán unidad de caja, excepto los recursos de propiedad de las entidades territoriales, los cuales conservarán su destinación específica y se manejarán en contabilidad separada. La estructuración del presupuesto de gastos se hará por conceptos, dando prioridad al aseguramiento obligatorio en salud. La presupuestación y contabilización de los recursos administrados no se hará por subcuentas.</w:t>
      </w:r>
    </w:p>
    <w:p w14:paraId="668ACAD3" w14:textId="77777777" w:rsidR="00413A96" w:rsidRDefault="00413A96" w:rsidP="00413A96"/>
    <w:p w14:paraId="7593E2CE" w14:textId="77777777" w:rsidR="00413A96" w:rsidRDefault="00413A96" w:rsidP="00413A96">
      <w:r>
        <w:t>La Entidad tendrá domicilio en Bogotá, D.C., sus ingresos estarán conformados por los aportes del Presupuesto General de la Nación definidos a través de la sección presupuestal del Ministerio de Salud y Protección Social, los activos transferidos por la Nación y por otras entidades públicas del orden nacional y territorial y los demás ingresos que a cualquier título perciba. Los recursos recibidos en administración no harán parte del patrimonio de la Entidad. Los gastos requeridos para el desarrollo del objeto de la Entidad se financiarán con un porcentaje de hasta el cero coma cinco por ciento (0,5%) de los recursos administrados con situación de fondos.</w:t>
      </w:r>
    </w:p>
    <w:p w14:paraId="4570F717" w14:textId="77777777" w:rsidR="00413A96" w:rsidRDefault="00413A96" w:rsidP="00413A96"/>
    <w:p w14:paraId="19C409BF" w14:textId="77777777" w:rsidR="00413A96" w:rsidRDefault="00413A96" w:rsidP="00413A96">
      <w:r>
        <w:t>Son órganos de Dirección y Administración de la Entidad, el Director General y la Junta Directiva. El Director General será de dedicación exclusiva, de libre nombramiento y remoción del Presidente de la República y actuará como representante legal; como tal, ejercerá las funciones que le correspondan y que le sean asignadas por el decreto de estructura de la Entidad. La Junta Directiva formulará los criterios generales para su adecuada administración y ejercerá las funciones que le señalen su propio reglamento. Estará integrada por cinco (5) miembros así: el Ministro de Salud y Protección Social, quien la presidirá; el Ministro de Hacienda y Crédito Público, quien podrá delegar su participación en sus viceministros; el Director del Departamento Nacional de Planeación, quien podrá delegar su participación en sus subdirectores generales; un (1) representante de los gobernadores y un (1) representante de los alcaldes de municipios y distritos, los cuales serán elegidos de conformidad con el mecanismo que establezca el Gobierno Nacional.</w:t>
      </w:r>
    </w:p>
    <w:p w14:paraId="10B69671" w14:textId="77777777" w:rsidR="00413A96" w:rsidRDefault="00413A96" w:rsidP="00413A96"/>
    <w:p w14:paraId="47B62D6A" w14:textId="77777777" w:rsidR="00413A96" w:rsidRDefault="00413A96" w:rsidP="00413A96">
      <w:r>
        <w:t>El Gobierno Nacional determinará el régimen de transición respecto del inicio de las funciones de la Entidad y las diferentes operaciones que realiza el Fosyga. En el periodo de transición se podrán utilizar los excedentes de las diferentes Subcuentas del Fosyga para la garantía del aseguramiento en salud. Una vez entre en operación la Entidad a que hace referencia este artículo, se suprimirá</w:t>
      </w:r>
    </w:p>
    <w:p w14:paraId="32F91679" w14:textId="77777777" w:rsidR="00413A96" w:rsidRDefault="00413A96" w:rsidP="00413A96">
      <w:r>
        <w:t xml:space="preserve"> </w:t>
      </w:r>
    </w:p>
    <w:p w14:paraId="18DFE711" w14:textId="77777777" w:rsidR="00413A96" w:rsidRDefault="00413A96" w:rsidP="00413A96">
      <w:r>
        <w:t>el Fosyga.</w:t>
      </w:r>
    </w:p>
    <w:p w14:paraId="60B0391C" w14:textId="77777777" w:rsidR="00413A96" w:rsidRDefault="00413A96" w:rsidP="00413A96"/>
    <w:p w14:paraId="638BE161" w14:textId="77777777" w:rsidR="00413A96" w:rsidRDefault="00413A96" w:rsidP="00413A96">
      <w:r>
        <w:t>PARÁGRAFO PRIMERO. El Gobierno Nacional establecerá las condiciones generales de operación y estructura interna de la Entidad y adoptará la planta de personal necesaria para el cumplimiento de su objeto y funciones.</w:t>
      </w:r>
    </w:p>
    <w:p w14:paraId="085229E6" w14:textId="77777777" w:rsidR="00413A96" w:rsidRDefault="00413A96" w:rsidP="00413A96"/>
    <w:p w14:paraId="531DFFFF" w14:textId="77777777" w:rsidR="00413A96" w:rsidRDefault="00413A96" w:rsidP="00413A96">
      <w:r>
        <w:t>PARÁGRAFO SEGUNDO. El cobro de los copagos por concepto de prestaciones no incluidas en el plan de beneficios del régimen contributivo tendrá en cuenta la capacidad de pago de los usuarios y en consideración a los usos requeridos por pacientes con enfermedades crónicas y huérfanas.</w:t>
      </w:r>
    </w:p>
    <w:p w14:paraId="40F2B041" w14:textId="77777777" w:rsidR="00413A96" w:rsidRDefault="00413A96" w:rsidP="00413A96"/>
    <w:p w14:paraId="3960868E" w14:textId="77777777" w:rsidR="00413A96" w:rsidRDefault="00413A96" w:rsidP="00413A96">
      <w:r>
        <w:t>ARTÍCULO 67. Recursos que administrará la entidad administradora de los recursos del Sistema General de Seguridad Social en Salud. La Entidad administrará los siguientes recursos:</w:t>
      </w:r>
    </w:p>
    <w:p w14:paraId="4716C05D" w14:textId="77777777" w:rsidR="00413A96" w:rsidRDefault="00413A96" w:rsidP="00413A96"/>
    <w:p w14:paraId="4EDE9443" w14:textId="77777777" w:rsidR="00413A96" w:rsidRDefault="00413A96" w:rsidP="00413A96">
      <w:r>
        <w:t>a)</w:t>
      </w:r>
      <w:r>
        <w:tab/>
        <w:t>Los recursos del Sistema General de Participaciones en Salud del componente de subsidios a la demanda de propiedad de las entidades territoriales, en los términos del artículo 44 de la Ley 1438 de 2011, los cuales se contabilizarán individualmente a nombre de las entidades territoriales.</w:t>
      </w:r>
    </w:p>
    <w:p w14:paraId="4BEABE6F" w14:textId="77777777" w:rsidR="00413A96" w:rsidRDefault="00413A96" w:rsidP="00413A96"/>
    <w:p w14:paraId="079877FA" w14:textId="77777777" w:rsidR="00413A96" w:rsidRDefault="00413A96" w:rsidP="00413A96">
      <w:r>
        <w:t>b)</w:t>
      </w:r>
      <w:r>
        <w:tab/>
        <w:t>Los recursos del Sistema General de Participaciones que financian FONSAET.</w:t>
      </w:r>
    </w:p>
    <w:p w14:paraId="7F3F6884" w14:textId="77777777" w:rsidR="00413A96" w:rsidRDefault="00413A96" w:rsidP="00413A96"/>
    <w:p w14:paraId="3E9980B8" w14:textId="77777777" w:rsidR="00413A96" w:rsidRDefault="00413A96" w:rsidP="00413A96">
      <w:r>
        <w:t>c)</w:t>
      </w:r>
      <w:r>
        <w:tab/>
        <w:t>Los recursos obtenidos como producto del monopolio de juegos de suerte y azar (novedosos y localizados) que explota, administra y recauda Coljuegos de propiedad de las entidades territoriales destinados a financiar el aseguramiento, los cuales se contabilizarán individualmente a nombre de las entidades territoriales.</w:t>
      </w:r>
    </w:p>
    <w:p w14:paraId="21EBFAEC" w14:textId="77777777" w:rsidR="00413A96" w:rsidRDefault="00413A96" w:rsidP="00413A96"/>
    <w:p w14:paraId="7505EEAC" w14:textId="77777777" w:rsidR="00413A96" w:rsidRDefault="00413A96" w:rsidP="00413A96">
      <w:r>
        <w:t>d)</w:t>
      </w:r>
      <w:r>
        <w:tab/>
        <w:t xml:space="preserve">Las cotizaciones de los afiliados al Sistema General de Seguridad Social en Salud (SGSSS), incluidos </w:t>
      </w:r>
      <w:r>
        <w:lastRenderedPageBreak/>
        <w:t>los intereses, recaudados por las Entidades Promotoras de Salud. Las cotizaciones de los afiliados a los regímenes especiales y de excepción con vinculación laboral adicional respecto de la cual estén obligados a contribuir al SGSSS y el aporte solidario de los afiliados a los regímenes de excepción o regímenes especiales a que hacen referencia el artículo 279 de la Ley 100 de 1993 y el parágrafo del artículo 57 de la Ley 30 de 1992.</w:t>
      </w:r>
    </w:p>
    <w:p w14:paraId="7FA22C80" w14:textId="77777777" w:rsidR="00413A96" w:rsidRDefault="00413A96" w:rsidP="00413A96"/>
    <w:p w14:paraId="0B92199F" w14:textId="77777777" w:rsidR="00413A96" w:rsidRDefault="00413A96" w:rsidP="00413A96">
      <w:r>
        <w:t>e)</w:t>
      </w:r>
      <w:r>
        <w:tab/>
        <w:t>Los recursos correspondientes al monto de las Cajas de Compensación Familiar de que trata el artículo 217 de la Ley 100 de 1993.</w:t>
      </w:r>
    </w:p>
    <w:p w14:paraId="7EEDAA9F" w14:textId="77777777" w:rsidR="00413A96" w:rsidRDefault="00413A96" w:rsidP="00413A96"/>
    <w:p w14:paraId="7EB788FF" w14:textId="77777777" w:rsidR="00413A96" w:rsidRDefault="00413A96" w:rsidP="00413A96">
      <w:r>
        <w:t>f)</w:t>
      </w:r>
      <w:r>
        <w:tab/>
        <w:t>Los recursos del Impuesto sobre la Renta para la Equidad (CREE) destinados al SGSSS, en los términos previstos en la Ley 1607 de 2012, la Ley 1739 de 2014 y las normas que modifiquen, adicionen o sustituyan estas disposiciones, los cuales serán transferidos a la Entidad, entendiéndose así ejecutados.</w:t>
      </w:r>
    </w:p>
    <w:p w14:paraId="620FACEC" w14:textId="77777777" w:rsidR="00413A96" w:rsidRDefault="00413A96" w:rsidP="00413A96"/>
    <w:p w14:paraId="0E69D78B" w14:textId="77777777" w:rsidR="00413A96" w:rsidRDefault="00413A96" w:rsidP="00413A96">
      <w:r>
        <w:t>g)</w:t>
      </w:r>
      <w:r>
        <w:tab/>
        <w:t>Los recursos del Presupuesto General de la Nación asignados para garantizar la universalización de la cobertura y la unificación de los planes de beneficios, los cuales serán girados directamente a la Entidad por el Ministerio de Hacienda y Crédito Público, entendiéndose así ejecutados.</w:t>
      </w:r>
    </w:p>
    <w:p w14:paraId="0D7EA200" w14:textId="77777777" w:rsidR="00413A96" w:rsidRDefault="00413A96" w:rsidP="00413A96"/>
    <w:p w14:paraId="4E199DCF" w14:textId="77777777" w:rsidR="00413A96" w:rsidRDefault="00413A96" w:rsidP="00413A96">
      <w:r>
        <w:t>h)</w:t>
      </w:r>
      <w:r>
        <w:tab/>
        <w:t>Los recursos por recaudo del IVA definidos en la Ley 1393 de 2010.</w:t>
      </w:r>
    </w:p>
    <w:p w14:paraId="47C7F6CD" w14:textId="77777777" w:rsidR="00413A96" w:rsidRDefault="00413A96" w:rsidP="00413A96"/>
    <w:p w14:paraId="5D53DFD3" w14:textId="77777777" w:rsidR="00413A96" w:rsidRDefault="00413A96" w:rsidP="00413A96">
      <w:r>
        <w:t>i)</w:t>
      </w:r>
      <w:r>
        <w:tab/>
        <w:t>Los recursos del Fonsat creado por el Decreto–ley 1032 de 1991.</w:t>
      </w:r>
    </w:p>
    <w:p w14:paraId="75BE9B2F" w14:textId="77777777" w:rsidR="00413A96" w:rsidRDefault="00413A96" w:rsidP="00413A96"/>
    <w:p w14:paraId="2C544BBE" w14:textId="77777777" w:rsidR="00413A96" w:rsidRDefault="00413A96" w:rsidP="00413A96">
      <w:r>
        <w:t>j)</w:t>
      </w:r>
      <w:r>
        <w:tab/>
        <w:t>Los recursos correspondientes a la contribución equivalente al 50% del valor de la prima anual establecida para el Seguro Obligatorio de Accidentes de Tránsito (SOAT) que se cobra con adición a ella.</w:t>
      </w:r>
    </w:p>
    <w:p w14:paraId="38EA80A1" w14:textId="77777777" w:rsidR="00413A96" w:rsidRDefault="00413A96" w:rsidP="00413A96"/>
    <w:p w14:paraId="17557AB4" w14:textId="77777777" w:rsidR="00413A96" w:rsidRDefault="00413A96" w:rsidP="00413A96">
      <w:r>
        <w:t>k)</w:t>
      </w:r>
      <w:r>
        <w:tab/>
        <w:t>Los recursos recaudados por Indumil correspondientes al impuesto social a las armas y de municiones y explosivos y los correspondientes a las multas en aplicación de la Ley 1335 de 2009.</w:t>
      </w:r>
    </w:p>
    <w:p w14:paraId="4551198A" w14:textId="77777777" w:rsidR="00413A96" w:rsidRDefault="00413A96" w:rsidP="00413A96"/>
    <w:p w14:paraId="534DAE48" w14:textId="77777777" w:rsidR="00413A96" w:rsidRDefault="00413A96" w:rsidP="00413A96">
      <w:r>
        <w:t>i) Los recursos del monopolio de juegos de suerte y azar, diferentes a los que hace referencia el literal</w:t>
      </w:r>
    </w:p>
    <w:p w14:paraId="6623D041" w14:textId="77777777" w:rsidR="00413A96" w:rsidRDefault="00413A96" w:rsidP="00413A96">
      <w:r>
        <w:t xml:space="preserve"> </w:t>
      </w:r>
    </w:p>
    <w:p w14:paraId="06F92E20" w14:textId="77777777" w:rsidR="00413A96" w:rsidRDefault="00413A96" w:rsidP="00413A96">
      <w:r>
        <w:t>c)</w:t>
      </w:r>
      <w:r>
        <w:tab/>
        <w:t>, rentas cedidas de salud y demás recursos generados a favor de las entidades territoriales destinadas a la financiación del Régimen Subsidiado, incluidos los impuestos al consumo que la Ley destina a dicho régimen, serán girados directamente por los administradores y/o recaudadores a la Entidad. La entidad territorial titular de los recursos gestionará y verificará que la transferencia se realice conforme a la Ley. Este recurso se contabilizará en cuentas individuales a nombre de las Entidades Territoriales propietarias del recurso.</w:t>
      </w:r>
    </w:p>
    <w:p w14:paraId="206B334E" w14:textId="77777777" w:rsidR="00413A96" w:rsidRDefault="00413A96" w:rsidP="00413A96"/>
    <w:p w14:paraId="4B9BFB38" w14:textId="77777777" w:rsidR="00413A96" w:rsidRDefault="00413A96" w:rsidP="00413A96">
      <w:r>
        <w:t>m)</w:t>
      </w:r>
      <w:r>
        <w:tab/>
        <w:t>Los copagos que por concepto de prestaciones no incluidas en el plan de beneficios del Régimen Contributivo paguen los destinatarios de tales servicios.</w:t>
      </w:r>
    </w:p>
    <w:p w14:paraId="3A0182EA" w14:textId="77777777" w:rsidR="00413A96" w:rsidRDefault="00413A96" w:rsidP="00413A96"/>
    <w:p w14:paraId="6708103D" w14:textId="77777777" w:rsidR="00413A96" w:rsidRDefault="00413A96" w:rsidP="00413A96">
      <w:r>
        <w:t>n)</w:t>
      </w:r>
      <w:r>
        <w:tab/>
        <w:t>Los rendimientos financieros generados por la administración de los recursos del Sistema y sus excedentes.</w:t>
      </w:r>
    </w:p>
    <w:p w14:paraId="3B63EE12" w14:textId="77777777" w:rsidR="00413A96" w:rsidRDefault="00413A96" w:rsidP="00413A96"/>
    <w:p w14:paraId="03B0F053" w14:textId="77777777" w:rsidR="00413A96" w:rsidRDefault="00413A96" w:rsidP="00413A96">
      <w:r>
        <w:t>o)</w:t>
      </w:r>
      <w:r>
        <w:tab/>
        <w:t>Los recursos que se recauden como consecuencia de las gestiones que realiza la Entidad Administrativa Especial de Gestión Pensional y Contribuciones Parafiscales de la Protección Social (UGPP), los cuales serán transferidos directamente al (sic) Unidad sin operación presupuestal.</w:t>
      </w:r>
    </w:p>
    <w:p w14:paraId="36005414" w14:textId="77777777" w:rsidR="00413A96" w:rsidRDefault="00413A96" w:rsidP="00413A96"/>
    <w:p w14:paraId="45A65862" w14:textId="77777777" w:rsidR="00413A96" w:rsidRDefault="00413A96" w:rsidP="00413A96">
      <w:r>
        <w:t>p)</w:t>
      </w:r>
      <w:r>
        <w:tab/>
        <w:t>Los demás recursos que se destinen a la financiación del aseguramiento obligatorio en salud, de acuerdo con la Ley o el reglamento.</w:t>
      </w:r>
    </w:p>
    <w:p w14:paraId="19998EA1" w14:textId="77777777" w:rsidR="00413A96" w:rsidRDefault="00413A96" w:rsidP="00413A96"/>
    <w:p w14:paraId="330186F6" w14:textId="77777777" w:rsidR="00413A96" w:rsidRDefault="00413A96" w:rsidP="00413A96">
      <w:r>
        <w:t>q)</w:t>
      </w:r>
      <w:r>
        <w:tab/>
        <w:t>Los demás que en función a su naturaleza recaudaba el Fosyga.</w:t>
      </w:r>
    </w:p>
    <w:p w14:paraId="5CA3685A" w14:textId="77777777" w:rsidR="00413A96" w:rsidRDefault="00413A96" w:rsidP="00413A96"/>
    <w:p w14:paraId="03E72E80" w14:textId="77777777" w:rsidR="00413A96" w:rsidRDefault="00413A96" w:rsidP="00413A96">
      <w:r>
        <w:t>Estos recursos se destinarán a:</w:t>
      </w:r>
    </w:p>
    <w:p w14:paraId="56EF83E5" w14:textId="77777777" w:rsidR="00413A96" w:rsidRDefault="00413A96" w:rsidP="00413A96"/>
    <w:p w14:paraId="3DA3C627" w14:textId="77777777" w:rsidR="00413A96" w:rsidRDefault="00413A96" w:rsidP="00413A96">
      <w:r>
        <w:t>a)</w:t>
      </w:r>
      <w:r>
        <w:tab/>
        <w:t xml:space="preserve">El reconocimiento y pago a las Entidades Promotoras de Salud por el aseguramiento y demás prestaciones que se reconocen a los afiliados al Sistema General de Seguridad Social en Salud, incluido el pago de incapacidades por enfermedad de origen común que superen los quinientos cuarenta (540) días continuos. El Gobierno Nacional reglamentará, entre otras cosas, el procedimiento de revisión periódica de la incapacidad por parte de las EPS, el momento de calificación definitiva, y las situaciones de abuso del derecho </w:t>
      </w:r>
      <w:r>
        <w:lastRenderedPageBreak/>
        <w:t>que generen la suspensión del pago de esas incapacidades.</w:t>
      </w:r>
    </w:p>
    <w:p w14:paraId="4EF59777" w14:textId="77777777" w:rsidR="00413A96" w:rsidRDefault="00413A96" w:rsidP="00413A96"/>
    <w:p w14:paraId="3EC08D24" w14:textId="77777777" w:rsidR="00413A96" w:rsidRDefault="00413A96" w:rsidP="00413A96">
      <w:r>
        <w:t>b)</w:t>
      </w:r>
      <w:r>
        <w:tab/>
        <w:t>El pago de las indemnizaciones por muerte o incapacidad permanente y auxilio funerario a víctimas de eventos terroristas o eventos catastróficos, así como los gastos derivados de la atención psicosocial de las víctimas del conflicto en los términos que señala la Ley 1448 de 2011.</w:t>
      </w:r>
    </w:p>
    <w:p w14:paraId="7BF380E8" w14:textId="77777777" w:rsidR="00413A96" w:rsidRDefault="00413A96" w:rsidP="00413A96"/>
    <w:p w14:paraId="47A53486" w14:textId="77777777" w:rsidR="00413A96" w:rsidRDefault="00413A96" w:rsidP="00413A96">
      <w:r>
        <w:t>c)</w:t>
      </w:r>
      <w:r>
        <w:tab/>
        <w:t>El pago de los gastos derivados de la atención en salud inicial a las víctimas de eventos terroristas y eventos catastróficos de acuerdo con el plan y modelo de ejecución que se defina.</w:t>
      </w:r>
    </w:p>
    <w:p w14:paraId="27DCD66B" w14:textId="77777777" w:rsidR="00413A96" w:rsidRDefault="00413A96" w:rsidP="00413A96"/>
    <w:p w14:paraId="5E1A8343" w14:textId="77777777" w:rsidR="00413A96" w:rsidRDefault="00413A96" w:rsidP="00413A96">
      <w:r>
        <w:t>d)</w:t>
      </w:r>
      <w:r>
        <w:tab/>
        <w:t>El pago de los gastos financiados con recursos del impuesto social a las armas y de municiones y explosivos y los correspondientes a las multas en aplicación de la Ley 1335 de 2009 que financiarán exclusivamente los usos definidos en la normatividad vigente.</w:t>
      </w:r>
    </w:p>
    <w:p w14:paraId="3A2A8A9D" w14:textId="77777777" w:rsidR="00413A96" w:rsidRDefault="00413A96" w:rsidP="00413A96"/>
    <w:p w14:paraId="0D148ABF" w14:textId="77777777" w:rsidR="00413A96" w:rsidRDefault="00413A96" w:rsidP="00413A96">
      <w:r>
        <w:t>e)</w:t>
      </w:r>
      <w:r>
        <w:tab/>
        <w:t>El fortalecimiento de la Red Nacional de Urgencias. Este gasto se hará siempre y cuando, en la respectiva vigencia, se encuentre garantizada la financiación del aseguramiento en salud.</w:t>
      </w:r>
    </w:p>
    <w:p w14:paraId="681B6F77" w14:textId="77777777" w:rsidR="00413A96" w:rsidRDefault="00413A96" w:rsidP="00413A96"/>
    <w:p w14:paraId="7F901D44" w14:textId="77777777" w:rsidR="00413A96" w:rsidRDefault="00413A96" w:rsidP="00413A96">
      <w:r>
        <w:t>f)</w:t>
      </w:r>
      <w:r>
        <w:tab/>
        <w:t>A la financiación de los programas de promoción y prevención en el marco de los usos definidos en el artículo 222 de la Ley 100 de 1993.</w:t>
      </w:r>
    </w:p>
    <w:p w14:paraId="56BFAF44" w14:textId="77777777" w:rsidR="00413A96" w:rsidRDefault="00413A96" w:rsidP="00413A96"/>
    <w:p w14:paraId="12B39D65" w14:textId="77777777" w:rsidR="00413A96" w:rsidRDefault="00413A96" w:rsidP="00413A96">
      <w:r>
        <w:t>g)</w:t>
      </w:r>
      <w:r>
        <w:tab/>
        <w:t>A la inspección, vigilancia y control a cargo de la Superintendencia Nacional de Salud, de conformidad con lo establecido en el artículo 119 de la Ley 1438 de 2011.</w:t>
      </w:r>
    </w:p>
    <w:p w14:paraId="0FA9EF6E" w14:textId="77777777" w:rsidR="00413A96" w:rsidRDefault="00413A96" w:rsidP="00413A96"/>
    <w:p w14:paraId="05530A3C" w14:textId="77777777" w:rsidR="00413A96" w:rsidRDefault="00413A96" w:rsidP="00413A96">
      <w:r>
        <w:t>h)</w:t>
      </w:r>
      <w:r>
        <w:tab/>
        <w:t>Al pago de prestaciones no incluidas en el plan de beneficios, que venían siendo financiados con recursos del Fosyga.</w:t>
      </w:r>
    </w:p>
    <w:p w14:paraId="5DBC46E8" w14:textId="77777777" w:rsidR="00413A96" w:rsidRDefault="00413A96" w:rsidP="00413A96">
      <w:r>
        <w:t xml:space="preserve"> </w:t>
      </w:r>
    </w:p>
    <w:p w14:paraId="1AF92B71" w14:textId="77777777" w:rsidR="00413A96" w:rsidRDefault="00413A96" w:rsidP="00413A96">
      <w:r>
        <w:t>i)</w:t>
      </w:r>
      <w:r>
        <w:tab/>
        <w:t>Las medidas de atención de la Ley 1257 de 2008, en los términos que defina el Ministerio de Salud y Protección Social, para la cual los recursos asignados para el efecto, serán transferidos a las entidades territoriales con el fin de que estas sean implementadas a su cargo.</w:t>
      </w:r>
    </w:p>
    <w:p w14:paraId="64045CE0" w14:textId="77777777" w:rsidR="00413A96" w:rsidRDefault="00413A96" w:rsidP="00413A96"/>
    <w:p w14:paraId="166BDA84" w14:textId="77777777" w:rsidR="00413A96" w:rsidRDefault="00413A96" w:rsidP="00413A96">
      <w:r>
        <w:t>j)</w:t>
      </w:r>
      <w:r>
        <w:tab/>
        <w:t>A las finalidades señaladas en los artículos 41 del Decreto­ley 4107 de 2011 y 9 de la Ley 1608 de 2013. Este gasto se hará siempre y cuando, en la respectiva vigencia se encuentre garantizada la financiación del aseguramiento en salud.</w:t>
      </w:r>
    </w:p>
    <w:p w14:paraId="42AAA4F6" w14:textId="77777777" w:rsidR="00413A96" w:rsidRDefault="00413A96" w:rsidP="00413A96"/>
    <w:p w14:paraId="27875540" w14:textId="77777777" w:rsidR="00413A96" w:rsidRDefault="00413A96" w:rsidP="00413A96">
      <w:r>
        <w:t>k)</w:t>
      </w:r>
      <w:r>
        <w:tab/>
        <w:t>A cubrir los gastos de administración, funcionamiento y operación de la entidad.</w:t>
      </w:r>
    </w:p>
    <w:p w14:paraId="0DDE3099" w14:textId="77777777" w:rsidR="00413A96" w:rsidRDefault="00413A96" w:rsidP="00413A96"/>
    <w:p w14:paraId="1FFB27D7" w14:textId="77777777" w:rsidR="00413A96" w:rsidRDefault="00413A96" w:rsidP="00413A96">
      <w:r>
        <w:t>l)</w:t>
      </w:r>
      <w:r>
        <w:tab/>
        <w:t>Las demás destinaciones que haya definido la Ley con cargo a los recursos del Fosyga y del FONSAET.</w:t>
      </w:r>
    </w:p>
    <w:p w14:paraId="013416CF" w14:textId="77777777" w:rsidR="00413A96" w:rsidRDefault="00413A96" w:rsidP="00413A96"/>
    <w:p w14:paraId="465BC36A" w14:textId="77777777" w:rsidR="00413A96" w:rsidRDefault="00413A96" w:rsidP="00413A96">
      <w:r>
        <w:t>m)</w:t>
      </w:r>
      <w:r>
        <w:tab/>
        <w:t>El pago de los gastos e inversiones requeridas que se deriven de la declaratoria de la emergencia sanitaria y/o eventos catastróficos en el país.</w:t>
      </w:r>
    </w:p>
    <w:p w14:paraId="49648689" w14:textId="77777777" w:rsidR="00413A96" w:rsidRDefault="00413A96" w:rsidP="00413A96"/>
    <w:p w14:paraId="308A1095" w14:textId="77777777" w:rsidR="00413A96" w:rsidRDefault="00413A96" w:rsidP="00413A96">
      <w:r>
        <w:t>Los recursos a que hace referencia este artículo harán unidad de caja en el fondo, excepto los recursos propiedad de las entidades territoriales, los cuales conservarán su destinación específica y se manejarán en contabilidad separada dentro del fondo. En la estructuración del presupuesto de gastos se dará prioridad al componente de aseguramiento en salud de la población del país.</w:t>
      </w:r>
    </w:p>
    <w:p w14:paraId="3BAB03AA" w14:textId="77777777" w:rsidR="00413A96" w:rsidRDefault="00413A96" w:rsidP="00413A96"/>
    <w:p w14:paraId="2AB85AF0" w14:textId="77777777" w:rsidR="00413A96" w:rsidRDefault="00413A96" w:rsidP="00413A96">
      <w:r>
        <w:t>ARTÍCULO 68. Medidas especiales. Sin perjuicio de lo previsto en las demás normas que regulen la toma de posesión y ante la ocurrencia de cualquiera de las causales previstas en el artículo 114° del Estatuto Orgánico del Sistema Financiero, el Superintendente Nacional de Salud podrá ordenar o autorizar a las entidades vigiladas, la adopción individual o conjunta de las medidas de que trata el artículo 113° del mismo Estatuto, con el fin de salvaguardar la prestación del servicio público de salud y la adecuada gestión financiera de los recursos del Sistema General de Seguridad Social en Salud.</w:t>
      </w:r>
    </w:p>
    <w:p w14:paraId="7D857C48" w14:textId="77777777" w:rsidR="00413A96" w:rsidRDefault="00413A96" w:rsidP="00413A96"/>
    <w:p w14:paraId="04FDC0DC" w14:textId="77777777" w:rsidR="00413A96" w:rsidRDefault="00413A96" w:rsidP="00413A96">
      <w:r>
        <w:t xml:space="preserve">Las medidas especiales que se ordenen se regirán por lo dispuesto en el Estatuto Orgánico del Sistema Financiero, incluido el artículo 291° y siguientes de ese estatuto, en lo que resulte pertinente a las medidas especiales; el Decreto número 2555 de 2010; las disposiciones aplicables del Sector Salud y las normas que los sustituyan, modifiquen o complementen. El Gobierno Nacional reglamentará la forma de armonizar las medidas especiales o preventivas de la toma de posesión para su adecuada implementación en el Sector </w:t>
      </w:r>
      <w:r>
        <w:lastRenderedPageBreak/>
        <w:t>Salud.</w:t>
      </w:r>
    </w:p>
    <w:p w14:paraId="15DC5E37" w14:textId="77777777" w:rsidR="00413A96" w:rsidRDefault="00413A96" w:rsidP="00413A96"/>
    <w:p w14:paraId="4217107D" w14:textId="77777777" w:rsidR="00413A96" w:rsidRDefault="00413A96" w:rsidP="00413A96">
      <w:r>
        <w:t>Con cargo a los recursos del Fosyga – Subcuenta de Garantías para la Salud, el Gobierno Nacional podrá llevar a cabo cualquiera de las operaciones autorizadas en el artículo 320 del Estatuto Orgánico del Sistema Financiero.</w:t>
      </w:r>
    </w:p>
    <w:p w14:paraId="09E06135" w14:textId="77777777" w:rsidR="00413A96" w:rsidRDefault="00413A96" w:rsidP="00413A96"/>
    <w:p w14:paraId="7FFDE0E7" w14:textId="77777777" w:rsidR="00413A96" w:rsidRDefault="00413A96" w:rsidP="00413A96">
      <w:r>
        <w:t>PARÁGRAFO. Para garantizar la continuidad de los servicios de salud de los afiliados de la Caja Nacional de Previsión Social de Comunicaciones condónase toda la obligación que esta entidad tenga con la Nación a la expedición de la presente ley.</w:t>
      </w:r>
    </w:p>
    <w:p w14:paraId="49A9F607" w14:textId="77777777" w:rsidR="00413A96" w:rsidRDefault="00413A96" w:rsidP="00413A96"/>
    <w:p w14:paraId="18504AFA" w14:textId="77777777" w:rsidR="00413A96" w:rsidRDefault="00413A96" w:rsidP="00413A96">
      <w:r>
        <w:t>El Gobierno Nacional reglamentará lo dispuesto en el presente artículo.</w:t>
      </w:r>
    </w:p>
    <w:p w14:paraId="5B5929E4" w14:textId="77777777" w:rsidR="00413A96" w:rsidRDefault="00413A96" w:rsidP="00413A96"/>
    <w:p w14:paraId="06A8FE34" w14:textId="77777777" w:rsidR="00413A96" w:rsidRDefault="00413A96" w:rsidP="00413A96">
      <w:r>
        <w:t>ARTÍCULO 69. Declaración de emergencia sanitaria y/o eventos catastróficos. El Ministerio de Salud y Protección Social (MSPS) podrá declarar la emergencia sanitaria y/o eventos catastróficos, cuando se presenten situaciones por riesgo de epidemia, epidemia declarada, insuficiencia o desabastecimiento de bienes o servicios de salud o eventos catastróficos que afecten la salud colectiva, u otros cuya magnitud supere la capacidad de adaptación de la comunidad en la que aquel se produce y que la afecten en forma masiva e indiscriminada generando la necesidad de ayuda externa.</w:t>
      </w:r>
    </w:p>
    <w:p w14:paraId="1C2CB35C" w14:textId="77777777" w:rsidR="00413A96" w:rsidRDefault="00413A96" w:rsidP="00413A96"/>
    <w:p w14:paraId="79E9992D" w14:textId="77777777" w:rsidR="00413A96" w:rsidRDefault="00413A96" w:rsidP="00413A96">
      <w:r>
        <w:t>En los casos mencionados, el MSPS determinará las acciones que se requieran para superar las circunstancias que generaron la emergencia sanitaria y/o eventos catastróficos con el fin de garantizar</w:t>
      </w:r>
    </w:p>
    <w:p w14:paraId="11A63B80" w14:textId="77777777" w:rsidR="00413A96" w:rsidRDefault="00413A96" w:rsidP="00413A96">
      <w:r>
        <w:t xml:space="preserve"> </w:t>
      </w:r>
    </w:p>
    <w:p w14:paraId="3145638F" w14:textId="77777777" w:rsidR="00413A96" w:rsidRDefault="00413A96" w:rsidP="00413A96">
      <w:r>
        <w:t>la existencia y disponibilidad de talento humano, bienes y servicios de salud, de conformidad con la reglamentación que para el efecto expida el Gobierno Nacional. Cuando las acciones requeridas para superar dichas circunstancias tengan que ver con bienes en salud, la regulación que se expida deberá fundamentarse en razones de urgencia extrema.</w:t>
      </w:r>
    </w:p>
    <w:p w14:paraId="4E09386B" w14:textId="77777777" w:rsidR="00413A96" w:rsidRDefault="00413A96" w:rsidP="00413A96"/>
    <w:p w14:paraId="52C6480C" w14:textId="77777777" w:rsidR="00413A96" w:rsidRDefault="00413A96" w:rsidP="00413A96">
      <w:r>
        <w:t>Lo dispuesto en este artículo podrá financiarse con los recursos que administra el Fosyga o la entidad que haga sus veces, o por los demás que se definan.</w:t>
      </w:r>
    </w:p>
    <w:p w14:paraId="1BC6D2C6" w14:textId="77777777" w:rsidR="00413A96" w:rsidRDefault="00413A96" w:rsidP="00413A96"/>
    <w:p w14:paraId="3590A450" w14:textId="77777777" w:rsidR="00413A96" w:rsidRDefault="00413A96" w:rsidP="00413A96">
      <w:r>
        <w:t>ARTÍCULO 70. Patentes y licencias obligatorias. El Ministerio de Salud y Protección Social (MSPS) podrá presentar ante la Superintendencia de Industria y Comercio (SIC), dentro del plazo de sesenta</w:t>
      </w:r>
    </w:p>
    <w:p w14:paraId="08FC5540" w14:textId="77777777" w:rsidR="00413A96" w:rsidRDefault="00413A96" w:rsidP="00413A96">
      <w:r>
        <w:t>(60) días siguientes a la fecha de la publicación de la solicitud de patente, consideraciones técnicas no vinculantes relativas a la patentabilidad de las solicitudes de patente que sean de su interés.</w:t>
      </w:r>
    </w:p>
    <w:p w14:paraId="535F36F7" w14:textId="77777777" w:rsidR="00413A96" w:rsidRDefault="00413A96" w:rsidP="00413A96"/>
    <w:p w14:paraId="06CC7CD9" w14:textId="77777777" w:rsidR="00413A96" w:rsidRDefault="00413A96" w:rsidP="00413A96">
      <w:r>
        <w:t>De acuerdo con lo establecido en la Decisión Andina 486 y la normatividad nacional vigente, el MSPS identificará y analizará los casos de tecnologías en salud patentadas susceptibles de obtener una licencia obligatoria. El MSPS podrá solicitar a la SIC la concesión de licencias obligatorias, y analizará y preparará la información requerida dentro del procedimiento de concesión de ese tipo de licencias.</w:t>
      </w:r>
    </w:p>
    <w:p w14:paraId="6DDE3F83" w14:textId="77777777" w:rsidR="00413A96" w:rsidRDefault="00413A96" w:rsidP="00413A96"/>
    <w:p w14:paraId="023764A7" w14:textId="77777777" w:rsidR="00413A96" w:rsidRDefault="00413A96" w:rsidP="00413A96">
      <w:r>
        <w:t>ARTÍCULO 71. Negociación centralizada de medicamentos, insumos y dispositivos. El artículo 88 de la Ley 1438 quedará así:</w:t>
      </w:r>
    </w:p>
    <w:p w14:paraId="221D090D" w14:textId="77777777" w:rsidR="00413A96" w:rsidRDefault="00413A96" w:rsidP="00413A96"/>
    <w:p w14:paraId="4EF0FBE9" w14:textId="77777777" w:rsidR="00413A96" w:rsidRDefault="00413A96" w:rsidP="00413A96">
      <w:r>
        <w:t>“ARTÍCULO 88. Negociación centralizada de medicamentos, insumos y dispositivos. El Ministerio de Salud y Protección Social (MSPS) establecerá los mecanismos para adelantar negociaciones centralizadas de precios de medicamentos, insumos y dispositivos.</w:t>
      </w:r>
    </w:p>
    <w:p w14:paraId="0DFCEF5E" w14:textId="77777777" w:rsidR="00413A96" w:rsidRDefault="00413A96" w:rsidP="00413A96"/>
    <w:p w14:paraId="3B7794D5" w14:textId="77777777" w:rsidR="00413A96" w:rsidRDefault="00413A96" w:rsidP="00413A96">
      <w:r>
        <w:t>Los precios resultantes de las negociaciones centralizadas serán obligatorios para los proveedores y compradores de medicamentos, insumos y dispositivos de servicios de salud y estos no podrán transarlos por encima de aquellos precios. El Gobierno Nacional podrá acudir subsidiariamente a la compra directa de medicamentos, insumos y dispositivos”.</w:t>
      </w:r>
    </w:p>
    <w:p w14:paraId="7595853E" w14:textId="77777777" w:rsidR="00413A96" w:rsidRDefault="00413A96" w:rsidP="00413A96"/>
    <w:p w14:paraId="0425A1E0" w14:textId="77777777" w:rsidR="00413A96" w:rsidRDefault="00413A96" w:rsidP="00413A96">
      <w:r>
        <w:t xml:space="preserve">ARTÍCULO 72. Registros sanitarios de medicamentos y dispositivos médicos. La evaluación que realice el Instituto de Evaluación Tecnológica en Salud (IETS) a los medicamentos y dispositivos médicos definidos por el Ministerio de Salud y Protección Social (MSPS) y el precio que este ministerio determine con base en esa evaluación, serán requisitos para la expedición del correspondiente registro sanitario y/o su renovación por parte del Instituto Nacional de Vigilancia de Medicamentos y Alimentos (Invima). El proceso de determinación del precio de que trata este artículo se hará en forma simultánea con el trámite de registro sanitario ante el </w:t>
      </w:r>
      <w:r>
        <w:lastRenderedPageBreak/>
        <w:t>Invima. Para tal efecto, el MSPS establecerá el procedimiento que incluya los criterios para determinar las tecnologías que estarán sujetas a este mecanismo y los términos para el mismo, los cuales no podrán superar los fijados en la normatividad vigente para la expedición del correspondiente registro sanitario.</w:t>
      </w:r>
    </w:p>
    <w:p w14:paraId="32BFB5B7" w14:textId="77777777" w:rsidR="00413A96" w:rsidRDefault="00413A96" w:rsidP="00413A96"/>
    <w:p w14:paraId="7FAAEED0" w14:textId="77777777" w:rsidR="00413A96" w:rsidRDefault="00413A96" w:rsidP="00413A96">
      <w:r>
        <w:t>Corresponderá a la Comisión Nacional de Precios de Medicamentos o Dispositivos, cuando así lo delegue el Gobierno Nacional, la definición de la metodología y los mecanismos de regulación de precios de medicamentos, así como la regulación de los márgenes de distribución y comercialización de los mismos.</w:t>
      </w:r>
    </w:p>
    <w:p w14:paraId="5B98B0C0" w14:textId="77777777" w:rsidR="00413A96" w:rsidRDefault="00413A96" w:rsidP="00413A96"/>
    <w:p w14:paraId="0BC19417" w14:textId="77777777" w:rsidR="00413A96" w:rsidRDefault="00413A96" w:rsidP="00413A96">
      <w:r>
        <w:t>Para lo previsto en el inciso primero, créase una tasa administrada por el MSPS, a cargo de personas naturales y/o jurídicas que comercialicen en el país medicamentos y dispositivos médicos. De acuerdo con el inciso segundo del artículo 338° de la Constitución Política, el MSPS fijará la tarifa de la tasa, la cual incluirá el valor por el servicio prestado. El sistema para definir la tarifa de esta tasa es un sistema de costos estandarizables, cuyas valoraciones y ponderaciones de los factores que intervienen en su definición se realizan por procedimientos técnicamente aceptados de costeo. El método seguirá las siguientes pautas técnicas:</w:t>
      </w:r>
    </w:p>
    <w:p w14:paraId="1C5ADDC5" w14:textId="77777777" w:rsidR="00413A96" w:rsidRDefault="00413A96" w:rsidP="00413A96"/>
    <w:p w14:paraId="64FA96DF" w14:textId="77777777" w:rsidR="00413A96" w:rsidRDefault="00413A96" w:rsidP="00413A96">
      <w:r>
        <w:t>a)</w:t>
      </w:r>
      <w:r>
        <w:tab/>
        <w:t>Elaboración y normalización de flujogramas para los diferentes procesos con el propósito de</w:t>
      </w:r>
    </w:p>
    <w:p w14:paraId="7C7ACDB6" w14:textId="77777777" w:rsidR="00413A96" w:rsidRDefault="00413A96" w:rsidP="00413A96">
      <w:r>
        <w:t xml:space="preserve"> </w:t>
      </w:r>
    </w:p>
    <w:p w14:paraId="0E32C41E" w14:textId="77777777" w:rsidR="00413A96" w:rsidRDefault="00413A96" w:rsidP="00413A96">
      <w:r>
        <w:t>determinar sus rutinas.</w:t>
      </w:r>
    </w:p>
    <w:p w14:paraId="4C9A7642" w14:textId="77777777" w:rsidR="00413A96" w:rsidRDefault="00413A96" w:rsidP="00413A96"/>
    <w:p w14:paraId="5CB7A721" w14:textId="77777777" w:rsidR="00413A96" w:rsidRDefault="00413A96" w:rsidP="00413A96">
      <w:r>
        <w:t>b)</w:t>
      </w:r>
      <w:r>
        <w:tab/>
        <w:t>Cuantificación de recurso humano utilizado anualmente en cada uno de los procesos y procedimientos definidos en el literal anterior.</w:t>
      </w:r>
    </w:p>
    <w:p w14:paraId="0C937F13" w14:textId="77777777" w:rsidR="00413A96" w:rsidRDefault="00413A96" w:rsidP="00413A96"/>
    <w:p w14:paraId="117EA677" w14:textId="77777777" w:rsidR="00413A96" w:rsidRDefault="00413A96" w:rsidP="00413A96">
      <w:r>
        <w:t>c)</w:t>
      </w:r>
      <w:r>
        <w:tab/>
        <w:t>Cuantificación de los costos y programas de tecnificación y modernización de la operación de los servicios.</w:t>
      </w:r>
    </w:p>
    <w:p w14:paraId="42C4DD4D" w14:textId="77777777" w:rsidR="00413A96" w:rsidRDefault="00413A96" w:rsidP="00413A96"/>
    <w:p w14:paraId="156AA40C" w14:textId="77777777" w:rsidR="00413A96" w:rsidRDefault="00413A96" w:rsidP="00413A96">
      <w:r>
        <w:t>d)</w:t>
      </w:r>
      <w:r>
        <w:tab/>
        <w:t>Estimación de las frecuencias de utilización de los servicios generadores de la tasa.</w:t>
      </w:r>
    </w:p>
    <w:p w14:paraId="3724285E" w14:textId="77777777" w:rsidR="00413A96" w:rsidRDefault="00413A96" w:rsidP="00413A96"/>
    <w:p w14:paraId="012D66FC" w14:textId="77777777" w:rsidR="00413A96" w:rsidRDefault="00413A96" w:rsidP="00413A96">
      <w:r>
        <w:t>El INVIMA podrá modificar a solicitud del MSPS, las indicaciones, contraindicaciones e interacciones de un medicamento, con base en la evidencia científica y por salud pública.</w:t>
      </w:r>
    </w:p>
    <w:p w14:paraId="45D473F0" w14:textId="77777777" w:rsidR="00413A96" w:rsidRDefault="00413A96" w:rsidP="00413A96"/>
    <w:p w14:paraId="0270A658" w14:textId="77777777" w:rsidR="00413A96" w:rsidRDefault="00413A96" w:rsidP="00413A96">
      <w:r>
        <w:t>PARÁGRAFO. En todo caso, la evaluación de que trata el presente artículo no será exigida cuando los medicamentos y dispositivos médicos sean producidos con fines de exportación exclusivamente.</w:t>
      </w:r>
    </w:p>
    <w:p w14:paraId="36AA28FA" w14:textId="77777777" w:rsidR="00413A96" w:rsidRDefault="00413A96" w:rsidP="00413A96"/>
    <w:p w14:paraId="38F2E2B4" w14:textId="77777777" w:rsidR="00413A96" w:rsidRDefault="00413A96" w:rsidP="00413A96">
      <w:r>
        <w:t>ARTÍCULO 73. Procesos de recobros, reclamaciones y reconocimiento y giro de recursos del aseguramiento en salud. Los procesos de recobros, reclamaciones y reconocimiento y giro de recursos del aseguramiento en Salud que se surten ante el Fosyga o la entidad que asuma sus funciones se regirán por las siguientes reglas:</w:t>
      </w:r>
    </w:p>
    <w:p w14:paraId="58EFE2BD" w14:textId="77777777" w:rsidR="00413A96" w:rsidRDefault="00413A96" w:rsidP="00413A96"/>
    <w:p w14:paraId="05DA5437" w14:textId="77777777" w:rsidR="00413A96" w:rsidRDefault="00413A96" w:rsidP="00413A96">
      <w:r>
        <w:t>Tratándose de recobros y reclamaciones:</w:t>
      </w:r>
    </w:p>
    <w:p w14:paraId="23DD7682" w14:textId="77777777" w:rsidR="00413A96" w:rsidRDefault="00413A96" w:rsidP="00413A96"/>
    <w:p w14:paraId="0218195F" w14:textId="77777777" w:rsidR="00413A96" w:rsidRDefault="00413A96" w:rsidP="00413A96">
      <w:r>
        <w:t>a)</w:t>
      </w:r>
      <w:r>
        <w:tab/>
        <w:t>El término para efectuar reclamaciones o recobros que deban atenderse con cargo a los recursos de las diferentes subcuentas del Fosyga será de tres (3) años a partir de la fecha de la prestación del servicio, de la entrega de la tecnología en salud o del egreso del paciente. Finalizado dicho plazo, sin haberse presentado la reclamación o recobro, prescribirá el derecho a recibir el pago y se extingue la obligación para el Fosyga.</w:t>
      </w:r>
    </w:p>
    <w:p w14:paraId="7191F134" w14:textId="77777777" w:rsidR="00413A96" w:rsidRDefault="00413A96" w:rsidP="00413A96"/>
    <w:p w14:paraId="06DF51BB" w14:textId="77777777" w:rsidR="00413A96" w:rsidRDefault="00413A96" w:rsidP="00413A96">
      <w:r>
        <w:t>b)</w:t>
      </w:r>
      <w:r>
        <w:tab/>
        <w:t>El término para la caducidad de la acción legal que corresponda, se contará a partir de la fecha de la última comunicación de glosa impuesta en los procesos ordinarios de radicación, por parte del Ministerio de Salud y Protección Social (MSPS) o quien este designe.</w:t>
      </w:r>
    </w:p>
    <w:p w14:paraId="404F2476" w14:textId="77777777" w:rsidR="00413A96" w:rsidRDefault="00413A96" w:rsidP="00413A96"/>
    <w:p w14:paraId="37369F2E" w14:textId="77777777" w:rsidR="00413A96" w:rsidRDefault="00413A96" w:rsidP="00413A96">
      <w:r>
        <w:t>c)</w:t>
      </w:r>
      <w:r>
        <w:tab/>
        <w:t>En el caso de los recobros y reclamaciones que hayan sido glosados por el Fosyga y sobre los cuales no haya operado el término de caducidad de la acción legal que corresponda, solo se exigirá para su reconocimiento y pago los requisitos esenciales que demuestren la existencia de la respectiva obligación, los cuales serán determinados por el MSPS. Para tales efectos, las entidades recobrantes deberán autorizar el giro directo del valor total que se llegue a aprobar a favor de las Instituciones Prestadoras de Servicios de Salud (IPS) habilitadas. El pago de las solicitudes aprobadas estará sujeto a la disponibilidad presupuestal de recursos para cada vigencia, sin que haya lugar al reconocimiento de intereses moratorios por las solicitudes que se presenten bajo este mecanismo.</w:t>
      </w:r>
    </w:p>
    <w:p w14:paraId="45857928" w14:textId="77777777" w:rsidR="00413A96" w:rsidRDefault="00413A96" w:rsidP="00413A96"/>
    <w:p w14:paraId="2C85DE61" w14:textId="77777777" w:rsidR="00413A96" w:rsidRDefault="00413A96" w:rsidP="00413A96">
      <w:r>
        <w:lastRenderedPageBreak/>
        <w:t>Los procesos de reconocimiento y giro de los recursos del aseguramiento de Seguridad Social en Salud quedarán en firme transcurridos dos (2) años después de su realización. Cumplido dicho plazo, no procederá reclamación alguna.</w:t>
      </w:r>
    </w:p>
    <w:p w14:paraId="26B109D4" w14:textId="77777777" w:rsidR="00413A96" w:rsidRDefault="00413A96" w:rsidP="00413A96"/>
    <w:p w14:paraId="70D2D4A4" w14:textId="77777777" w:rsidR="00413A96" w:rsidRDefault="00413A96" w:rsidP="00413A96">
      <w:r>
        <w:t>ARTÍCULO 74. Política nacional de trabajo decente. El Gobierno Nacional bajo la coordinación del Ministerio del Trabajo, adoptará la política nacional de trabajo decente, para promover la generación de empleo, la formalización laboral y la protección de los trabajadores de los sectores público y privado. Las entidades territoriales formularán políticas de trabajo decente en sus planes de desarrollo, en concordancia con los lineamientos que expida el Ministerio del Trabajo.</w:t>
      </w:r>
    </w:p>
    <w:p w14:paraId="6334947B" w14:textId="77777777" w:rsidR="00413A96" w:rsidRDefault="00413A96" w:rsidP="00413A96"/>
    <w:p w14:paraId="73312B17" w14:textId="77777777" w:rsidR="00413A96" w:rsidRDefault="00413A96" w:rsidP="00413A96">
      <w:r>
        <w:t>El Gobierno Nacional también fijará las reglas para garantizar que las empresas cumplan plenamente las normas laborales en los procesos de tercerización.</w:t>
      </w:r>
    </w:p>
    <w:p w14:paraId="404F0D96" w14:textId="77777777" w:rsidR="00413A96" w:rsidRDefault="00413A96" w:rsidP="00413A96">
      <w:r>
        <w:t xml:space="preserve"> </w:t>
      </w:r>
    </w:p>
    <w:p w14:paraId="33C913A0" w14:textId="77777777" w:rsidR="00413A96" w:rsidRDefault="00413A96" w:rsidP="00413A96">
      <w:r>
        <w:t>El Gobierno Nacional deberá garantizar que las actividades permanentes de las entidades públicas sean desarrolladas por personal vinculado a plantas de personal, con excepción de los casos señalados en la ley.</w:t>
      </w:r>
    </w:p>
    <w:p w14:paraId="4402BCB0" w14:textId="77777777" w:rsidR="00413A96" w:rsidRDefault="00413A96" w:rsidP="00413A96"/>
    <w:p w14:paraId="380D846E" w14:textId="77777777" w:rsidR="00413A96" w:rsidRDefault="00413A96" w:rsidP="00413A96">
      <w:r>
        <w:t>ARTÍCULO 75. Fortalecimiento del diálogo social y la concertación. El Gobierno Nacional a través del Ministerio del Trabajo impulsará programas con enfoque territorial que fortalezcan el Diálogo Social y la concertación laboral, la prevalencia de los derechos fundamentales del trabajo y la sostenibilidad de las empresas.</w:t>
      </w:r>
    </w:p>
    <w:p w14:paraId="799E374A" w14:textId="77777777" w:rsidR="00413A96" w:rsidRDefault="00413A96" w:rsidP="00413A96"/>
    <w:p w14:paraId="45BC0F17" w14:textId="77777777" w:rsidR="00413A96" w:rsidRDefault="00413A96" w:rsidP="00413A96">
      <w:r>
        <w:t>ARTÍCULO 76. Medidas para evitar la concentración de riesgos y la selección adversa en el sistema general de riesgos laborales. Adiciónese el literal q., al artículo 46° del Estatuto Orgánico del Sistema Financiero:</w:t>
      </w:r>
    </w:p>
    <w:p w14:paraId="5A9BACE9" w14:textId="77777777" w:rsidR="00413A96" w:rsidRDefault="00413A96" w:rsidP="00413A96"/>
    <w:p w14:paraId="21455265" w14:textId="77777777" w:rsidR="00413A96" w:rsidRDefault="00413A96" w:rsidP="00413A96">
      <w:r>
        <w:t>“q). que se definan medidas necesarias para evitar la concentración de riesgos y la selección adversa de afiliados por parte de las Administradoras de Riesgos Laborales”.</w:t>
      </w:r>
    </w:p>
    <w:p w14:paraId="7B76A7CE" w14:textId="77777777" w:rsidR="00413A96" w:rsidRDefault="00413A96" w:rsidP="00413A96"/>
    <w:p w14:paraId="1210961B" w14:textId="77777777" w:rsidR="00413A96" w:rsidRDefault="00413A96" w:rsidP="00413A96">
      <w:r>
        <w:t>ARTÍCULO 77. Ampliación y seguimiento del mecanismo de protección al cesante. El Ministerio del Trabajo adoptará las medidas necesarias para fortalecer la operación del Mecanismo de Protección al Cesante como principal herramienta para la integración de políticas activas de empleo y la mitigación de los efectos nocivos del desempleo.</w:t>
      </w:r>
    </w:p>
    <w:p w14:paraId="215B3E7C" w14:textId="77777777" w:rsidR="00413A96" w:rsidRDefault="00413A96" w:rsidP="00413A96"/>
    <w:p w14:paraId="4478E91F" w14:textId="77777777" w:rsidR="00413A96" w:rsidRDefault="00413A96" w:rsidP="00413A96">
      <w:r>
        <w:t>Con el fin de facilitar y mejorar el enganche laboral efectivo de la población y para estimular la vinculación de aprendices, practicantes y trabajadores a empresas, el Ministerio del Trabajo podrá disponer anualmente recursos del Fosfec para el reconocimiento de bonos de alimentación a cesantes, a la promoción de la formación en empresa y el desarrollo de incentivos para eliminar las barreras de acceso al mercado laboral previa realización de estudios sobre atención de necesidades sociales. Lo anterior, sin perjuicio de las otras destinaciones de los recursos que integran el Fosfec, en los términos de la Ley 1636 de 2013.</w:t>
      </w:r>
    </w:p>
    <w:p w14:paraId="6D942E70" w14:textId="77777777" w:rsidR="00413A96" w:rsidRDefault="00413A96" w:rsidP="00413A96"/>
    <w:p w14:paraId="68C67945" w14:textId="77777777" w:rsidR="00413A96" w:rsidRDefault="00413A96" w:rsidP="00413A96">
      <w:r>
        <w:t>ARTÍCULO 78. Supresión de cuotas partes pensionales. Las entidades públicas del orden nacional que formen parte del Presupuesto General de la Nación, cualquiera sea su naturaleza, y Colpensiones, suprimirán las obligaciones por concepto de cuotas partes pensionales. Esta posibilidad aplicará tanto para las cuotas causadas como a las que a futuro se causen. Para el efecto, las entidades harán el reconocimiento contable y la respectiva anotación en los estados financieros.</w:t>
      </w:r>
    </w:p>
    <w:p w14:paraId="21272C34" w14:textId="77777777" w:rsidR="00413A96" w:rsidRDefault="00413A96" w:rsidP="00413A96"/>
    <w:p w14:paraId="76D77C16" w14:textId="77777777" w:rsidR="00413A96" w:rsidRDefault="00413A96" w:rsidP="00413A96">
      <w:r>
        <w:t>Lo dispuesto en el inciso anterior también aplicará a las entidades que al primero de abril de 1994 tuvieran la calidad de entidades del orden nacional.</w:t>
      </w:r>
    </w:p>
    <w:p w14:paraId="43C056D9" w14:textId="77777777" w:rsidR="00413A96" w:rsidRDefault="00413A96" w:rsidP="00413A96"/>
    <w:p w14:paraId="44D08A3D" w14:textId="77777777" w:rsidR="00413A96" w:rsidRDefault="00413A96" w:rsidP="00413A96">
      <w:r>
        <w:t>La Unidad Administrativa Especial de Gestión Pensional y Contribuciones Parafiscales de la Protección Social (UGPP), procederá en el mismo sentido en relación con las obligaciones por cuotas partes pensionales que haya reconocido a partir del momento en que asumió la función de reconocimiento pensional de entidades del orden nacional liquidadas o en liquidación, que sean financiadas con recursos del Fondo de Pensiones Públicas del Nivel Nacional (FOPEP).</w:t>
      </w:r>
    </w:p>
    <w:p w14:paraId="0F5423F9" w14:textId="77777777" w:rsidR="00413A96" w:rsidRDefault="00413A96" w:rsidP="00413A96"/>
    <w:p w14:paraId="29F4CAD2" w14:textId="77777777" w:rsidR="00413A96" w:rsidRDefault="00413A96" w:rsidP="00413A96">
      <w:r>
        <w:t>ARTÍCULO 79. Fuentes de financiación de servicios sociales complementarios. Los incentivos de que trata el artículo 87° de la Ley 1328 de 2009 se financiarán con recursos del Presupuesto General de la Nación.</w:t>
      </w:r>
    </w:p>
    <w:p w14:paraId="2F159915" w14:textId="77777777" w:rsidR="00413A96" w:rsidRDefault="00413A96" w:rsidP="00413A96"/>
    <w:p w14:paraId="6A9E7658" w14:textId="77777777" w:rsidR="00413A96" w:rsidRDefault="00413A96" w:rsidP="00413A96">
      <w:r>
        <w:t xml:space="preserve">La prima de seguros que cubran los riesgos de la incapacidad y muerte del ahorrador vinculado a los </w:t>
      </w:r>
      <w:r>
        <w:lastRenderedPageBreak/>
        <w:t>Beneficios Económicos Periódicos (BEPS) serán financiados con recursos del Fondo de Riesgos Laborales. El Consejo Nacional de Riesgos Laborales destinará anualmente las partidas para (sic) el efecto. La Comisión Intersectorial de Pensiones y Beneficios Económicos deberá definir el monto mínimo del Beneficio Económico Periódico teniendo en cuenta los gastos de administración.</w:t>
      </w:r>
    </w:p>
    <w:p w14:paraId="5C2F0541" w14:textId="77777777" w:rsidR="00413A96" w:rsidRDefault="00413A96" w:rsidP="00413A96"/>
    <w:p w14:paraId="12E96F0D" w14:textId="77777777" w:rsidR="00413A96" w:rsidRDefault="00413A96" w:rsidP="00413A96">
      <w:r>
        <w:t>ARTÍCULO 80. Pago de pensiones de invalidez reconocidas por Positiva. Las pensiones que</w:t>
      </w:r>
    </w:p>
    <w:p w14:paraId="2055F06F" w14:textId="77777777" w:rsidR="00413A96" w:rsidRDefault="00413A96" w:rsidP="00413A96">
      <w:r>
        <w:t xml:space="preserve"> </w:t>
      </w:r>
    </w:p>
    <w:p w14:paraId="1BF59A55" w14:textId="77777777" w:rsidR="00413A96" w:rsidRDefault="00413A96" w:rsidP="00413A96">
      <w:r>
        <w:t>actualmente están a cargo de Positiva S.A., cuyos derechos fueron causados originalmente en el Instituto de Seguros Sociales, serán administradas por la UGPP y pagadas por el FOPEP, previo el traslado de la reserva actuarial correspondiente, de acuerdo con la reglamentación que expida el Gobierno Nacional.</w:t>
      </w:r>
    </w:p>
    <w:p w14:paraId="382E77B6" w14:textId="77777777" w:rsidR="00413A96" w:rsidRDefault="00413A96" w:rsidP="00413A96"/>
    <w:p w14:paraId="69B349DF" w14:textId="77777777" w:rsidR="00413A96" w:rsidRDefault="00413A96" w:rsidP="00413A96">
      <w:r>
        <w:t>ARTÍCULO 81. Atención Intersectorial para la discapacidad. El Gobierno Nacional conforme a los lineamientos de la política pública de discapacidad y las estrategias de implementación para ella contempladas en las bases del Plan Nacional de Desarrollo, diseñará e implementará una Ruta de Atención Intersectorial para personas con discapacidad. Para asegurar el acceso efectivo a la oferta programática en el nivel territorial se tomarán medidas de ajuste institucional, fortalecimiento de la capacidad instalada territorial, asistencia técnica a los gobiernos territoriales y mejoramiento de las condiciones de la gestión institucional, para lo cual el Departamento Administrativo de la Presidencia asumirá la coordinación y articulación de toda la oferta programática para discapacidad en los territorios a través de la Ruta de Atención Intersectorial para personas con discapacidad.</w:t>
      </w:r>
    </w:p>
    <w:p w14:paraId="1E25D82A" w14:textId="77777777" w:rsidR="00413A96" w:rsidRDefault="00413A96" w:rsidP="00413A96"/>
    <w:p w14:paraId="2CE2892B" w14:textId="77777777" w:rsidR="00413A96" w:rsidRDefault="00413A96" w:rsidP="00413A96">
      <w:r>
        <w:t>PARÁGRAFO. Para efectos de este artículo, el Ministerio de Salud y Protección Social implementará la Certificación de Discapacidad para la inclusión y redireccionamiento de la población con discapacidad a la oferta programática institucional.</w:t>
      </w:r>
    </w:p>
    <w:p w14:paraId="09B4FC28" w14:textId="77777777" w:rsidR="00413A96" w:rsidRDefault="00413A96" w:rsidP="00413A96"/>
    <w:p w14:paraId="7F3A5395" w14:textId="77777777" w:rsidR="00413A96" w:rsidRDefault="00413A96" w:rsidP="00413A96">
      <w:r>
        <w:t>ARTÍCULO 82. Política de atención integral a la primera infancia, infancia y adolescencia. El Gobierno Nacional consolidará la implementación de la política de primera infancia y desarrollará una política nacional para la infancia y la adolescencia, en armonía con los avances técnicos y de gestión de la estrategia De Cero a Siempre, con énfasis en la población con amenaza o vulneración de derechos.</w:t>
      </w:r>
    </w:p>
    <w:p w14:paraId="7BA57F26" w14:textId="77777777" w:rsidR="00413A96" w:rsidRDefault="00413A96" w:rsidP="00413A96"/>
    <w:p w14:paraId="170BD71C" w14:textId="77777777" w:rsidR="00413A96" w:rsidRDefault="00413A96" w:rsidP="00413A96">
      <w:r>
        <w:t>Dicha política desarrollará, en el marco del Sistema Nacional de Bienestar Familiar (SNBF), al menos los siguientes componentes:</w:t>
      </w:r>
    </w:p>
    <w:p w14:paraId="3C47FBDA" w14:textId="77777777" w:rsidR="00413A96" w:rsidRDefault="00413A96" w:rsidP="00413A96"/>
    <w:p w14:paraId="3095BA41" w14:textId="77777777" w:rsidR="00413A96" w:rsidRDefault="00413A96" w:rsidP="00413A96">
      <w:r>
        <w:t>a)</w:t>
      </w:r>
      <w:r>
        <w:tab/>
        <w:t>Formulación e implementación de rutas integrales de atención que articulen y armonicen la oferta pública y privada, incluyendo las relacionadas con prevención del delito en adolescentes.</w:t>
      </w:r>
    </w:p>
    <w:p w14:paraId="7B172434" w14:textId="77777777" w:rsidR="00413A96" w:rsidRDefault="00413A96" w:rsidP="00413A96"/>
    <w:p w14:paraId="41D4E1DE" w14:textId="77777777" w:rsidR="00413A96" w:rsidRDefault="00413A96" w:rsidP="00413A96">
      <w:r>
        <w:t>b)</w:t>
      </w:r>
      <w:r>
        <w:tab/>
        <w:t>Formulación e implementación en el ámbito nacional de un plan operativo de la política que asegure la articulación de las diferentes políticas, planes y programas.</w:t>
      </w:r>
    </w:p>
    <w:p w14:paraId="1EE9C89C" w14:textId="77777777" w:rsidR="00413A96" w:rsidRDefault="00413A96" w:rsidP="00413A96"/>
    <w:p w14:paraId="09C1BCAD" w14:textId="77777777" w:rsidR="00413A96" w:rsidRDefault="00413A96" w:rsidP="00413A96">
      <w:r>
        <w:t>c)</w:t>
      </w:r>
      <w:r>
        <w:tab/>
        <w:t>Articulación y aplicación de una estrategia de fortalecimiento y acompañamiento técnico para la articulación de los temas de infancia y adolescencia en municipios, distritos y departamentos.</w:t>
      </w:r>
    </w:p>
    <w:p w14:paraId="686FEE92" w14:textId="77777777" w:rsidR="00413A96" w:rsidRDefault="00413A96" w:rsidP="00413A96"/>
    <w:p w14:paraId="292039F2" w14:textId="77777777" w:rsidR="00413A96" w:rsidRDefault="00413A96" w:rsidP="00413A96">
      <w:r>
        <w:t>d)</w:t>
      </w:r>
      <w:r>
        <w:tab/>
        <w:t>Estructuración de un esquema de seguimiento y evaluación de la política, fortaleciendo el seguimiento de la garantía de derechos a través del Sistema Único de Información de la Niñez.</w:t>
      </w:r>
    </w:p>
    <w:p w14:paraId="545BC9C3" w14:textId="77777777" w:rsidR="00413A96" w:rsidRDefault="00413A96" w:rsidP="00413A96"/>
    <w:p w14:paraId="6058174D" w14:textId="77777777" w:rsidR="00413A96" w:rsidRDefault="00413A96" w:rsidP="00413A96">
      <w:r>
        <w:t>ARTÍCULO 83. Atención integral a la primera infancia en modalidad comunitaria y FAMI. El Gobierno Nacional reglamentará los mecanismos que permitan el fortalecimiento de las modalidades comunitarias y de Familia, Mujer e Infancia (FAMI), siguiendo los lineamientos de la estrategia de atención integral a la primera infancia.</w:t>
      </w:r>
    </w:p>
    <w:p w14:paraId="2E82E088" w14:textId="77777777" w:rsidR="00413A96" w:rsidRDefault="00413A96" w:rsidP="00413A96"/>
    <w:p w14:paraId="6DEC8909" w14:textId="77777777" w:rsidR="00413A96" w:rsidRDefault="00413A96" w:rsidP="00413A96">
      <w:r>
        <w:t>Para ello se definirá una estrategia de mejoramiento locativo de los inmuebles donde funcionan servicios de atención a la primera infancia con el fin de ejecutar obras menores, reparaciones o adecuaciones que no requieran la obtención de permisos o licencias por parte de las autoridades competentes.</w:t>
      </w:r>
    </w:p>
    <w:p w14:paraId="265210FD" w14:textId="77777777" w:rsidR="00413A96" w:rsidRDefault="00413A96" w:rsidP="00413A96"/>
    <w:p w14:paraId="356270FC" w14:textId="77777777" w:rsidR="00413A96" w:rsidRDefault="00413A96" w:rsidP="00413A96">
      <w:r>
        <w:t>Tales obras comprenderán prioritariamente, la habilitación o instalación de batería de baños, lavaderos, cocinas, redes hidráulicas y sanitarias, pisos en superficies en tierra o en materiales inadecuados, ajustes razonables para garantizar la accesibilidad para personas en condición de discapacidad y otras condiciones que permitan el saneamiento y mejoramiento de dichos espacios, con el objeto de alcanzar progresivamente ambientes seguros y protectores para garantizar la</w:t>
      </w:r>
    </w:p>
    <w:p w14:paraId="1C953A6E" w14:textId="77777777" w:rsidR="00413A96" w:rsidRDefault="00413A96" w:rsidP="00413A96">
      <w:r>
        <w:lastRenderedPageBreak/>
        <w:t xml:space="preserve"> </w:t>
      </w:r>
    </w:p>
    <w:p w14:paraId="23EF615C" w14:textId="77777777" w:rsidR="00413A96" w:rsidRDefault="00413A96" w:rsidP="00413A96">
      <w:r>
        <w:t>atención integral de la población que compone la primera infancia.</w:t>
      </w:r>
    </w:p>
    <w:p w14:paraId="3176C045" w14:textId="77777777" w:rsidR="00413A96" w:rsidRDefault="00413A96" w:rsidP="00413A96"/>
    <w:p w14:paraId="33BAD33C" w14:textId="77777777" w:rsidR="00413A96" w:rsidRDefault="00413A96" w:rsidP="00413A96">
      <w:r>
        <w:t>ARTÍCULO 84. Estrategia para la prevención del embarazo en la adolescencia. El Gobierno Nacional bajo la coordinación del Instituto Colombiano de Bienestar Familiar y del Ministerio de Salud y Protección Social, en el marco de la Comisión Nacional Intersectorial para la Promoción y Garantía de los Derechos Sexuales y Reproductivos, realizará asistencia técnica conjunta a los entes territoriales del país para que los alcaldes y gobernadores incluyan indicadores, políticas, programas y proyectos de derechos sexuales y reproductivos vinculados con la política de prevención del embarazo en la adolescencia en los respectivos planes de desarrollo.</w:t>
      </w:r>
    </w:p>
    <w:p w14:paraId="2146792B" w14:textId="77777777" w:rsidR="00413A96" w:rsidRDefault="00413A96" w:rsidP="00413A96"/>
    <w:p w14:paraId="27A32E54" w14:textId="77777777" w:rsidR="00413A96" w:rsidRDefault="00413A96" w:rsidP="00413A96">
      <w:r>
        <w:t>ARTÍCULO 85. Recursos de inversión social en cultura y deporte. Los recursos de que trata el artículo 512­2 del Estatuto Tributario serán destinados a inversión social y se distribuirán así:</w:t>
      </w:r>
    </w:p>
    <w:p w14:paraId="3A351FD6" w14:textId="77777777" w:rsidR="00413A96" w:rsidRDefault="00413A96" w:rsidP="00413A96"/>
    <w:p w14:paraId="23132DFC" w14:textId="77777777" w:rsidR="00413A96" w:rsidRDefault="00413A96" w:rsidP="00413A96">
      <w:r>
        <w:t>1.</w:t>
      </w:r>
      <w:r>
        <w:tab/>
        <w:t>El diez por ciento (10%) para promover la creación, el fomento y el fortalecimiento de las bibliotecas que conforman la Red Nacional de Bibliotecas Públicas. Estos recursos serán presupuestados en el Ministerio de Cultura.</w:t>
      </w:r>
    </w:p>
    <w:p w14:paraId="31D7DCD6" w14:textId="77777777" w:rsidR="00413A96" w:rsidRDefault="00413A96" w:rsidP="00413A96"/>
    <w:p w14:paraId="413FD1BD" w14:textId="77777777" w:rsidR="00413A96" w:rsidRDefault="00413A96" w:rsidP="00413A96">
      <w:r>
        <w:t>2.</w:t>
      </w:r>
      <w:r>
        <w:tab/>
        <w:t>El noventa por ciento (90%) para promover el fomento, promoción y desarrollo del Deporte y la Cultura, distribuido así:</w:t>
      </w:r>
    </w:p>
    <w:p w14:paraId="485E0AE3" w14:textId="77777777" w:rsidR="00413A96" w:rsidRDefault="00413A96" w:rsidP="00413A96"/>
    <w:p w14:paraId="5AD48E64" w14:textId="77777777" w:rsidR="00413A96" w:rsidRDefault="00413A96" w:rsidP="00413A96">
      <w:r>
        <w:t>a)</w:t>
      </w:r>
      <w:r>
        <w:tab/>
        <w:t>Un setenta y cinco por ciento (75%) para el plan sectorial de fomento, promoción y desarrollo del deporte, y la recreación, escenarios deportivos incluidos los accesos en las zonas de influencia de los mismos, así como para la atención de los juegos deportivos nacionales y los juegos paralímpicos nacionales, los compromisos del ciclo olímpico y paralímpico que adquiera la Nación y la preparación y participación de los deportistas en todos los juegos mencionados y los del calendario único nacional. Estos recursos serán presupuestados en el Departamento Administrativo del Deporte, la Recreación, la Actividad Física y el Aprovechamiento del Tiempo Libre (COLDEPORTES).</w:t>
      </w:r>
    </w:p>
    <w:p w14:paraId="276769B2" w14:textId="77777777" w:rsidR="00413A96" w:rsidRDefault="00413A96" w:rsidP="00413A96"/>
    <w:p w14:paraId="454EA390" w14:textId="77777777" w:rsidR="00413A96" w:rsidRDefault="00413A96" w:rsidP="00413A96">
      <w:r>
        <w:t>b)</w:t>
      </w:r>
      <w:r>
        <w:tab/>
        <w:t>Un doce coma cinco por ciento (12,5%) será girado al Distrito Capital y a los departamentos, para que mediante convenio con los municipios y/o distritos que presenten proyectos que sean debidamente viabilizados, se destine a programas de fomento y desarrollo deportivo e infraestructura, atendiendo los criterios del Sistema General de Participaciones, establecidos en la Ley 715 de 2001. Del total de estos recursos se deberán destinar mínimo un tres por ciento (3%) para el fomento, promoción, desarrollo del deporte y la recreación de deportistas con discapacidad. Estos recursos serán presupuestados en COLDEPORTES, para su posterior distribución.</w:t>
      </w:r>
    </w:p>
    <w:p w14:paraId="74E5933E" w14:textId="77777777" w:rsidR="00413A96" w:rsidRDefault="00413A96" w:rsidP="00413A96"/>
    <w:p w14:paraId="264E99C0" w14:textId="77777777" w:rsidR="00413A96" w:rsidRDefault="00413A96" w:rsidP="00413A96">
      <w:r>
        <w:t>c)</w:t>
      </w:r>
      <w:r>
        <w:tab/>
        <w:t>Un doce coma cinco por ciento (12,5%) será girado al Distrito Capital y a los Departamentos, para que mediante convenio con los municipios y/o distritos que presenten proyectos que sean debidamente viabilizados, se destine a programas de fomento, promoción y desarrollo de la Cultura y la actividad artística colombiana dándole aplicación a la Ley 1185 de 2008 y atendiendo los criterios del Sistema General de Participaciones, establecidos en la Ley 715 de 2001. Del total de estos recursos se deberán destinar mínimo un tres por ciento (3%) a programas culturales y artísticos de gestores y creadores culturales con discapacidad. Estos recursos serán presupuestados en el Ministerio de Cultura para su posterior distribución.</w:t>
      </w:r>
    </w:p>
    <w:p w14:paraId="306D27B4" w14:textId="77777777" w:rsidR="00413A96" w:rsidRDefault="00413A96" w:rsidP="00413A96"/>
    <w:p w14:paraId="6698ECC5" w14:textId="77777777" w:rsidR="00413A96" w:rsidRDefault="00413A96" w:rsidP="00413A96">
      <w:r>
        <w:t>Los municipios y/o distritos cuyas actividades culturales y artísticas hayan sido declaradas como Patrimonio Cultural Inmaterial de la Humanidad por la Organización de Naciones Unidas para la Educación, la Ciencia y la Cultura, UNESCO, tendrán derecho a que del porcentaje asignado se destine el cincuenta por ciento (50%) para la promoción y fomento de estas actividades.</w:t>
      </w:r>
    </w:p>
    <w:p w14:paraId="13C02D3E" w14:textId="77777777" w:rsidR="00413A96" w:rsidRDefault="00413A96" w:rsidP="00413A96"/>
    <w:p w14:paraId="4E9457AC" w14:textId="77777777" w:rsidR="00413A96" w:rsidRDefault="00413A96" w:rsidP="00413A96">
      <w:r>
        <w:t>PARÁGRAFO PRIMERO. El Ministerio de Hacienda y Crédito Público o la Dirección de Impuestos y Aduanas Nacionales deberán informar anualmente a las comisiones económicas del Congreso de la República el valor recaudado por este tributo y la destinación del mismo.</w:t>
      </w:r>
    </w:p>
    <w:p w14:paraId="2BF44B82" w14:textId="77777777" w:rsidR="00413A96" w:rsidRDefault="00413A96" w:rsidP="00413A96"/>
    <w:p w14:paraId="560194E4" w14:textId="77777777" w:rsidR="00413A96" w:rsidRDefault="00413A96" w:rsidP="00413A96">
      <w:r>
        <w:t>PARÁGRAFO  SEGUNDO.  Los  recursos  girados  para  Cultura  al  Distrito  Capital  y  a  los</w:t>
      </w:r>
    </w:p>
    <w:p w14:paraId="15B9C06E" w14:textId="77777777" w:rsidR="00413A96" w:rsidRDefault="00413A96" w:rsidP="00413A96">
      <w:r>
        <w:t xml:space="preserve"> </w:t>
      </w:r>
    </w:p>
    <w:p w14:paraId="1217E806" w14:textId="77777777" w:rsidR="00413A96" w:rsidRDefault="00413A96" w:rsidP="00413A96">
      <w:r>
        <w:t xml:space="preserve">departamentos, que no hayan sido ejecutados al 31 de diciembre de la vigencia siguiente a la cual fueron girados, serán reintegrados por el Distrito Capital y los departamentos a la Dirección General de Crédito </w:t>
      </w:r>
      <w:r>
        <w:lastRenderedPageBreak/>
        <w:t>Público y del Tesoro Nacional, junto con los rendimientos financieros generados, a más tardar el 30 de junio siguiente.</w:t>
      </w:r>
    </w:p>
    <w:p w14:paraId="3A2CDA2A" w14:textId="77777777" w:rsidR="00413A96" w:rsidRDefault="00413A96" w:rsidP="00413A96"/>
    <w:p w14:paraId="65BA48A2" w14:textId="77777777" w:rsidR="00413A96" w:rsidRDefault="00413A96" w:rsidP="00413A96">
      <w:r>
        <w:t>Los recursos reintegrados al Tesoro Nacional serán destinados a la ejecución de proyectos de inversión a cargo del Ministerio de Cultura relacionados con la apropiación social del patrimonio cultural.</w:t>
      </w:r>
    </w:p>
    <w:p w14:paraId="368164B7" w14:textId="77777777" w:rsidR="00413A96" w:rsidRDefault="00413A96" w:rsidP="00413A96"/>
    <w:p w14:paraId="1D018F9B" w14:textId="77777777" w:rsidR="00413A96" w:rsidRDefault="00413A96" w:rsidP="00413A96">
      <w:r>
        <w:t>PARÁGRAFO TERCERO. Los rendimientos financieros originados por los recursos del impuesto nacional al consumo a la telefonía móvil girados al Distrito Capital y los departamentos para el fomento, promoción y desarrollo de la Cultura y el Deporte, deberán consignarse semestralmente a la Dirección General de Crédito Público y del Tesoro Nacional, en febrero y julio de cada año.</w:t>
      </w:r>
    </w:p>
    <w:p w14:paraId="5FEEFFF4" w14:textId="77777777" w:rsidR="00413A96" w:rsidRDefault="00413A96" w:rsidP="00413A96"/>
    <w:p w14:paraId="6EDE1AE4" w14:textId="77777777" w:rsidR="00413A96" w:rsidRDefault="00413A96" w:rsidP="00413A96">
      <w:r>
        <w:t>PARÁGRAFO CUARTO. Cuando la entidad territorial no adelante el reintegro de recursos en los montos y plazos a que se refiere el presente artículo, el Ministerio de Cultura podrá descontarlos del giro que en las siguientes vigencias deba adelantar al Distrito Capital o al respectivo Departamento por el mismo concepto”.</w:t>
      </w:r>
    </w:p>
    <w:p w14:paraId="59BA8234" w14:textId="77777777" w:rsidR="00413A96" w:rsidRDefault="00413A96" w:rsidP="00413A96"/>
    <w:p w14:paraId="6321FBF3" w14:textId="77777777" w:rsidR="00413A96" w:rsidRDefault="00413A96" w:rsidP="00413A96">
      <w:r>
        <w:t>ARTÍCULO 86. Promoción de iniciativas juveniles. El Gobierno Nacional impulsará estrategias encaminadas a desarrollar las iniciativas sociales de los jóvenes. Para tal efecto, la Dirección del Sistema Nacional de Juventud, Colombia Joven, constituirá un banco de iniciativas encaminado al fortalecimiento de capital social, desarrollo humano y protección de los derechos humanos de esta población, así como de los proyectos productivos y de emprendimiento que motiven a los jóvenes beneficiarios a permanecer en la Colombia rural.</w:t>
      </w:r>
    </w:p>
    <w:p w14:paraId="29CB8B2C" w14:textId="77777777" w:rsidR="00413A96" w:rsidRDefault="00413A96" w:rsidP="00413A96"/>
    <w:p w14:paraId="00A6CE10" w14:textId="77777777" w:rsidR="00413A96" w:rsidRDefault="00413A96" w:rsidP="00413A96">
      <w:r>
        <w:t>ARTÍCULO 87. Evaluación de la gestión financiera, técnica y administrativa de los prestadores de servicios públicos. Modifíquese el numeral 11 del artículo 79° de la Ley 142 de 1994, modificado por el artículo 13° de la Ley 689 de 2001, el cual quedará así:</w:t>
      </w:r>
    </w:p>
    <w:p w14:paraId="1A3BDC56" w14:textId="77777777" w:rsidR="00413A96" w:rsidRDefault="00413A96" w:rsidP="00413A96"/>
    <w:p w14:paraId="05807C47" w14:textId="77777777" w:rsidR="00413A96" w:rsidRDefault="00413A96" w:rsidP="00413A96">
      <w:r>
        <w:t>“11. Evaluar la gestión financiera, técnica y administrativa de los prestadores de servicios públicos sujetos a su control, inspección y vigilancia, de acuerdo con los indicadores definidos por las Comisiones de Regulación; publicar sus evaluaciones y proporcionar, en forma oportuna, toda la información disponible a quienes deseen hacer evaluaciones independientes. La Superintendencia podrá imponer programas de gestión para las empresas que amenacen de forma grave la prestación continua y eficiente de un servicio, los cuales estarán basados en los indicadores de prestación y la información derivada de la vigilancia e inspección efectuadas a las mismas, cuyo incumplimiento podrá ser sancionado en los términos de esta ley. De igual manera podrá definir criterios diferenciales para adelantar el control, inspección y vigilancia a los prestadores de acueducto, alcantarillado y aseo en áreas rurales”.</w:t>
      </w:r>
    </w:p>
    <w:p w14:paraId="2D2C7524" w14:textId="77777777" w:rsidR="00413A96" w:rsidRDefault="00413A96" w:rsidP="00413A96"/>
    <w:p w14:paraId="1D96B0E5" w14:textId="77777777" w:rsidR="00413A96" w:rsidRDefault="00413A96" w:rsidP="00413A96">
      <w:r>
        <w:t>ARTÍCULO 88. Eficiencia en el manejo integral de residuos sólidos. Modifíquese el artículo 251° de la Ley 1450 de 2011, el cual quedará así:</w:t>
      </w:r>
    </w:p>
    <w:p w14:paraId="390D15F9" w14:textId="77777777" w:rsidR="00413A96" w:rsidRDefault="00413A96" w:rsidP="00413A96"/>
    <w:p w14:paraId="4610CC4F" w14:textId="77777777" w:rsidR="00413A96" w:rsidRDefault="00413A96" w:rsidP="00413A96">
      <w:r>
        <w:t>“ARTÍCULO 251. Eficiencia en el manejo integral de residuos sólidos. Las autoridades ambientales, personas prestadoras o entidades territoriales no podrán imponer restricciones sin justificación técnica al acceso a los rellenos sanitarios y/o estaciones de transferencia.</w:t>
      </w:r>
    </w:p>
    <w:p w14:paraId="0D7AC294" w14:textId="77777777" w:rsidR="00413A96" w:rsidRDefault="00413A96" w:rsidP="00413A96"/>
    <w:p w14:paraId="39874D01" w14:textId="77777777" w:rsidR="00413A96" w:rsidRDefault="00413A96" w:rsidP="00413A96">
      <w:r>
        <w:t>Créase un incentivo al aprovechamiento de residuos sólidos en aquellas entidades territoriales en cuyo Plan de Gestión Integral de Residuos Sólidos (PGIRS) se hayan definido proyectos de aprovechamiento viables. El valor por suscriptor de dicho incentivo, se calculará sobre las toneladas de residuos no aprovechables por suscriptor del servicio público de aseo, como un valor adicional al costo de disposición final de estos residuos. El Gobierno Nacional reglamentará la materia y su implementación podrá ser de forma gradual.</w:t>
      </w:r>
    </w:p>
    <w:p w14:paraId="16A203C5" w14:textId="77777777" w:rsidR="00413A96" w:rsidRDefault="00413A96" w:rsidP="00413A96">
      <w:r>
        <w:t xml:space="preserve"> </w:t>
      </w:r>
    </w:p>
    <w:p w14:paraId="60775F53" w14:textId="77777777" w:rsidR="00413A96" w:rsidRDefault="00413A96" w:rsidP="00413A96">
      <w:r>
        <w:t>Los recursos provenientes del incentivo serán destinados a la actividad de aprovechamiento del servicio público de aseo para el desarrollo de infraestructura, separación en la fuente, recolección, transporte, recepción, pesaje, clasificación y otras formas de aprovechamiento; desarrolladas por los prestadores de la actividad de aprovechamiento y recicladores de oficio que se hayan organizado bajo la Ley 142 de 1994 para promover su formalización e inclusión social. Dichos recursos también se emplearán en la elaboración de estudios de pre­factibilidad y factibilidad que permitan la implementación de formas alternativas de aprovechamiento de residuos, tales como el compostaje, el aprovechamiento energético y las plantas de tratamiento integral de residuos sólidos, entre otros.</w:t>
      </w:r>
    </w:p>
    <w:p w14:paraId="5E90ED49" w14:textId="77777777" w:rsidR="00413A96" w:rsidRDefault="00413A96" w:rsidP="00413A96"/>
    <w:p w14:paraId="78EBE634" w14:textId="77777777" w:rsidR="00413A96" w:rsidRDefault="00413A96" w:rsidP="00413A96">
      <w:r>
        <w:t xml:space="preserve">Consérvese el incentivo para los municipios donde se ubiquen rellenos sanitarios de carácter regional. El valor </w:t>
      </w:r>
      <w:r>
        <w:lastRenderedPageBreak/>
        <w:t>de dicho incentivo continuará siendo pagado por el prestador al municipio donde se ubique el relleno sanitario de la actividad de disposición final y su tarifa será entre 0,23% y 0,69% del salario mínimo mensual legal vigente (smmlv) por tonelada dispuesta. En aquellos casos en que el relleno sanitario se encuentre ubicado o se llegare a ubicar en zonas limítrofes de varios municipios, el incentivo se distribuirá proporcionalmente entre los municipios, conforme al área afecta a la ejecución del proyecto.</w:t>
      </w:r>
    </w:p>
    <w:p w14:paraId="0CEB4D2F" w14:textId="77777777" w:rsidR="00413A96" w:rsidRDefault="00413A96" w:rsidP="00413A96"/>
    <w:p w14:paraId="39FCB3F4" w14:textId="77777777" w:rsidR="00413A96" w:rsidRDefault="00413A96" w:rsidP="00413A96">
      <w:r>
        <w:t>Consérvese el incentivo para la ubicación de estaciones de transferencia de residuos sólidos para los municipios donde se ubiquen estas infraestructuras, siempre que sean de carácter regional. El valor de ese incentivo será pagado al municipio donde se ubique la estación de transferencia regional por parte del prestador de la actividad y su tarifa fluctuará entre 0,0125% y 0,023% del smmlv por tonelada transferida, de conformidad con la reglamentación que para el efecto expida el Gobierno Nacional.</w:t>
      </w:r>
    </w:p>
    <w:p w14:paraId="2E90741B" w14:textId="77777777" w:rsidR="00413A96" w:rsidRDefault="00413A96" w:rsidP="00413A96"/>
    <w:p w14:paraId="76C2E8D3" w14:textId="77777777" w:rsidR="00413A96" w:rsidRDefault="00413A96" w:rsidP="00413A96">
      <w:r>
        <w:t>Los anteriores incentivos deberán ser destinados a la financiación de proyectos de agua potable y saneamiento básico.</w:t>
      </w:r>
    </w:p>
    <w:p w14:paraId="2E6AEF9F" w14:textId="77777777" w:rsidR="00413A96" w:rsidRDefault="00413A96" w:rsidP="00413A96"/>
    <w:p w14:paraId="57778219" w14:textId="77777777" w:rsidR="00413A96" w:rsidRDefault="00413A96" w:rsidP="00413A96">
      <w:r>
        <w:t>PARÁGRAFO 1°. La Comisión de Regulación de Agua Potable y Saneamiento Básico definirá el mecanismo de inclusión del pago de los incentivos mencionados en el presente artículo, en la tarifa del usuario final del servicio de aseo; salvo aquellos usuarios ubicados en el municipio donde se encuentra el relleno sanitario y/o la estación de transferencia, para los incentivos relacionados con dicha infraestructura. Igualmente, en la metodología tarifaria se establecerá un incentivo a los usuarios para promover la separación en la fuente de los residuos.</w:t>
      </w:r>
    </w:p>
    <w:p w14:paraId="1EC6E308" w14:textId="77777777" w:rsidR="00413A96" w:rsidRDefault="00413A96" w:rsidP="00413A96"/>
    <w:p w14:paraId="4F007D9A" w14:textId="77777777" w:rsidR="00413A96" w:rsidRDefault="00413A96" w:rsidP="00413A96">
      <w:r>
        <w:t>PARÁGRAFO 2°. El Ministerio de Vivienda Ciudad y Territorio reglamentará el esquema operativo de la actividad de aprovechamiento y la transitoriedad para el cumplimiento de las obligaciones que deben atender los recicladores de oficio, formalizados como personas prestadoras, de la actividad de aprovechamiento en el servicio público de aseo”.</w:t>
      </w:r>
    </w:p>
    <w:p w14:paraId="60DF52A9" w14:textId="77777777" w:rsidR="00413A96" w:rsidRDefault="00413A96" w:rsidP="00413A96"/>
    <w:p w14:paraId="727315CD" w14:textId="77777777" w:rsidR="00413A96" w:rsidRDefault="00413A96" w:rsidP="00413A96">
      <w:r>
        <w:t>ARTÍCULO 89. Sistemas de ciudades. Se adiciona el parágrafo segundo del artículo 111° de la Ley 388 de 1997, el cual quedará así:</w:t>
      </w:r>
    </w:p>
    <w:p w14:paraId="441855B4" w14:textId="77777777" w:rsidR="00413A96" w:rsidRDefault="00413A96" w:rsidP="00413A96"/>
    <w:p w14:paraId="749CBA85" w14:textId="77777777" w:rsidR="00413A96" w:rsidRDefault="00413A96" w:rsidP="00413A96">
      <w:r>
        <w:t>“PARÁGRAFO 2°. El Gobierno Nacional a través del Ministerio de Vivienda, Ciudad y Territorio, teniendo en cuenta el principio de autonomía territorial, también podrá tener la iniciativa para la formulación y ejecución de las actuaciones urbanas integrales de que tratan los artículos 113° y 114° de la Ley 388 de 1997, siempre que sean necesarias para la implementación de proyectos estratégicos de iniciativa de la Nación, que promuevan el desarrollo del Sistema de Ciudades y los corredores urbanos regionales.</w:t>
      </w:r>
    </w:p>
    <w:p w14:paraId="3BAC823E" w14:textId="77777777" w:rsidR="00413A96" w:rsidRDefault="00413A96" w:rsidP="00413A96"/>
    <w:p w14:paraId="640D5D29" w14:textId="77777777" w:rsidR="00413A96" w:rsidRDefault="00413A96" w:rsidP="00413A96">
      <w:r>
        <w:t>Estas actuaciones deberán delimitarse y definirse en estudios técnicos que seguirán el procedimiento establecido en los artículos 24°, 25° y 26° de la misma ley, y se constituirán en determinantes del ordenamiento territorial. El Gobierno Nacional reglamentará los lineamientos generales para la formulación de estas actuaciones estratégicas con la participación de las diferentes entidades nacionales, así como la coordinación público privada”.</w:t>
      </w:r>
    </w:p>
    <w:p w14:paraId="6FBBE986" w14:textId="77777777" w:rsidR="00413A96" w:rsidRDefault="00413A96" w:rsidP="00413A96">
      <w:r>
        <w:t xml:space="preserve"> </w:t>
      </w:r>
    </w:p>
    <w:p w14:paraId="16FAAEA5" w14:textId="77777777" w:rsidR="00413A96" w:rsidRDefault="00413A96" w:rsidP="00413A96">
      <w:r>
        <w:t>ARTÍCULO 90. Vivienda de interés social y vivienda de interés prioritario. De conformidad con el artículo 91° de la Ley 388 de 1997, la vivienda de interés social es la unidad habitacional que cumple con los estándares de calidad en diseño urbanístico, arquitectónico y de construcción y cuyo valor no exceda ciento treinta y cinco salarios mínimos mensuales legales vigentes (135 smmlv).</w:t>
      </w:r>
    </w:p>
    <w:p w14:paraId="2A0AB840" w14:textId="77777777" w:rsidR="00413A96" w:rsidRDefault="00413A96" w:rsidP="00413A96"/>
    <w:p w14:paraId="784B2D96" w14:textId="77777777" w:rsidR="00413A96" w:rsidRDefault="00413A96" w:rsidP="00413A96">
      <w:r>
        <w:t>PARÁGRAFO PRIMERO. Se establecerá un tipo de vivienda denominada vivienda de interés social prioritario, cuyo valor máximo será de setenta salarios mínimos mensuales legales vigentes (70 smmlv). Las entidades territoriales que financien vivienda en los municipios de categorías 3, 4, 5 y 6 de la Ley 617 de 2000, solo podrán hacerla en vivienda de interés prioritario.</w:t>
      </w:r>
    </w:p>
    <w:p w14:paraId="7720D87D" w14:textId="77777777" w:rsidR="00413A96" w:rsidRDefault="00413A96" w:rsidP="00413A96"/>
    <w:p w14:paraId="421E1D22" w14:textId="77777777" w:rsidR="00413A96" w:rsidRDefault="00413A96" w:rsidP="00413A96">
      <w:r>
        <w:t>PARÁGRAFO SEGUNDO. En el caso de programas y/o proyectos de renovación urbana, el Gobierno Nacional podrá definir tipos de vivienda de interés social y de interés prioritario. La vivienda de interés social podrá tener un precio superior a los ciento treinta y cinco salarios mínimos mensuales legales vigentes (135 smmlv), sin que este exceda los ciento setenta y cinco salarios mínimos mensuales legales vigentes (175 smmlv). La vivienda de interés prioritario podrá tener un precio superior a los setenta salarios mínimos mensuales legales vigentes (70 smmlv), sin que este exceda los cien salarios mínimos mensuales legales vigentes (100 smmlv).</w:t>
      </w:r>
    </w:p>
    <w:p w14:paraId="18508695" w14:textId="77777777" w:rsidR="00413A96" w:rsidRDefault="00413A96" w:rsidP="00413A96"/>
    <w:p w14:paraId="6447C4D0" w14:textId="77777777" w:rsidR="00413A96" w:rsidRDefault="00413A96" w:rsidP="00413A96">
      <w:r>
        <w:t>PARÁGRAFO TERCERO. Los recursos correspondientes a subsidios familiares de vivienda urbana que sean objeto de renuncia por parte de su beneficiario, que se venzan, o que correspondan a aquellos recuperados mediante actuaciones administrativas, deberán ser incorporados en el presupuesto del Fondo Nacional de Vivienda (Fonvivienda), y serán destinados a la financiación o cofinanciación de programas o proyectos de vivienda de interés social, a la construcción y/o dotación de equipamientos públicos colectivos y/o a la infraestructura de servicios públicos domiciliarios. Lo anterior, independientemente de la vigencia presupuestal en la que hayan sido asignados los subsidios.</w:t>
      </w:r>
    </w:p>
    <w:p w14:paraId="305652BB" w14:textId="77777777" w:rsidR="00413A96" w:rsidRDefault="00413A96" w:rsidP="00413A96"/>
    <w:p w14:paraId="7AB08A60" w14:textId="77777777" w:rsidR="00413A96" w:rsidRDefault="00413A96" w:rsidP="00413A96">
      <w:r>
        <w:t>Los mencionados recursos podrán ser transferidos directamente, total o parcialmente, a cualquiera de los patrimonios autónomos en los que sea fideicomitente el Fonvivienda, o la entidad que indique el Gobierno Nacional.</w:t>
      </w:r>
    </w:p>
    <w:p w14:paraId="61B978CA" w14:textId="77777777" w:rsidR="00413A96" w:rsidRDefault="00413A96" w:rsidP="00413A96"/>
    <w:p w14:paraId="235BB739" w14:textId="77777777" w:rsidR="00413A96" w:rsidRDefault="00413A96" w:rsidP="00413A96">
      <w:r>
        <w:t>Respecto  de  los  subsidios  familiares  de  vivienda  urbana  que  se  encuentren  sin aplicar, Fonvivienda podrá proceder a su vencimiento sin que se requiera surtir previamente el proceso a que se refiere el parágrafo 1° del artículo 8° de la Ley 1537 de 2012.</w:t>
      </w:r>
    </w:p>
    <w:p w14:paraId="1090D762" w14:textId="77777777" w:rsidR="00413A96" w:rsidRDefault="00413A96" w:rsidP="00413A96"/>
    <w:p w14:paraId="1FA37DA1" w14:textId="77777777" w:rsidR="00413A96" w:rsidRDefault="00413A96" w:rsidP="00413A96">
      <w:r>
        <w:t>En todo caso, los recursos del Presupuesto General de la Nación asignados a Fonvivienda y que se incorporen a patrimonios autónomos en los cuales dicha entidad sea Fideicomitente, independiente del rubro presupuestal de los referidos recursos, podrán ser destinados para la construcción y/o dotación de equipamientos públicos colectivo y/o infraestructura de servicios públicos domiciliarios, incluida la adquisición de predios para esos propósitos, para los proyectos de vivienda de interés social y prioritaria que se ejecuten en el marco de los patrimonios autónomos. La entidad aportante de los recursos definirá los porcentajes de los recursos aportados que pueden ser destinados a estos propósitos.</w:t>
      </w:r>
    </w:p>
    <w:p w14:paraId="5E1757B6" w14:textId="77777777" w:rsidR="00413A96" w:rsidRDefault="00413A96" w:rsidP="00413A96"/>
    <w:p w14:paraId="408CD33C" w14:textId="77777777" w:rsidR="00413A96" w:rsidRDefault="00413A96" w:rsidP="00413A96">
      <w:r>
        <w:t>PARÁGRAFO CUARTO. Cuando la entidad otorgante de subsidios familiares de vivienda 100% en especie (SFVE) advierta el acaecimiento de una causal para su restitución, de acuerdo con lo establecido en el artículo 21 de la Ley 1537 de 2012, estará facultada para iniciar ante las autoridades competentes y bajo los procedimientos determinados por la ley, procesos reivindicatorios de las viviendas, aun cuando no se ostente la calidad de propietario de las mismas.</w:t>
      </w:r>
    </w:p>
    <w:p w14:paraId="759070C5" w14:textId="77777777" w:rsidR="00413A96" w:rsidRDefault="00413A96" w:rsidP="00413A96"/>
    <w:p w14:paraId="41433CD0" w14:textId="77777777" w:rsidR="00413A96" w:rsidRDefault="00413A96" w:rsidP="00413A96">
      <w:r>
        <w:t>Sin perjuicio de lo anterior, una vez surtido el proceso de restitución, por virtud de la ley e independientemente del negocio jurídico suscrito para que el hogar beneficiario se convirtiera en propietario de la vivienda, la entidad otorgante del SFVE o los fideicomisos en los cuales esta sea fideicomitente, podrán convertirse en titulares del derecho de dominio de las viviendas restituidas, para lo cual solo se requerirá la inscripción del acto administrativo correspondiente en el folio de</w:t>
      </w:r>
    </w:p>
    <w:p w14:paraId="4B80CC28" w14:textId="77777777" w:rsidR="00413A96" w:rsidRDefault="00413A96" w:rsidP="00413A96">
      <w:r>
        <w:t xml:space="preserve"> </w:t>
      </w:r>
    </w:p>
    <w:p w14:paraId="2724F725" w14:textId="77777777" w:rsidR="00413A96" w:rsidRDefault="00413A96" w:rsidP="00413A96">
      <w:r>
        <w:t>matrícula inmobiliaria de la vivienda.</w:t>
      </w:r>
    </w:p>
    <w:p w14:paraId="502A0D66" w14:textId="77777777" w:rsidR="00413A96" w:rsidRDefault="00413A96" w:rsidP="00413A96"/>
    <w:p w14:paraId="7850DC6A" w14:textId="77777777" w:rsidR="00413A96" w:rsidRDefault="00413A96" w:rsidP="00413A96">
      <w:r>
        <w:t>En los eventos en los cuales la restitución del SFVE proceda por deudas adquiridas con los entes territoriales o las entidades del sector centralizado o descentralizado del orden territorial, la entidad otorgante del SFVE podrá disponer, mediante acto administrativo susceptible de registro, que la entidad acreedora se convierta en propietaria de las viviendas, con el propósito de que sean asignadas a hogares que se encuentren en las condiciones señaladas en el artículo 12 de la Ley 1537 de 2012, y que, sean identificados y seleccionados de conformidad con lo reglamentado por el Gobierno Nacional.</w:t>
      </w:r>
    </w:p>
    <w:p w14:paraId="5124D0F5" w14:textId="77777777" w:rsidR="00413A96" w:rsidRDefault="00413A96" w:rsidP="00413A96"/>
    <w:p w14:paraId="0C7129FD" w14:textId="77777777" w:rsidR="00413A96" w:rsidRDefault="00413A96" w:rsidP="00413A96">
      <w:r>
        <w:t>Las viviendas adquiridas a título de SFVE, que hayan sido utilizadas como medio o instrumento para la ejecución de actividades ilícitas, podrán ser restituidas por parte de la entidad otorgante, para ser asignadas a otros hogares que se encuentren en las condiciones señaladas en el artículo 12° de la Ley 1537 de 2012, sin perjuicio de que se adelanten las investigaciones penales a que haya lugar.</w:t>
      </w:r>
    </w:p>
    <w:p w14:paraId="6C64805C" w14:textId="77777777" w:rsidR="00413A96" w:rsidRDefault="00413A96" w:rsidP="00413A96"/>
    <w:p w14:paraId="669D4520" w14:textId="77777777" w:rsidR="00413A96" w:rsidRDefault="00413A96" w:rsidP="00413A96">
      <w:r>
        <w:t>Las viviendas que sean objeto de restitución de acuerdo con lo establecido en el presente artículo, podrán ser transferidas a patrimonios autónomos constituidos por la entidad otorgante de los subsidios, hasta el momento en que sean transferidas a un nuevo hogar beneficiario.</w:t>
      </w:r>
    </w:p>
    <w:p w14:paraId="3A71D8A2" w14:textId="77777777" w:rsidR="00413A96" w:rsidRDefault="00413A96" w:rsidP="00413A96"/>
    <w:p w14:paraId="3C9089EE" w14:textId="77777777" w:rsidR="00413A96" w:rsidRDefault="00413A96" w:rsidP="00413A96">
      <w:r>
        <w:t>ARTÍCULO 91. Incorporación del suelo rural, suburbano y expansión urbana al perímetro urbano. Modifíquese el artículo 47 de la Ley 1537 de 2012, el cual quedará así:</w:t>
      </w:r>
    </w:p>
    <w:p w14:paraId="10084974" w14:textId="77777777" w:rsidR="00413A96" w:rsidRDefault="00413A96" w:rsidP="00413A96"/>
    <w:p w14:paraId="28F6A063" w14:textId="77777777" w:rsidR="00413A96" w:rsidRDefault="00413A96" w:rsidP="00413A96">
      <w:r>
        <w:lastRenderedPageBreak/>
        <w:t>“ARTÍCULO 47°. Incorporación del suelo rural, suburbano y expansión urbana al perímetro urbano. Con el fin de garantizar el desarrollo de vivienda, infraestructura social y usos complementarios y compatibles que soporten la vivienda, durante el período constitucional de las administraciones municipales y distritales comprendido entre los años 2015 y el 2020, y por una sola vez, los municipios y distritos podrán:</w:t>
      </w:r>
    </w:p>
    <w:p w14:paraId="1873C71D" w14:textId="77777777" w:rsidR="00413A96" w:rsidRDefault="00413A96" w:rsidP="00413A96"/>
    <w:p w14:paraId="2CAA7283" w14:textId="77777777" w:rsidR="00413A96" w:rsidRDefault="00413A96" w:rsidP="00413A96">
      <w:r>
        <w:t>1.</w:t>
      </w:r>
      <w:r>
        <w:tab/>
        <w:t>A iniciativa del alcalde municipal o distrital, incorporar al perímetro urbano los predios localizados en suelo rural, suelo suburbano y suelo de expansión urbana que garanticen el desarrollo y construcción de vivienda, infraestructura social y usos complementarios que soporten la vivienda de interés social y de interés prioritario, y otros, siempre que se permitan usos complementarios, mediante el ajuste del plan de ordenamiento territorial que será sometida a aprobación directa del concejo municipal o distrital, sin la realización previa de los trámites de concertación y consulta previstos en el artículo 24° de la Ley 388 de 1997. Esta acción se podrá adelantar siempre y cuando se cumplan en su totalidad las siguientes condiciones:</w:t>
      </w:r>
    </w:p>
    <w:p w14:paraId="21F7D04D" w14:textId="77777777" w:rsidR="00413A96" w:rsidRDefault="00413A96" w:rsidP="00413A96"/>
    <w:p w14:paraId="3AFEE31A" w14:textId="77777777" w:rsidR="00413A96" w:rsidRDefault="00413A96" w:rsidP="00413A96">
      <w:r>
        <w:t>a.</w:t>
      </w:r>
      <w:r>
        <w:tab/>
        <w:t>Se trate de predios que cuenten con conexión o disponibilidad inmediata de servicios públicos domiciliarios de acueducto, alcantarillado y energía eléctrica y que tengan garantizada su conexión y articulación con los sistemas de movilidad existentes en el municipio o distrito, certificada por los prestadores correspondientes.</w:t>
      </w:r>
    </w:p>
    <w:p w14:paraId="5F5B4113" w14:textId="77777777" w:rsidR="00413A96" w:rsidRDefault="00413A96" w:rsidP="00413A96"/>
    <w:p w14:paraId="4ADC4D91" w14:textId="77777777" w:rsidR="00413A96" w:rsidRDefault="00413A96" w:rsidP="00413A96">
      <w:r>
        <w:t>b.</w:t>
      </w:r>
      <w:r>
        <w:tab/>
        <w:t>Los predios así incorporados al perímetro urbano quedarán sometidos al régimen de desarrollo y construcción prioritaria de que trata el artículo 52° y subsiguientes de la Ley 388 de 1997. Para su ejecución se aplicarán las normas del tratamiento urbanístico de desarrollo y no se requerirá de plan parcial ni de otro instrumento de planificación complementaria para su habilitación. En el proyecto de acuerdo se incluirá la clasificación de usos y aprovechamiento del suelo.</w:t>
      </w:r>
    </w:p>
    <w:p w14:paraId="0098A173" w14:textId="77777777" w:rsidR="00413A96" w:rsidRDefault="00413A96" w:rsidP="00413A96"/>
    <w:p w14:paraId="7A767039" w14:textId="77777777" w:rsidR="00413A96" w:rsidRDefault="00413A96" w:rsidP="00413A96">
      <w:r>
        <w:t>c.</w:t>
      </w:r>
      <w:r>
        <w:tab/>
        <w:t>Los predios no podrán colindar ni estar ubicados al interior de áreas de conservación y protección ambiental, tales como las áreas del sistema nacional de áreas protegidas, áreas de reserva forestal, áreas de manejo especial y áreas de especial importancia ecosistémica, ni en áreas que hagan parte del suelo de protección, en los términos de que trata el artículo 35° de la Ley 388 de 1997, ni en otras áreas cuyo desarrollo se haya restringido en virtud de la concertación ambiental que fundamentó la adopción del plan de ordenamiento vigente.</w:t>
      </w:r>
    </w:p>
    <w:p w14:paraId="2CBC246F" w14:textId="77777777" w:rsidR="00413A96" w:rsidRDefault="00413A96" w:rsidP="00413A96">
      <w:r>
        <w:t xml:space="preserve"> </w:t>
      </w:r>
    </w:p>
    <w:p w14:paraId="48CE80BA" w14:textId="77777777" w:rsidR="00413A96" w:rsidRDefault="00413A96" w:rsidP="00413A96">
      <w:r>
        <w:t>d.</w:t>
      </w:r>
      <w:r>
        <w:tab/>
        <w:t>Aquellos municipios cuyas cabeceras municipales y centros poblados rurales (corregimientos y veredas) que estén incluidos en una de las siete (7) reservas forestales creadas por la Ley 2ª de 1959, podrán presentar ante el Ministerio de Ambiente y Desarrollo Sostenible solicitud de sustracción rápida y expedita para los lotes y actuaciones urbanas integrales que se destinen a vivienda para lo cual se expedirá por parte de dicho Ministerio las resoluciones correspondientes.</w:t>
      </w:r>
    </w:p>
    <w:p w14:paraId="352D4792" w14:textId="77777777" w:rsidR="00413A96" w:rsidRDefault="00413A96" w:rsidP="00413A96"/>
    <w:p w14:paraId="251F8A60" w14:textId="77777777" w:rsidR="00413A96" w:rsidRDefault="00413A96" w:rsidP="00413A96">
      <w:r>
        <w:t>2.</w:t>
      </w:r>
      <w:r>
        <w:tab/>
        <w:t>Además de los instrumentos previstos en la ley, a iniciativa del alcalde municipal o distrital, se podrá modificar el régimen de usos y aprovechamiento del suelo de los predios localizados al interior del perímetro urbano o de expansión urbana que puedan ser destinados al desarrollo de proyectos de vivienda de interés prioritario, mediante el ajuste excepcional del Plan de Ordenamiento Territorial. Este ajuste se someterá a aprobación directa del concejo municipal o distrital, sin la realización previa de los trámites de concertación y consulta previstos en la Ley 388 de 1997, o mediante la expedición de decretos por parte de la autoridad municipal o distrital respectiva, cuando el Plan de Ordenamiento Territorial contemple la autorización para el efecto. Estos predios quedarán sometidos al régimen de desarrollo y construcción prioritaria, de que trata el artículo 52 ° y subsiguientesa de la Ley 388 de 1997.</w:t>
      </w:r>
    </w:p>
    <w:p w14:paraId="460C52A7" w14:textId="77777777" w:rsidR="00413A96" w:rsidRDefault="00413A96" w:rsidP="00413A96"/>
    <w:p w14:paraId="61CB98F9" w14:textId="77777777" w:rsidR="00413A96" w:rsidRDefault="00413A96" w:rsidP="00413A96">
      <w:r>
        <w:t>PARÁGRAFO 1°. Transcurridos sesenta (60) días desde la presentación del proyecto de ajuste del plan de ordenamiento territorial de que trata el presente artículo, sin que el concejo municipal o distrital adopte decisión alguna o lo niegue sin base en motivos y estudios técnicos debidamente sustentados, el alcalde podrá adoptarlo mediante decreto.</w:t>
      </w:r>
    </w:p>
    <w:p w14:paraId="5AB86D29" w14:textId="77777777" w:rsidR="00413A96" w:rsidRDefault="00413A96" w:rsidP="00413A96"/>
    <w:p w14:paraId="70409C87" w14:textId="77777777" w:rsidR="00413A96" w:rsidRDefault="00413A96" w:rsidP="00413A96">
      <w:r>
        <w:t>En el evento de que el concejo municipal o distrital estuviere en receso, el alcalde deberá convocarlo a sesiones extraordinarias. Toda modificación propuesta por el concejo deberá sustentarse en motivos técnicos y contar con la aceptación del alcalde y, en ningún caso, su discusión ampliará el término para decidir.</w:t>
      </w:r>
    </w:p>
    <w:p w14:paraId="79C1D0B0" w14:textId="77777777" w:rsidR="00413A96" w:rsidRDefault="00413A96" w:rsidP="00413A96"/>
    <w:p w14:paraId="1B6FF4A3" w14:textId="77777777" w:rsidR="00413A96" w:rsidRDefault="00413A96" w:rsidP="00413A96">
      <w:r>
        <w:t xml:space="preserve">Los concejos municipales y distritales, de conformidad con lo establecido en el artículo 81 de la Ley 134 de 1994, celebrarán obligatoriamente un Cabildo Abierto previo para el estudio y análisis del proyecto de ajuste </w:t>
      </w:r>
      <w:r>
        <w:lastRenderedPageBreak/>
        <w:t>del plan de ordenamiento territorial.</w:t>
      </w:r>
    </w:p>
    <w:p w14:paraId="3108DF11" w14:textId="77777777" w:rsidR="00413A96" w:rsidRDefault="00413A96" w:rsidP="00413A96"/>
    <w:p w14:paraId="3C625E73" w14:textId="77777777" w:rsidR="00413A96" w:rsidRDefault="00413A96" w:rsidP="00413A96">
      <w:r>
        <w:t>PARÁGRAFO 2°. Los predios incorporados al perímetro urbano en virtud de las disposiciones del presente artículo deberán cumplir los porcentajes de vivienda de interés social y de interés social prioritario de que trata el artículo 46 de la presente ley.</w:t>
      </w:r>
    </w:p>
    <w:p w14:paraId="24CE425D" w14:textId="77777777" w:rsidR="00413A96" w:rsidRDefault="00413A96" w:rsidP="00413A96"/>
    <w:p w14:paraId="17D4A26F" w14:textId="77777777" w:rsidR="00413A96" w:rsidRDefault="00413A96" w:rsidP="00413A96">
      <w:r>
        <w:t>PARÁGRAFO 3°. Los proyectos de vivienda desarrollados bajo este artículo, no podrán cumplir la obligación de destinar suelo para vivienda de interés prioritario mediante el traslado de sus obligaciones a otro proyecto”.</w:t>
      </w:r>
    </w:p>
    <w:p w14:paraId="53683C16" w14:textId="77777777" w:rsidR="00413A96" w:rsidRDefault="00413A96" w:rsidP="00413A96"/>
    <w:p w14:paraId="60D607EF" w14:textId="77777777" w:rsidR="00413A96" w:rsidRDefault="00413A96" w:rsidP="00413A96">
      <w:r>
        <w:t>ARTÍCULO 92. Garantía de la Nación para la financiación de proyectos de vivienda de interés social. Modifíquese el artículo 19° de la Ley 1537 de 2012, el cual quedará así:</w:t>
      </w:r>
    </w:p>
    <w:p w14:paraId="0DFB43E7" w14:textId="77777777" w:rsidR="00413A96" w:rsidRDefault="00413A96" w:rsidP="00413A96"/>
    <w:p w14:paraId="7B68B3DB" w14:textId="77777777" w:rsidR="00413A96" w:rsidRDefault="00413A96" w:rsidP="00413A96">
      <w:r>
        <w:t>“ARTÍCULO 19. Garantía de la nación para la financiación de proyectos de vivienda de interés social. Autorícese a la Nación ­ Ministerio de Hacienda y Crédito Público, para garantizar operaciones de crédito público interno o externo, operaciones asimiladas o conexas a estas, que celebre la Financiera de Desarrollo Territorial (Findeter) para financiar los proyectos de vivienda de interés social y/o prioritario, en los términos de la normatividad vigente.</w:t>
      </w:r>
    </w:p>
    <w:p w14:paraId="7AC8C893" w14:textId="77777777" w:rsidR="00413A96" w:rsidRDefault="00413A96" w:rsidP="00413A96"/>
    <w:p w14:paraId="03C39E86" w14:textId="77777777" w:rsidR="00413A96" w:rsidRDefault="00413A96" w:rsidP="00413A96">
      <w:r>
        <w:t>Para efectos de lo previsto en esta ley, Findeter podrá otorgar crédito a los patrimonios autónomos en los que Fonvivienda sea fideicomitente, y que se constituyan para la ejecución de proyectos de vivienda de interés social y/o prioritario”.</w:t>
      </w:r>
    </w:p>
    <w:p w14:paraId="02A53C8C" w14:textId="77777777" w:rsidR="00413A96" w:rsidRDefault="00413A96" w:rsidP="00413A96"/>
    <w:p w14:paraId="18106D60" w14:textId="77777777" w:rsidR="00413A96" w:rsidRDefault="00413A96" w:rsidP="00413A96">
      <w:r>
        <w:t>ARTÍCULO 93. Juegos novedosos. Modifíquese el artículo 38° de la Ley 643 de 2001, modificado por el artículo 22 de la Ley 1393 de 2010, el cual quedará así:</w:t>
      </w:r>
    </w:p>
    <w:p w14:paraId="4940BD4A" w14:textId="77777777" w:rsidR="00413A96" w:rsidRDefault="00413A96" w:rsidP="00413A96">
      <w:r>
        <w:t xml:space="preserve"> </w:t>
      </w:r>
    </w:p>
    <w:p w14:paraId="53AAA051" w14:textId="77777777" w:rsidR="00413A96" w:rsidRDefault="00413A96" w:rsidP="00413A96">
      <w:r>
        <w:t>“ARTÍCULO 38. Juegos novedosos. Son cualquier otra modalidad de juegos de suerte y azar distintos de las loterías tradicionales o de billetes, de las apuestas permanentes y de los demás juegos a que se refiere la presente ley. Se consideran juegos novedosos, entre otros, la lotto preimpresa, la lotería instantánea, el lotto en línea en cualquiera de sus modalidades, apuestas deportivas o en eventos y todos los juegos operados por internet, o por cualquier otra modalidad de tecnologías de la información que no requiera la presencia del apostador. Lo anterior únicamente en relación con los juegos que administra y/o explota Coljuegos.</w:t>
      </w:r>
    </w:p>
    <w:p w14:paraId="53D5147F" w14:textId="77777777" w:rsidR="00413A96" w:rsidRDefault="00413A96" w:rsidP="00413A96"/>
    <w:p w14:paraId="30803A82" w14:textId="77777777" w:rsidR="00413A96" w:rsidRDefault="00413A96" w:rsidP="00413A96">
      <w:r>
        <w:t>Los derechos de explotación que deben transferir quienes operen juegos novedosos equivaldrán como mínimo al 17% de los ingresos brutos. Cuando se operen juegos novedosos en los cuales el retorno al jugador de acuerdo con el reglamento del juego sea igual o superior al 83% los derechos de explotación tendrán una tarifa mínima del 15% sobre los ingresos brutos menos los premios pagados. Sin perjuicio de lo anterior quienes operen juegos por internet, pagarán adicionalmente ochocientos once (811) salarios mínimos mensuales legales vigentes, que se cancelarán durante los veinte (20) primeros días hábiles de cada año de operación.</w:t>
      </w:r>
    </w:p>
    <w:p w14:paraId="4251560F" w14:textId="77777777" w:rsidR="00413A96" w:rsidRDefault="00413A96" w:rsidP="00413A96"/>
    <w:p w14:paraId="455F4634" w14:textId="77777777" w:rsidR="00413A96" w:rsidRDefault="00413A96" w:rsidP="00413A96">
      <w:r>
        <w:t>Se entiende que el juego opera por internet cuando la apuesta y el pago de premios se realizan únicamente por este medio, previo registro del jugador en el sitio o portal autorizado y cuya mecánica se soporta en un generador de número aleatorio virtual o en la ocurrencia de eventos reales cuyos resultados no son controlados. No se entienden operados por internet aquellos juegos que incluyan la realización de sorteos físicos, como el chance y loterías, entre otros, en cuyo caso el internet será un medio de comercialización. Coljuegos reglamentará los juegos de su competencia que operen y comercialicen por internet.</w:t>
      </w:r>
    </w:p>
    <w:p w14:paraId="7315210A" w14:textId="77777777" w:rsidR="00413A96" w:rsidRDefault="00413A96" w:rsidP="00413A96"/>
    <w:p w14:paraId="0CA168E8" w14:textId="77777777" w:rsidR="00413A96" w:rsidRDefault="00413A96" w:rsidP="00413A96">
      <w:r>
        <w:t>PARÁGRAFO 1°. Podrán operar los juegos de suerte y azar por internet las personas jurídicas que suscriban el correspondiente contrato de concesión previa verificación del cumplimiento de los requisitos exigidos en el reglamento del juego y los demás definidos por Coljuegos; la operación de los demás juegos novedosos deberá ser autorizado en cumplimiento de los procesos de selección establecidos en el Estatuto General de Contratación de la Administración Pública.</w:t>
      </w:r>
    </w:p>
    <w:p w14:paraId="274251E4" w14:textId="77777777" w:rsidR="00413A96" w:rsidRDefault="00413A96" w:rsidP="00413A96"/>
    <w:p w14:paraId="364C67DA" w14:textId="77777777" w:rsidR="00413A96" w:rsidRDefault="00413A96" w:rsidP="00413A96">
      <w:r>
        <w:t>PARÁGRAFO 2°. Los juegos novedosos diferentes a los operados por internet podrán utilizar este medio únicamente como canal de venta, previa autorización del administrador del monopolio quien determinará las condiciones y requisitos que se deben cumplir para tal fin.</w:t>
      </w:r>
    </w:p>
    <w:p w14:paraId="2C38EFBC" w14:textId="77777777" w:rsidR="00413A96" w:rsidRDefault="00413A96" w:rsidP="00413A96"/>
    <w:p w14:paraId="1F51DB76" w14:textId="77777777" w:rsidR="00413A96" w:rsidRDefault="00413A96" w:rsidP="00413A96">
      <w:r>
        <w:t xml:space="preserve">PARÁGRAFO 3°. Los administradores del monopolio, las autoridades de inspección, vigilancia y control, las autoridades de policía y la Policía Nacional podrán hacer monitoreo a los canales, entidades financieras, </w:t>
      </w:r>
      <w:r>
        <w:lastRenderedPageBreak/>
        <w:t>páginas de Internet y medios que de cualquier forma sirvan a la explotación, operación, venta, pago, publicidad o comercialización de juegos de suerte y azar no autorizados, y ordenar las alertas y bloqueos correspondientes”.</w:t>
      </w:r>
    </w:p>
    <w:p w14:paraId="225D0161" w14:textId="77777777" w:rsidR="00413A96" w:rsidRDefault="00413A96" w:rsidP="00413A96"/>
    <w:p w14:paraId="650AB2F7" w14:textId="77777777" w:rsidR="00413A96" w:rsidRDefault="00413A96" w:rsidP="00413A96">
      <w:r>
        <w:t>ARTÍCULO 94. Definición de juegos de suerte y azar. Modifíquese el inciso 3° del artículo 5° de la Ley 643 de 2001, el cual quedará así:</w:t>
      </w:r>
    </w:p>
    <w:p w14:paraId="66808791" w14:textId="77777777" w:rsidR="00413A96" w:rsidRDefault="00413A96" w:rsidP="00413A96"/>
    <w:p w14:paraId="6BDDBDB5" w14:textId="77777777" w:rsidR="00413A96" w:rsidRDefault="00413A96" w:rsidP="00413A96">
      <w:r>
        <w:t>“Están excluidos del ámbito de esta ley los juegos de suerte y azar de carácter tradicional, familiar y escolar, que no sean objeto de explotación lucrativa o con carácter profesional por quien lo opera, gestiona o administra, así como las competiciones de puro pasatiempo o recreo; también están excluidos los juegos promocionales que realicen los operadores de juegos de suerte y azar, las rifas para el financiamiento del cuerpo de bomberos, los juegos promocionales de las beneficencias departamentales y de las sociedades de capitalización que solo podrán ser realizados directamente por estas entidades. Se podrán utilizar como juegos promocionales los sorteos, bingos, apuestas deportivas, lotería instantánea y lotto preimpresa, sus derechos de explotación se pagarán sobre el valor total del plan de premios y cada premio contenido en el plan no podrá superar ciento sesenta</w:t>
      </w:r>
    </w:p>
    <w:p w14:paraId="34C3C882" w14:textId="77777777" w:rsidR="00413A96" w:rsidRDefault="00413A96" w:rsidP="00413A96">
      <w:r>
        <w:t>(160) salarios mínimos mensuales legales vigentes”.</w:t>
      </w:r>
    </w:p>
    <w:p w14:paraId="55EFF187" w14:textId="77777777" w:rsidR="00413A96" w:rsidRDefault="00413A96" w:rsidP="00413A96"/>
    <w:p w14:paraId="71119AC3" w14:textId="77777777" w:rsidR="00413A96" w:rsidRDefault="00413A96" w:rsidP="00413A96">
      <w:r>
        <w:t>ARTÍCULO 95. Financiación de proyectos de las IES. El Icetex ejercerá la función de financiar o</w:t>
      </w:r>
    </w:p>
    <w:p w14:paraId="4B6B190F" w14:textId="77777777" w:rsidR="00413A96" w:rsidRDefault="00413A96" w:rsidP="00413A96">
      <w:r>
        <w:t xml:space="preserve"> </w:t>
      </w:r>
    </w:p>
    <w:p w14:paraId="66AD35C7" w14:textId="77777777" w:rsidR="00413A96" w:rsidRDefault="00413A96" w:rsidP="00413A96">
      <w:r>
        <w:t>cofinanciar programas y proyectos específicos que contribuyan al desarrollo científico, académico y administrativo de las instituciones de educación superior de que trata el artículo 16 de la Ley 30 de 1992; al fortalecimiento de su infraestructura física, y a la renovación y adquisición de equipos y dotaciones. El Gobierno Nacional reglamentará la materia.</w:t>
      </w:r>
    </w:p>
    <w:p w14:paraId="1DF511A0" w14:textId="77777777" w:rsidR="00413A96" w:rsidRDefault="00413A96" w:rsidP="00413A96"/>
    <w:p w14:paraId="5DB1E40A" w14:textId="77777777" w:rsidR="00413A96" w:rsidRDefault="00413A96" w:rsidP="00413A96">
      <w:r>
        <w:t>Los aportes de la nación que a la fecha de entrada en vigencia de la presente ley se encuentren en el Fondo de Desarrollo de la Educación Superior (Fodesep) y que no se encuentren comprometidos presupuestalmente, serán transferidos al Icetex para el ejercicio de las funciones asignadas en este artículo, para lo cual el Gobierno Nacional adelantará las acciones conducentes a obtener la liquidación de dicha participación. El Gobierno Nacional podrá enajenar o disponer de su participación.</w:t>
      </w:r>
    </w:p>
    <w:p w14:paraId="0C864753" w14:textId="77777777" w:rsidR="00413A96" w:rsidRDefault="00413A96" w:rsidP="00413A96"/>
    <w:p w14:paraId="166B0004" w14:textId="77777777" w:rsidR="00413A96" w:rsidRDefault="00413A96" w:rsidP="00413A96">
      <w:r>
        <w:t>ARTÍCULO 96. Daciones en pago. El Gobierno Nacional definirá los mecanismos que permitan a las entidades administradoras de cada uno de los subsistemas del Sistema de Seguridad Social defender de manera activa y eficiente los créditos a favor del Estado y de los afiliados en los eventos de concurso de acreedores, optimizando los recursos del Sistema y buscando que se realicen actuaciones conjuntas. Así mismo, el Gobierno definirá los instrumentos que permitan liquidar los activos recibidos a título de dación en pago en el menor tiempo y al mejor valor posible. Sin perjuicio de lo anterior, el valor efectivamente recibido de la liquidación de los activos será el que se impute a favor del afiliado.</w:t>
      </w:r>
    </w:p>
    <w:p w14:paraId="21EC4A29" w14:textId="77777777" w:rsidR="00413A96" w:rsidRDefault="00413A96" w:rsidP="00413A96"/>
    <w:p w14:paraId="00E5BCEC" w14:textId="77777777" w:rsidR="00413A96" w:rsidRDefault="00413A96" w:rsidP="00413A96">
      <w:r>
        <w:t>PARÁGRAFO. Las daciones en pago recibidas por el Instituto de Seguros Sociales que amparaban deudas de sus diferentes negocios, se destinarán en su totalidad a la financiación de las obligaciones pensionales. La imputación de las semanas a los afiliados la realizará Colpensiones por el monto de la deuda pensional definido en el concurso de acreedores, esto es el valor al que se recibió cada uno de los activos.</w:t>
      </w:r>
    </w:p>
    <w:p w14:paraId="088D5BCA" w14:textId="77777777" w:rsidR="00413A96" w:rsidRDefault="00413A96" w:rsidP="00413A96"/>
    <w:p w14:paraId="320714C0" w14:textId="77777777" w:rsidR="00413A96" w:rsidRDefault="00413A96" w:rsidP="00413A96">
      <w:r>
        <w:t>ARTÍCULO 97. Saneamiento y cumplimiento de condiciones financieras de las entidades promotoras de salud en que participen las Cajas de Compensación Familiar. Con el propósito de garantizar el acceso y goce efectivo del derecho a la salud y cumplir las condiciones financieras para la operación y el saneamiento de las Entidades Promotoras de Salud en que participen las Cajas de Compensación Familiar o los programas de salud que administren o hayan operado en dichas entidades, se podrán destinar recursos propios de las Cajas de Compensación Familiar y los recursos a que hace referencia el artículo 46° de la Ley 1438 de 2011 recaudados en las vigencias 2012, 2013 y 2014 que no hayan sido utilizados en los propósitos definidos en la mencionada ley a la fecha de entrada en vigencia de la presente disposición, siempre que no correspondan a la financiación del régimen subsidiado de salud. Subsidiariamente, los recursos de la contribución parafiscal recaudados por las Cajas de Compensación Familiar no requeridos para financiar programas obligatorios podrán destinarse para estos propósitos.</w:t>
      </w:r>
    </w:p>
    <w:p w14:paraId="54B3C9DA" w14:textId="77777777" w:rsidR="00413A96" w:rsidRDefault="00413A96" w:rsidP="00413A96"/>
    <w:p w14:paraId="105385F4" w14:textId="77777777" w:rsidR="00413A96" w:rsidRDefault="00413A96" w:rsidP="00413A96">
      <w:r>
        <w:t xml:space="preserve">ARTÍCULO 98. Protección social para trabajadores independientes con ingresos inferiores al salario mínimo. El Gobierno Nacional diseñará un esquema financiero y operativo que posibilite la vinculación de trabajadores </w:t>
      </w:r>
      <w:r>
        <w:lastRenderedPageBreak/>
        <w:t>independientes con ingresos inferiores al salario mínimo mensual legal vigente al Sistema General de Seguridad Social Integral. En materia de salud, el trabajador podrá afiliarse o permanecer en el régimen subsidiado, siempre y cuando cumpla las condiciones para pertenecer a éste. Si desea acceder a prestaciones económicas del régimen contributivo, podrá cotizar de acuerdo con su capacidad de pago, caso en el cual se le reconocerán dichas prestaciones en proporción a su aporte. Para la protección a la vejez, accederá a los beneficios económicos periódicos y para riesgos de incapacidad y muerte a un esquema de microseguros, velando en todos los casos por el equilibrio financiero del sistema.</w:t>
      </w:r>
    </w:p>
    <w:p w14:paraId="6F46A406" w14:textId="77777777" w:rsidR="00413A96" w:rsidRDefault="00413A96" w:rsidP="00413A96"/>
    <w:p w14:paraId="040F77D7" w14:textId="77777777" w:rsidR="00413A96" w:rsidRDefault="00413A96" w:rsidP="00413A96">
      <w:r>
        <w:t>ARTÍCULO 99. Cumplimiento del reglamento del sector de agua potable y saneamiento básico para vivienda rural. Modifíquese el parágrafo segundo del artículo 29 de la Ley 1537 de 2012, el cual quedará así:</w:t>
      </w:r>
    </w:p>
    <w:p w14:paraId="607517BE" w14:textId="77777777" w:rsidR="00413A96" w:rsidRDefault="00413A96" w:rsidP="00413A96">
      <w:r>
        <w:t xml:space="preserve"> </w:t>
      </w:r>
    </w:p>
    <w:p w14:paraId="071CCD69" w14:textId="77777777" w:rsidR="00413A96" w:rsidRDefault="00413A96" w:rsidP="00413A96">
      <w:r>
        <w:t>“PARÁGRAFO SEGUNDO. Para las viviendas dispersas localizadas en áreas rurales con soluciones individuales de saneamiento básico para la gestión de sus aguas residuales domésticas definidos, tales como sistemas sépticos y que cumplan desde su diseño con los parámetros definidos en el reglamento técnico del sector de agua potable y saneamiento básico, no requerirán de la obtención del permiso de vertimientos.</w:t>
      </w:r>
    </w:p>
    <w:p w14:paraId="7700F282" w14:textId="77777777" w:rsidR="00413A96" w:rsidRDefault="00413A96" w:rsidP="00413A96"/>
    <w:p w14:paraId="7A645C5C" w14:textId="77777777" w:rsidR="00413A96" w:rsidRDefault="00413A96" w:rsidP="00413A96">
      <w:r>
        <w:t>Lo dispuesto en el presente parágrafo, también aplicará para los proyectos que desarrolle el Fondo de Adaptación, en el ejercicio de sus competencias”.</w:t>
      </w:r>
    </w:p>
    <w:p w14:paraId="77382E6E" w14:textId="77777777" w:rsidR="00413A96" w:rsidRDefault="00413A96" w:rsidP="00413A96"/>
    <w:p w14:paraId="415A194A" w14:textId="77777777" w:rsidR="00413A96" w:rsidRDefault="00413A96" w:rsidP="00413A96">
      <w:r>
        <w:t>CAPÍTULO III TRANSFORMACIÓN DEL CAMPO</w:t>
      </w:r>
    </w:p>
    <w:p w14:paraId="3888F1F1" w14:textId="77777777" w:rsidR="00413A96" w:rsidRDefault="00413A96" w:rsidP="00413A96">
      <w:r>
        <w:t>ARTÍCULO 100. Mecanismos de intervención integral en territorios rurales. El Gobierno Nacional establecerá los Mecanismos de Intervención Integral en Territorios Rurales y las zonas en las cuales estos serán implementados. Dichos mecanismos contendrán los lineamientos, criterios, parámetros, temporalidad y financiación para la ejecución de los planes operativos y de inversión, los cuales serán construidos de manera participativa en coordinación con las autoridades departamentales y municipales, que deberán contener como mínimo intervenciones en los siguientes aspectos:</w:t>
      </w:r>
    </w:p>
    <w:p w14:paraId="78B67E05" w14:textId="77777777" w:rsidR="00413A96" w:rsidRDefault="00413A96" w:rsidP="00413A96"/>
    <w:p w14:paraId="0C0D6CFF" w14:textId="77777777" w:rsidR="00413A96" w:rsidRDefault="00413A96" w:rsidP="00413A96">
      <w:r>
        <w:t>a)</w:t>
      </w:r>
      <w:r>
        <w:tab/>
        <w:t>Ordenamiento social y productivo de las tierras rurales.</w:t>
      </w:r>
    </w:p>
    <w:p w14:paraId="7A1B2AC1" w14:textId="77777777" w:rsidR="00413A96" w:rsidRDefault="00413A96" w:rsidP="00413A96"/>
    <w:p w14:paraId="7F44302F" w14:textId="77777777" w:rsidR="00413A96" w:rsidRDefault="00413A96" w:rsidP="00413A96">
      <w:r>
        <w:t>b)</w:t>
      </w:r>
      <w:r>
        <w:tab/>
        <w:t>Adecuación de tierras e infraestructura de riego.</w:t>
      </w:r>
    </w:p>
    <w:p w14:paraId="75F987DD" w14:textId="77777777" w:rsidR="00413A96" w:rsidRDefault="00413A96" w:rsidP="00413A96"/>
    <w:p w14:paraId="00DE0ED1" w14:textId="77777777" w:rsidR="00413A96" w:rsidRDefault="00413A96" w:rsidP="00413A96">
      <w:r>
        <w:t>c)</w:t>
      </w:r>
      <w:r>
        <w:tab/>
        <w:t>Habitabilidad rural.</w:t>
      </w:r>
    </w:p>
    <w:p w14:paraId="61EB2032" w14:textId="77777777" w:rsidR="00413A96" w:rsidRDefault="00413A96" w:rsidP="00413A96"/>
    <w:p w14:paraId="143F07D1" w14:textId="77777777" w:rsidR="00413A96" w:rsidRDefault="00413A96" w:rsidP="00413A96">
      <w:r>
        <w:t>d)</w:t>
      </w:r>
      <w:r>
        <w:tab/>
        <w:t>Infraestructura productiva y de comercialización.</w:t>
      </w:r>
    </w:p>
    <w:p w14:paraId="511BA036" w14:textId="77777777" w:rsidR="00413A96" w:rsidRDefault="00413A96" w:rsidP="00413A96"/>
    <w:p w14:paraId="2BDE15CE" w14:textId="77777777" w:rsidR="00413A96" w:rsidRDefault="00413A96" w:rsidP="00413A96">
      <w:r>
        <w:t>e)</w:t>
      </w:r>
      <w:r>
        <w:tab/>
        <w:t>Proyectos productivos, planes de negocio y asistencia técnica integral.</w:t>
      </w:r>
    </w:p>
    <w:p w14:paraId="01F73FAE" w14:textId="77777777" w:rsidR="00413A96" w:rsidRDefault="00413A96" w:rsidP="00413A96"/>
    <w:p w14:paraId="0552A066" w14:textId="77777777" w:rsidR="00413A96" w:rsidRDefault="00413A96" w:rsidP="00413A96">
      <w:r>
        <w:t>Las entidades que por sus funciones desarrollen labores en los territorios rurales y con la población rural, articularán sus intervenciones priorizando sus inversiones en las zonas de intervención integral.</w:t>
      </w:r>
    </w:p>
    <w:p w14:paraId="4DE026A6" w14:textId="77777777" w:rsidR="00413A96" w:rsidRDefault="00413A96" w:rsidP="00413A96"/>
    <w:p w14:paraId="2B37849D" w14:textId="77777777" w:rsidR="00413A96" w:rsidRDefault="00413A96" w:rsidP="00413A96">
      <w:r>
        <w:t>ARTÍCULO 101. Subsidio integral de reforma agraria. Modifíquese el artículo 20 de la Ley 160 de 1994, el cual quedará así:</w:t>
      </w:r>
    </w:p>
    <w:p w14:paraId="0BE74F2F" w14:textId="77777777" w:rsidR="00413A96" w:rsidRDefault="00413A96" w:rsidP="00413A96"/>
    <w:p w14:paraId="43D570E0" w14:textId="77777777" w:rsidR="00413A96" w:rsidRDefault="00413A96" w:rsidP="00413A96">
      <w:r>
        <w:t>“ARTÍCULO 20. Subsidio integral de reforma agraria. Establézcase un Subsidio Integral de Reforma Agraria, con cargo al presupuesto del Incoder o la entidad que haga sus veces, que podrá cubrir hasta el cien por ciento (100%) del valor de la tierra y/o de los requerimientos financieros para el establecimiento del proyecto productivo agropecuario, según las condiciones socioeconómicas de los beneficiarios.</w:t>
      </w:r>
    </w:p>
    <w:p w14:paraId="6E58210E" w14:textId="77777777" w:rsidR="00413A96" w:rsidRDefault="00413A96" w:rsidP="00413A96"/>
    <w:p w14:paraId="45F91491" w14:textId="77777777" w:rsidR="00413A96" w:rsidRDefault="00413A96" w:rsidP="00413A96">
      <w:r>
        <w:t>Este subsidio será equivalente al valor de la Unidad Agrícola Familiar (UAF) y será otorgado por una sola vez a familias campesinas de escasos recursos, con arreglo a las políticas y a los criterios de planificación, focalización, priorización, exigibilidad y calificación que, para el efecto, determine el Gobierno Nacional a través del Ministerio de Agricultura y Desarrollo Rural. Quienes hayan sido beneficiarios del subsidio exclusivamente para la compra de tierras, podrán ser objeto del presente subsidio únicamente por el monto destinado a cubrir los requerimientos financieros para el establecimiento del proyecto productivo agropecuario.</w:t>
      </w:r>
    </w:p>
    <w:p w14:paraId="7F96C987" w14:textId="77777777" w:rsidR="00413A96" w:rsidRDefault="00413A96" w:rsidP="00413A96"/>
    <w:p w14:paraId="56BE2B7D" w14:textId="77777777" w:rsidR="00413A96" w:rsidRDefault="00413A96" w:rsidP="00413A96">
      <w:r>
        <w:t>El subsidio será asignado de manera focalizada a través de procedimientos de libre concurrencia en las zonas del país seleccionadas en el marco de intervenciones integrales para promover el desarrollo rural, conforme a la reglamentación que para el efecto expida el Gobierno Nacional.</w:t>
      </w:r>
    </w:p>
    <w:p w14:paraId="58974688" w14:textId="77777777" w:rsidR="00413A96" w:rsidRDefault="00413A96" w:rsidP="00413A96"/>
    <w:p w14:paraId="3E79AD5E" w14:textId="77777777" w:rsidR="00413A96" w:rsidRDefault="00413A96" w:rsidP="00413A96">
      <w:r>
        <w:t>Cuando no existan zonas rurales con intervenciones integrales para promover el desarrollo rural, o</w:t>
      </w:r>
    </w:p>
    <w:p w14:paraId="5CFCC072" w14:textId="77777777" w:rsidR="00413A96" w:rsidRDefault="00413A96" w:rsidP="00413A96">
      <w:r>
        <w:t xml:space="preserve"> </w:t>
      </w:r>
    </w:p>
    <w:p w14:paraId="676FB253" w14:textId="77777777" w:rsidR="00413A96" w:rsidRDefault="00413A96" w:rsidP="00413A96">
      <w:r>
        <w:t>existiendo no sea viable la asignación del subsidio al interior de ellas, el Ministerio de Agricultura y Desarrollo Rural podrá focalizar su asignación en otras zonas conforme a la reglamentación que expida el Consejo Directivo del Incoder. Los recursos destinados para el subsidio integral se priorizarán para la atención de las solicitudes pendientes que resultaron viables en la vigencia anterior.</w:t>
      </w:r>
    </w:p>
    <w:p w14:paraId="4318FCFC" w14:textId="77777777" w:rsidR="00413A96" w:rsidRDefault="00413A96" w:rsidP="00413A96"/>
    <w:p w14:paraId="30AE196D" w14:textId="77777777" w:rsidR="00413A96" w:rsidRDefault="00413A96" w:rsidP="00413A96">
      <w:r>
        <w:t>PARÁGRAFO PRIMERO. En el pago del Subsidio Integral para el acceso a la tierra y apoyo productivo en la conformación de Empresas Básicas Agropecuarias, así como el implícito en la adquisición directa de tierras, el Gobierno Nacional podrá emplear cualquier modalidad de pago contra recursos del presupuesto nacional.</w:t>
      </w:r>
    </w:p>
    <w:p w14:paraId="2212482F" w14:textId="77777777" w:rsidR="00413A96" w:rsidRDefault="00413A96" w:rsidP="00413A96"/>
    <w:p w14:paraId="326807E5" w14:textId="77777777" w:rsidR="00413A96" w:rsidRDefault="00413A96" w:rsidP="00413A96">
      <w:r>
        <w:t>PARÁGRAFO SEGUNDO. Las entidades territoriales, las organizaciones campesinas, las entidades sin ánimo de lucro, las asociaciones mutuales, los cabildos indígenas, los consejos consultivos de las comunidades negras, las autoridades del pueblo ROM, los gremios agropecuarios y demás organismos que sean autorizados por el reglamento, podrán presentar solicitudes de subsidio a nombre de los beneficiarios.</w:t>
      </w:r>
    </w:p>
    <w:p w14:paraId="5C03A758" w14:textId="77777777" w:rsidR="00413A96" w:rsidRDefault="00413A96" w:rsidP="00413A96"/>
    <w:p w14:paraId="1337BBEE" w14:textId="77777777" w:rsidR="00413A96" w:rsidRDefault="00413A96" w:rsidP="00413A96">
      <w:r>
        <w:t>PARÁGRAFO TERCERO. En el procedimiento para el otorgamiento del subsidio se realizará un levantamiento topográfico como insumo para la determinación del avalúo comercial. Mientras se implementa la política de catastro rural con enfoque multipropósito, si se evidencia una diferencia de áreas al comparar el folio de matrícula inmobiliaria y el plano topográfico del predio a adquirir, antes de elaborar dicho avalúo, el Incoder advertirá tal situación al potencial vendedor y al adjudicatario del subsidio.</w:t>
      </w:r>
    </w:p>
    <w:p w14:paraId="5C314E95" w14:textId="77777777" w:rsidR="00413A96" w:rsidRDefault="00413A96" w:rsidP="00413A96"/>
    <w:p w14:paraId="6AA0A203" w14:textId="77777777" w:rsidR="00413A96" w:rsidRDefault="00413A96" w:rsidP="00413A96">
      <w:r>
        <w:t>En el evento en que las partes manifiesten su interés de continuar con la negociación a pesar de lo advertido, el Incoder autorizará continuar con el procedimiento siempre y cuando exista manifestación expresa, inequívoca y escrita del propietario, solo en los casos en que el área del predio consignada en el folio de matrícula inmobiliaria sea inferior de la establecida por el levantamiento topográfico.</w:t>
      </w:r>
    </w:p>
    <w:p w14:paraId="2F743EE8" w14:textId="77777777" w:rsidR="00413A96" w:rsidRDefault="00413A96" w:rsidP="00413A96"/>
    <w:p w14:paraId="199E20C0" w14:textId="77777777" w:rsidR="00413A96" w:rsidRDefault="00413A96" w:rsidP="00413A96">
      <w:r>
        <w:t>En estos casos, el avalúo comercial a elaborar tendrá como área del predio, la establecida en el folio de matrícula inmobiliaria.</w:t>
      </w:r>
    </w:p>
    <w:p w14:paraId="625B30C0" w14:textId="77777777" w:rsidR="00413A96" w:rsidRDefault="00413A96" w:rsidP="00413A96"/>
    <w:p w14:paraId="5F6A2F22" w14:textId="77777777" w:rsidR="00413A96" w:rsidRDefault="00413A96" w:rsidP="00413A96">
      <w:r>
        <w:t>PARÁGRAFO CUARTO. El levantamiento topográfico que se realice para efectos de la aplicación del subsidio de reforma agraria y demás asuntos propios de la gestión institucional en materia de tierras podrá ser realizado directamente por el Instituto Geográfico Agustín Codazzi (IGAC) o contratado con personas naturales o jurídicas legalmente habilitadas para ello”.</w:t>
      </w:r>
    </w:p>
    <w:p w14:paraId="079F0F16" w14:textId="77777777" w:rsidR="00413A96" w:rsidRDefault="00413A96" w:rsidP="00413A96"/>
    <w:p w14:paraId="7C126966" w14:textId="77777777" w:rsidR="00413A96" w:rsidRDefault="00413A96" w:rsidP="00413A96">
      <w:r>
        <w:t>ARTÍCULO 102. Marco especial sobre administración de tierras de la Nación. Modifíquese el artículo 76° de la Ley 160 de 1994, el cual quedará así:</w:t>
      </w:r>
    </w:p>
    <w:p w14:paraId="696266E9" w14:textId="77777777" w:rsidR="00413A96" w:rsidRDefault="00413A96" w:rsidP="00413A96"/>
    <w:p w14:paraId="7F12F865" w14:textId="77777777" w:rsidR="00413A96" w:rsidRDefault="00413A96" w:rsidP="00413A96">
      <w:r>
        <w:t>“ARTÍCULO 76°. Sin perjuicio de lo previsto en el artículo 83 de la presente ley, podrá también el Incoder o la entidad que haga sus veces, constituir reservas sobre tierras baldías, o que llegaren a tener ese carácter, para establecer en ellas un régimen especial de ocupación, aprovechamiento y adjudicación, reglamentado por el Gobierno Nacional, que permita al adjudicatario contar con la tierra como activo para iniciar actividades de generación de ingresos. Las explotaciones que se adelanten sobre las tierras reservadas con posterioridad a la fecha en que adquieran esta calidad, no darán derecho al interesado para obtener la adjudicación de la superficie correspondiente sino cuando se hayan realizado de conformidad con dichos reglamentos.</w:t>
      </w:r>
    </w:p>
    <w:p w14:paraId="15D02F48" w14:textId="77777777" w:rsidR="00413A96" w:rsidRDefault="00413A96" w:rsidP="00413A96"/>
    <w:p w14:paraId="6EB2A8E8" w14:textId="77777777" w:rsidR="00413A96" w:rsidRDefault="00413A96" w:rsidP="00413A96">
      <w:r>
        <w:t>PARÁGRAFO PRIMERO. La reglamentación que expida el Gobierno Nacional en desarrollo del régimen a que hace alusión el presente artículo, dispondrá que las tierras sean entregadas exclusivamente a trabajadores agrarios de escasos recursos, de forma individual o asociativa.</w:t>
      </w:r>
    </w:p>
    <w:p w14:paraId="5706BE9F" w14:textId="77777777" w:rsidR="00413A96" w:rsidRDefault="00413A96" w:rsidP="00413A96"/>
    <w:p w14:paraId="38CBBACB" w14:textId="77777777" w:rsidR="00413A96" w:rsidRDefault="00413A96" w:rsidP="00413A96">
      <w:r>
        <w:t>PARÁGRAFO SEGUNDO. El régimen especial de ocupación, aprovechamiento y adjudicación también será aplicado sobre las tierras baldías que adquieran la condición de adjudicables como</w:t>
      </w:r>
    </w:p>
    <w:p w14:paraId="7AC9E033" w14:textId="77777777" w:rsidR="00413A96" w:rsidRDefault="00413A96" w:rsidP="00413A96">
      <w:r>
        <w:t xml:space="preserve"> </w:t>
      </w:r>
    </w:p>
    <w:p w14:paraId="2DAAF84B" w14:textId="77777777" w:rsidR="00413A96" w:rsidRDefault="00413A96" w:rsidP="00413A96">
      <w:r>
        <w:t>consecuencia de la sustracción de zonas de reserva forestal de Ley 2ª de 1959, siempre y cuando tengan vocación agrícola y/o forestal de producción”.</w:t>
      </w:r>
    </w:p>
    <w:p w14:paraId="13042127" w14:textId="77777777" w:rsidR="00413A96" w:rsidRDefault="00413A96" w:rsidP="00413A96"/>
    <w:p w14:paraId="207888B9" w14:textId="77777777" w:rsidR="00413A96" w:rsidRDefault="00413A96" w:rsidP="00413A96">
      <w:r>
        <w:t xml:space="preserve">ARTÍCULO 103. Formalización de la propiedad rural. Sin perjuicio de las disposiciones propias para la </w:t>
      </w:r>
      <w:r>
        <w:lastRenderedPageBreak/>
        <w:t>titulación de baldíos o regularización de bienes fiscales, el Ministerio de Agricultura y Desarrollo Rural o la entidad ejecutora que este determine, gestionará y financiará de forma progresiva la formalización de tierras de naturaleza privada, para otorgar títulos de propiedad legalmente registrados a los trabajadores agrarios y pobladores rurales de escasos recursos que tengan la calidad de poseedores. Esta posesión debe respetar las exigencias legales de la prescripción adquisitiva de dominio, sucesión, saneamiento de que trata la Ley 1561 de 2012 o ratificación notarial de negocios jurídicos, según sea el caso.</w:t>
      </w:r>
    </w:p>
    <w:p w14:paraId="4B21D37C" w14:textId="77777777" w:rsidR="00413A96" w:rsidRDefault="00413A96" w:rsidP="00413A96"/>
    <w:p w14:paraId="6BBB1150" w14:textId="77777777" w:rsidR="00413A96" w:rsidRDefault="00413A96" w:rsidP="00413A96">
      <w:r>
        <w:t>ARTÍCULO 104. Catastro multipropósito. Se promoverá la implementación del catastro nacional con enfoque multipropósito, entendido como aquel que dispone información predial para contribuir a la seguridad jurídica del derecho de propiedad inmueble, al fortalecimiento de los fiscos locales, al ordenamiento territorial y la planeación social y económica.</w:t>
      </w:r>
    </w:p>
    <w:p w14:paraId="02941F08" w14:textId="77777777" w:rsidR="00413A96" w:rsidRDefault="00413A96" w:rsidP="00413A96"/>
    <w:p w14:paraId="077717DA" w14:textId="77777777" w:rsidR="00413A96" w:rsidRDefault="00413A96" w:rsidP="00413A96">
      <w:r>
        <w:t>El Gobierno Nacional, a través del Instituto Geográfico Agustín Codazzi (IGAC) con el apoyo de los catastros descentralizados, podrá realizar las actividades necesarias para la formación y actualización catastral de manera gradual e integral, con fines adicionales a los fiscales señalados en la Ley 14 de 1983, logrando plena coherencia entre el catastro y el registro, mediante levantamientos por barrido y predial masivo, en los municipios y/o zonas priorizadas con el Departamento Administrativo Nacional de Estadística, el Departamento Nacional de Planeación, el Ministerio de Agricultura y Desarrollo Rural y el Ministerio de Ambiente y Desarrollo Sostenible, conforme con la metodología definida para el efecto.</w:t>
      </w:r>
    </w:p>
    <w:p w14:paraId="7EDAC489" w14:textId="77777777" w:rsidR="00413A96" w:rsidRDefault="00413A96" w:rsidP="00413A96"/>
    <w:p w14:paraId="29B2B166" w14:textId="77777777" w:rsidR="00413A96" w:rsidRDefault="00413A96" w:rsidP="00413A96">
      <w:r>
        <w:t>PARÁGRAFO. El Gobierno nacional reglamentará la implementación de un Sistema Nacional de Gestión de Tierras (SNGT), cuya base la constituirá la información del catastro multipropósito, del registro público de la propiedad y del ordenamiento territorial.</w:t>
      </w:r>
    </w:p>
    <w:p w14:paraId="474C6780" w14:textId="77777777" w:rsidR="00413A96" w:rsidRDefault="00413A96" w:rsidP="00413A96"/>
    <w:p w14:paraId="592B8459" w14:textId="77777777" w:rsidR="00413A96" w:rsidRDefault="00413A96" w:rsidP="00413A96">
      <w:r>
        <w:t>ARTÍCULO 105. Rectificación administrativa de área y linderos. Modifíquese el parágrafo del artículo 65° de la Ley 1579 de 2012, el cual quedará así:</w:t>
      </w:r>
    </w:p>
    <w:p w14:paraId="758124EB" w14:textId="77777777" w:rsidR="00413A96" w:rsidRDefault="00413A96" w:rsidP="00413A96"/>
    <w:p w14:paraId="76723C5C" w14:textId="77777777" w:rsidR="00413A96" w:rsidRDefault="00413A96" w:rsidP="00413A96">
      <w:r>
        <w:t>“PARÁGRAFO. Cuando las autoridades catastrales competentes, en desarrollo de la formación y/o actualización catastral rural y urbana bajo la metodología de intervención por barrido predial masivo con enfoque multipropósito, adviertan diferencias en los linderos y/o área de los predios entre la información levantada en terreno y la que reposa en sus bases de datos y/o registro público de la propiedad, procederán a rectificar dicha información siempre y cuando los titulares del derecho de dominio del predio y sus colindantes manifiesten pleno acuerdo respecto de los resultados de la corrección y esta no afecte derechos de terceros o colinde con bienes imprescriptibles o propiedad de entidades de derecho público, bienes de uso público, bienes fiscales, bienes fiscales adjudicables o baldíos o cuya posesión, ocupación o transferencia estén prohibidas o restringidas por normas constitucionales o legales.</w:t>
      </w:r>
    </w:p>
    <w:p w14:paraId="17829255" w14:textId="77777777" w:rsidR="00413A96" w:rsidRDefault="00413A96" w:rsidP="00413A96"/>
    <w:p w14:paraId="07347291" w14:textId="77777777" w:rsidR="00413A96" w:rsidRDefault="00413A96" w:rsidP="00413A96">
      <w:r>
        <w:t>En esos casos, no existiendo conflicto entre los titulares y una vez verificado por la correspondiente autoridad catastral que lo convenido por ellos se ajusta a la realidad física encontrada en terreno, el Registrador de Instrumentos Públicos rectificará conforme a ello la información de cabida y linderos de los inmuebles que repose en sus folios de matrícula inmobiliaria, sin que para ello se requiera de orden judicial.</w:t>
      </w:r>
    </w:p>
    <w:p w14:paraId="021BD42F" w14:textId="77777777" w:rsidR="00413A96" w:rsidRDefault="00413A96" w:rsidP="00413A96"/>
    <w:p w14:paraId="00A7C8B3" w14:textId="77777777" w:rsidR="00413A96" w:rsidRDefault="00413A96" w:rsidP="00413A96">
      <w:r>
        <w:t>El procedimiento para la corrección administrativa de linderos y área por acuerdo escrito entre las partes, así como los eventos en los que no sea aceptada, será objeto de reglamento por parte del Gobierno nacional”.</w:t>
      </w:r>
    </w:p>
    <w:p w14:paraId="3FCB224B" w14:textId="77777777" w:rsidR="00413A96" w:rsidRDefault="00413A96" w:rsidP="00413A96"/>
    <w:p w14:paraId="6EEF689C" w14:textId="77777777" w:rsidR="00413A96" w:rsidRDefault="00413A96" w:rsidP="00413A96">
      <w:r>
        <w:t>ARTÍCULO 106. Administración y recaudo de las contribuciones parafiscales agropecuarias y</w:t>
      </w:r>
    </w:p>
    <w:p w14:paraId="718D1FCE" w14:textId="77777777" w:rsidR="00413A96" w:rsidRDefault="00413A96" w:rsidP="00413A96">
      <w:r>
        <w:t xml:space="preserve"> </w:t>
      </w:r>
    </w:p>
    <w:p w14:paraId="4E0A1AD8" w14:textId="77777777" w:rsidR="00413A96" w:rsidRDefault="00413A96" w:rsidP="00413A96">
      <w:r>
        <w:t>pesqueras. La administración de todas las contribuciones parafiscales agropecuarias y pesqueras se realizará directamente por las entidades gremiales que reúnan condiciones de representatividad nacional de una actividad agropecuaria o pesquera determinada y hayan celebrado un contrato especial con el Gobierno nacional, sujeto a los términos y procedimientos de la ley que haya creado las contribuciones respectivas.</w:t>
      </w:r>
    </w:p>
    <w:p w14:paraId="74B4B7CB" w14:textId="77777777" w:rsidR="00413A96" w:rsidRDefault="00413A96" w:rsidP="00413A96"/>
    <w:p w14:paraId="53FBD317" w14:textId="77777777" w:rsidR="00413A96" w:rsidRDefault="00413A96" w:rsidP="00413A96">
      <w:r>
        <w:t>Las colectividades beneficiarias de contribuciones parafiscales agropecuarias y pesqueras también podrán administrar estos recursos a través de sociedades fiduciarias, previo contrato especial con el Gobierno nacional. Este procedimiento también se aplicará en casos de declaratoria de caducidad del respectivo contrato de administración.</w:t>
      </w:r>
    </w:p>
    <w:p w14:paraId="7EDE0C5E" w14:textId="77777777" w:rsidR="00413A96" w:rsidRDefault="00413A96" w:rsidP="00413A96"/>
    <w:p w14:paraId="278D6B62" w14:textId="77777777" w:rsidR="00413A96" w:rsidRDefault="00413A96" w:rsidP="00413A96">
      <w:r>
        <w:t xml:space="preserve">Si la entidad administradora no está en condiciones de garantizar el cumplimiento de las reglas y políticas que </w:t>
      </w:r>
      <w:r>
        <w:lastRenderedPageBreak/>
        <w:t>debe regir la ejecución de las contribuciones parafiscales, el Ministerio de Agricultura y Desarrollo Rural, por razones especiales definidas mediante reglamento, podrá asumir temporalmente, a través de un encargo fiduciario, la administración de dichas contribuciones y efectuar el recaudo.</w:t>
      </w:r>
    </w:p>
    <w:p w14:paraId="775D648B" w14:textId="77777777" w:rsidR="00413A96" w:rsidRDefault="00413A96" w:rsidP="00413A96"/>
    <w:p w14:paraId="54E70F72" w14:textId="77777777" w:rsidR="00413A96" w:rsidRDefault="00413A96" w:rsidP="00413A96">
      <w:r>
        <w:t>La fiducia será contratada de conformidad con las normas de contratación estatal.</w:t>
      </w:r>
    </w:p>
    <w:p w14:paraId="3F48786F" w14:textId="77777777" w:rsidR="00413A96" w:rsidRDefault="00413A96" w:rsidP="00413A96"/>
    <w:p w14:paraId="5A410301" w14:textId="77777777" w:rsidR="00413A96" w:rsidRDefault="00413A96" w:rsidP="00413A96">
      <w:r>
        <w:t>Mientras se surte el procedimiento de contratación de la fiducia, el Ministerio de Agricultura y Desarrollo Rural podrá realizar directamente el encargo fiduciario por término no mayor a 6 meses. En todo caso los rendimientos financieros de dicho encargo fiduciario no podrán ser inferiores al promedio de mercado.</w:t>
      </w:r>
    </w:p>
    <w:p w14:paraId="0B1D1E8D" w14:textId="77777777" w:rsidR="00413A96" w:rsidRDefault="00413A96" w:rsidP="00413A96"/>
    <w:p w14:paraId="7729AAE3" w14:textId="77777777" w:rsidR="00413A96" w:rsidRDefault="00413A96" w:rsidP="00413A96">
      <w:r>
        <w:t>Lo anterior igualmente procederá en caso de incumplimiento de las cláusulas del contrato especial de administración.</w:t>
      </w:r>
    </w:p>
    <w:p w14:paraId="148DB1FD" w14:textId="77777777" w:rsidR="00413A96" w:rsidRDefault="00413A96" w:rsidP="00413A96"/>
    <w:p w14:paraId="1AF20390" w14:textId="77777777" w:rsidR="00413A96" w:rsidRDefault="00413A96" w:rsidP="00413A96">
      <w:r>
        <w:t>PARÁGRAFO PRIMERO. Las entidades administradoras de los Fondos provenientes de contribuciones parafiscales agropecuarias y pesqueras podrán demandar por vía ejecutiva ante la jurisdicción ordinaria el pago de las mismas. Para este efecto, el representante legal de cada entidad expedirá, de acuerdo con la información que le suministre el Ministerio de Hacienda y Crédito Público, el certificado en el cual conste el monto de la deuda y su exigibilidad.</w:t>
      </w:r>
    </w:p>
    <w:p w14:paraId="517F7E2F" w14:textId="77777777" w:rsidR="00413A96" w:rsidRDefault="00413A96" w:rsidP="00413A96"/>
    <w:p w14:paraId="2318A6DF" w14:textId="77777777" w:rsidR="00413A96" w:rsidRDefault="00413A96" w:rsidP="00413A96">
      <w:r>
        <w:t>PARÁGRAFO SEGUNDO. El contribuyente o recaudador de la contribución parafiscal que no la pague o transfiera oportunamente a la entidad administradora, cancelará intereses de mora a la tasa señalada para el impuesto de renta y complementarios.</w:t>
      </w:r>
    </w:p>
    <w:p w14:paraId="03C66BAB" w14:textId="77777777" w:rsidR="00413A96" w:rsidRDefault="00413A96" w:rsidP="00413A96"/>
    <w:p w14:paraId="6E1D2A81" w14:textId="77777777" w:rsidR="00413A96" w:rsidRDefault="00413A96" w:rsidP="00413A96">
      <w:r>
        <w:t>PARÁGRAFO TERCERO. Los miembros de las juntas directivas de los fondos que manejen recursos parafiscales, distintos a aquellos que representen a entidades públicas, deberán ser elegidos por medios democráticos que garanticen la participación de los gravados con la cuota parafiscal respectiva.</w:t>
      </w:r>
    </w:p>
    <w:p w14:paraId="6FF47738" w14:textId="77777777" w:rsidR="00413A96" w:rsidRDefault="00413A96" w:rsidP="00413A96"/>
    <w:p w14:paraId="108E8FF7" w14:textId="77777777" w:rsidR="00413A96" w:rsidRDefault="00413A96" w:rsidP="00413A96">
      <w:r>
        <w:t>ARTÍCULO 107. Facultades extraordinarias para el desarrollo rural y agropecuario. De conformidad con lo establecido en el artículo 150, numeral 10, de la Constitución Política revístase al Presidente de la República de precisas facultades extraordinarias hasta por un término de seis (6) meses, contados a partir de la fecha de publicación de la presente ley, para:</w:t>
      </w:r>
    </w:p>
    <w:p w14:paraId="4835AA81" w14:textId="77777777" w:rsidR="00413A96" w:rsidRDefault="00413A96" w:rsidP="00413A96"/>
    <w:p w14:paraId="4DDB0468" w14:textId="77777777" w:rsidR="00413A96" w:rsidRDefault="00413A96" w:rsidP="00413A96">
      <w:r>
        <w:t>a)</w:t>
      </w:r>
      <w:r>
        <w:tab/>
        <w:t>Crear una entidad u organismo perteneciente a la rama ejecutiva del Orden Nacional del sector descentralizado, fijando su objeto y estructura orgánica, responsable de la administración de las tierras como recurso para el desarrollo rural, de la política de acceso a tierras y la gestión de la seguridad jurídica para consolidar y proteger los derechos de propiedad en el campo.</w:t>
      </w:r>
    </w:p>
    <w:p w14:paraId="6644F90C" w14:textId="77777777" w:rsidR="00413A96" w:rsidRDefault="00413A96" w:rsidP="00413A96"/>
    <w:p w14:paraId="7F133771" w14:textId="77777777" w:rsidR="00413A96" w:rsidRDefault="00413A96" w:rsidP="00413A96">
      <w:r>
        <w:t>b)</w:t>
      </w:r>
      <w:r>
        <w:tab/>
        <w:t>Crear una entidad u organismo perteneciente a la rama ejecutiva del Orden Nacional del sector descentralizado, fijando su objeto y estructura orgánica responsable de gestionar, promover y financiar el desarrollo rural y agropecuario con el fin de acercar al territorio la presencia institucional</w:t>
      </w:r>
    </w:p>
    <w:p w14:paraId="1F42F472" w14:textId="77777777" w:rsidR="00413A96" w:rsidRDefault="00413A96" w:rsidP="00413A96">
      <w:r>
        <w:t xml:space="preserve"> </w:t>
      </w:r>
    </w:p>
    <w:p w14:paraId="66A87FC5" w14:textId="77777777" w:rsidR="00413A96" w:rsidRDefault="00413A96" w:rsidP="00413A96">
      <w:r>
        <w:t>del orden nacional para la transformación del campo y adelantar programas con impacto regional.</w:t>
      </w:r>
    </w:p>
    <w:p w14:paraId="693A97E8" w14:textId="77777777" w:rsidR="00413A96" w:rsidRDefault="00413A96" w:rsidP="00413A96"/>
    <w:p w14:paraId="07E29C57" w14:textId="77777777" w:rsidR="00413A96" w:rsidRDefault="00413A96" w:rsidP="00413A96">
      <w:r>
        <w:t>c)</w:t>
      </w:r>
      <w:r>
        <w:tab/>
        <w:t>Reasignar funciones y competencias entre las entidades y organismos del sector Administrativo Agropecuario, Pesquero y de Desarrollo Rural y entre estas y otras entidades y organismos del Estado.</w:t>
      </w:r>
    </w:p>
    <w:p w14:paraId="1B946F27" w14:textId="77777777" w:rsidR="00413A96" w:rsidRDefault="00413A96" w:rsidP="00413A96"/>
    <w:p w14:paraId="2878F1D4" w14:textId="77777777" w:rsidR="00413A96" w:rsidRDefault="00413A96" w:rsidP="00413A96">
      <w:r>
        <w:t>d)</w:t>
      </w:r>
      <w:r>
        <w:tab/>
        <w:t>Crear las entidades u organismos que se requieran para desarrollar los objetivos que cumplían las entidades u organismos que se supriman, escindan, fusionen o transformen del sector Administrativo Agropecuario, Pesquero y de Desarrollo Rural.</w:t>
      </w:r>
    </w:p>
    <w:p w14:paraId="42E21082" w14:textId="77777777" w:rsidR="00413A96" w:rsidRDefault="00413A96" w:rsidP="00413A96"/>
    <w:p w14:paraId="75A0116E" w14:textId="77777777" w:rsidR="00413A96" w:rsidRDefault="00413A96" w:rsidP="00413A96">
      <w:r>
        <w:t>e)</w:t>
      </w:r>
      <w:r>
        <w:tab/>
        <w:t>Crear, reasignar, modificar y distribuir competencias, funciones u objetivos a la Comisión Nacional de Crédito Agropecuario y al Fondo de Financiamiento del Sector Agropecuario (Finagro) para diseñar e implementar políticas de financiamiento, de gestión de riegos agropecuarios y microfinanzas rurales, respetando en todo caso el esquema de inversión forzosa.</w:t>
      </w:r>
    </w:p>
    <w:p w14:paraId="18C9B0BC" w14:textId="77777777" w:rsidR="00413A96" w:rsidRDefault="00413A96" w:rsidP="00413A96"/>
    <w:p w14:paraId="0C8DD4DF" w14:textId="77777777" w:rsidR="00413A96" w:rsidRDefault="00413A96" w:rsidP="00413A96">
      <w:r>
        <w:t>f)</w:t>
      </w:r>
      <w:r>
        <w:tab/>
        <w:t>Ampliar las fuentes de financiación del fondo de microfinanzas rurales creado en la Ley 1731 de 2014.</w:t>
      </w:r>
    </w:p>
    <w:p w14:paraId="382C27CF" w14:textId="77777777" w:rsidR="00413A96" w:rsidRDefault="00413A96" w:rsidP="00413A96"/>
    <w:p w14:paraId="10FFFDE7" w14:textId="77777777" w:rsidR="00413A96" w:rsidRDefault="00413A96" w:rsidP="00413A96">
      <w:r>
        <w:t>g)</w:t>
      </w:r>
      <w:r>
        <w:tab/>
        <w:t xml:space="preserve">Realizar las modificaciones presupuestales necesarias para apropiar los gastos de funcionamiento e </w:t>
      </w:r>
      <w:r>
        <w:lastRenderedPageBreak/>
        <w:t>inversión para el cumplimiento de las funciones que se asignen a las entidades creadas, escindidas, suprimidas, fusionadas o reestructuradas en desarrollo de las facultades otorgadas por la presente ley.</w:t>
      </w:r>
    </w:p>
    <w:p w14:paraId="47BC4841" w14:textId="77777777" w:rsidR="00413A96" w:rsidRDefault="00413A96" w:rsidP="00413A96"/>
    <w:p w14:paraId="1D2CCE71" w14:textId="77777777" w:rsidR="00413A96" w:rsidRDefault="00413A96" w:rsidP="00413A96">
      <w:r>
        <w:t>h)</w:t>
      </w:r>
      <w:r>
        <w:tab/>
        <w:t>Crear una Dirección de Mujer Rural que se encargará de desarrollar la Política Pública Integral de Mujer Rural.</w:t>
      </w:r>
    </w:p>
    <w:p w14:paraId="5AF87CF2" w14:textId="77777777" w:rsidR="00413A96" w:rsidRDefault="00413A96" w:rsidP="00413A96"/>
    <w:p w14:paraId="09DE3D17" w14:textId="77777777" w:rsidR="00413A96" w:rsidRDefault="00413A96" w:rsidP="00413A96">
      <w:r>
        <w:t>PARÁGRAFO. De conformidad con el artículo 62 de la Ley 5ª de 1992, créase una comisión especial integrada por dos (2) Representantes y dos (2) Senadores de cada una de las Comisiones Primeras, Terceras, Cuartas y Quintas Constitucionales del Congreso de la República pertenecientes a cada uno de los partidos o movimientos políticos y una Congresista integrante de la Comisión Legal para la Equidad de la Mujer, la cual estará encargada de ejercer control político con el fin de realizar el seguimiento a las facultades conferidas.</w:t>
      </w:r>
    </w:p>
    <w:p w14:paraId="2DDA416C" w14:textId="77777777" w:rsidR="00413A96" w:rsidRDefault="00413A96" w:rsidP="00413A96"/>
    <w:p w14:paraId="290C8A34" w14:textId="77777777" w:rsidR="00413A96" w:rsidRDefault="00413A96" w:rsidP="00413A96">
      <w:r>
        <w:t>En el ejercicio de sus funciones, la comisión podrá solicitar informes, presentar peticiones, recomendaciones que tengan por objeto el desarrollo rural integral y la transformación productiva del campo. Tales funciones se ejercerán durante el término de vigencia de las facultades extraordinarias.</w:t>
      </w:r>
    </w:p>
    <w:p w14:paraId="611EA8AF" w14:textId="77777777" w:rsidR="00413A96" w:rsidRDefault="00413A96" w:rsidP="00413A96"/>
    <w:p w14:paraId="703A1976" w14:textId="77777777" w:rsidR="00413A96" w:rsidRDefault="00413A96" w:rsidP="00413A96">
      <w:r>
        <w:t>CAPÍTULO IV</w:t>
      </w:r>
    </w:p>
    <w:p w14:paraId="7FEFC68A" w14:textId="77777777" w:rsidR="00413A96" w:rsidRDefault="00413A96" w:rsidP="00413A96"/>
    <w:p w14:paraId="2CA093F2" w14:textId="77777777" w:rsidR="00413A96" w:rsidRDefault="00413A96" w:rsidP="00413A96">
      <w:r>
        <w:t>SEGURIDAD, JUSTICIA Y DEMOCRACIA PARA LA CONSTRUCCIÓN DE LA PAZ</w:t>
      </w:r>
    </w:p>
    <w:p w14:paraId="27586F7A" w14:textId="77777777" w:rsidR="00413A96" w:rsidRDefault="00413A96" w:rsidP="00413A96"/>
    <w:p w14:paraId="06B95684" w14:textId="77777777" w:rsidR="00413A96" w:rsidRDefault="00413A96" w:rsidP="00413A96">
      <w:r>
        <w:t>ARTÍCULO 108. Plan decenal del sistema de justicia. Con el objeto de promover la coordinación, eficiencia, eficacia y modernización en la administración de justicia y en las funciones de los organismos de control, el Ministerio de Justicia y del Derecho, el Departamento Nacional de Planeación, el Consejo Superior de la Judicatura, la Fiscalía General de la Nación, el Instituto Nacional de Medicina Legal y Ciencias Forenses, la Contraloría General de la República, la Procuraduría General de la Nación y la Defensoría del Pueblo o quienes hagan sus veces, concurrirán para la elaboración del Plan decenal del sistema de justicia, que deberá formularse dentro de los dos años siguientes a la publicación de la presente ley y con participación de las entidades territoriales, las autoridades administrativas, los particulares que ejercen funciones jurisdiccionales, los centros de conciliación y arbitraje y los operadores de justicia comunitaria. La secretaría técnica para la elaboración y seguimiento del Plan decenal estará a cargo del Ministerio de Justicia y del Derecho, el cual presentará informes anuales al Congreso de la República sobre los avances del Plan Decenal del Sistema de Justicia.</w:t>
      </w:r>
    </w:p>
    <w:p w14:paraId="0F38CC77" w14:textId="77777777" w:rsidR="00413A96" w:rsidRDefault="00413A96" w:rsidP="00413A96">
      <w:r>
        <w:t xml:space="preserve"> </w:t>
      </w:r>
    </w:p>
    <w:p w14:paraId="1108A1CA" w14:textId="77777777" w:rsidR="00413A96" w:rsidRDefault="00413A96" w:rsidP="00413A96">
      <w:r>
        <w:t>El plan decenal contendrá, cuando menos, los objetivos del sistema de justicia, el plan de acción interinstitucional para lograrlos, las metas institucionales e interinstitucionales, la definición de herramientas tecnológicas para la justicia, los compromisos específicos de cada prestador de servicios de justicia, las prioridades y criterios territoriales, los objetivos comunes en materia de bienestar social e incentivos, capacitación y seguridad para los empleados del sistema de justicia y la definición del mecanismo de seguimiento.</w:t>
      </w:r>
    </w:p>
    <w:p w14:paraId="13336A79" w14:textId="77777777" w:rsidR="00413A96" w:rsidRDefault="00413A96" w:rsidP="00413A96"/>
    <w:p w14:paraId="36885E41" w14:textId="77777777" w:rsidR="00413A96" w:rsidRDefault="00413A96" w:rsidP="00413A96">
      <w:r>
        <w:t>Las entidades señaladas en el presente artículo formularán el plan decenal de justicia, teniendo en cuenta los insumos y estudios técnicos pertinentes. Las entidades y organismos del Gobierno nacional, las universidades y los centros de investigación, las organizaciones de trabajadores y usuarios del sector justicia, podrán formular recomendaciones.</w:t>
      </w:r>
    </w:p>
    <w:p w14:paraId="2894A33B" w14:textId="77777777" w:rsidR="00413A96" w:rsidRDefault="00413A96" w:rsidP="00413A96"/>
    <w:p w14:paraId="6946CA13" w14:textId="77777777" w:rsidR="00413A96" w:rsidRDefault="00413A96" w:rsidP="00413A96">
      <w:r>
        <w:t>ARTÍCULO 109. Administración y destinación de bienes objeto de extinción de dominio. Adiciónese el inciso quinto al artículo 91 de la Ley 1708 de 2014, así:</w:t>
      </w:r>
    </w:p>
    <w:p w14:paraId="5BC32B38" w14:textId="77777777" w:rsidR="00413A96" w:rsidRDefault="00413A96" w:rsidP="00413A96"/>
    <w:p w14:paraId="695DE7E5" w14:textId="77777777" w:rsidR="00413A96" w:rsidRDefault="00413A96" w:rsidP="00413A96">
      <w:r>
        <w:t>“Los bienes, los rendimientos y los frutos que generen los bienes localizados en el departamento Archipiélago de San Andrés, Providencia y Santa Catalina, cuya extinción de dominio se haya decretado conforme a la presente ley deberán destinarse prioritariamente a programas sociales que beneficien a la población raizal”.</w:t>
      </w:r>
    </w:p>
    <w:p w14:paraId="52963340" w14:textId="77777777" w:rsidR="00413A96" w:rsidRDefault="00413A96" w:rsidP="00413A96"/>
    <w:p w14:paraId="67391024" w14:textId="77777777" w:rsidR="00413A96" w:rsidRDefault="00413A96" w:rsidP="00413A96">
      <w:r>
        <w:t xml:space="preserve">ARTÍCULO 110. Programa de Reintegración Social y Económica. Los recursos apropiados en el rubro de transferencias corrientes Fondo de Programas Especiales para la PAZ ­ Programa de Reintegración Social y Económica, dentro del objeto de gasto de funcionamiento de la Agencia Colombiana para la Reintegración de Personas y Grupos Alzados en Armas (ACR), se ejecutarán con sujeción al régimen dispuesto en la Ley 434 de 1998 o la norma que lo modifique o adicione, en circunstancias de necesidad debidamente sustentadas por la ACR, relativas a procesos de desmovilización colectiva o incrementos de las desmovilizaciones individuales, </w:t>
      </w:r>
      <w:r>
        <w:lastRenderedPageBreak/>
        <w:t>en todo caso con plena observancia de los principios orientadores del Estatuto General de la Contratación Pública.</w:t>
      </w:r>
    </w:p>
    <w:p w14:paraId="132D1284" w14:textId="77777777" w:rsidR="00413A96" w:rsidRDefault="00413A96" w:rsidP="00413A96"/>
    <w:p w14:paraId="432C18D6" w14:textId="77777777" w:rsidR="00413A96" w:rsidRDefault="00413A96" w:rsidP="00413A96">
      <w:r>
        <w:t>ARTÍCULO 111. Protocolización Consultas Previas. Harán parte integral de este Plan Nacional de Desarrollo, los acuerdos de la “Protocolización de la Consulta Previa al Plan Nacional de Desarrollo 2014­2018 con Grupos Étnicos”.</w:t>
      </w:r>
    </w:p>
    <w:p w14:paraId="0DC19D24" w14:textId="77777777" w:rsidR="00413A96" w:rsidRDefault="00413A96" w:rsidP="00413A96"/>
    <w:p w14:paraId="57B627EC" w14:textId="77777777" w:rsidR="00413A96" w:rsidRDefault="00413A96" w:rsidP="00413A96">
      <w:r>
        <w:t>ARTÍCULO 112. Decenio Internacional de los Afrodescendientes. El Ministerio del Interior elaborará el plan intersectorial de acción del Decenio Internacional de los Afrodescendientes en el marco de la Resolución 68/237, adoptada por la Organización de las Naciones Unidas. En la elaboración del plan se consultarán instancias de carácter técnico, tales como instituciones académicas, gremiales y sociales. El plan se orientará a garantizar el reconocimiento, la justicia y el desarrollo de las poblaciones afrocolombiana y contendrá medidas tendientes a garantizar la igualdad de oportunidades de dicha población.</w:t>
      </w:r>
    </w:p>
    <w:p w14:paraId="02266B45" w14:textId="77777777" w:rsidR="00413A96" w:rsidRDefault="00413A96" w:rsidP="00413A96"/>
    <w:p w14:paraId="16EDE413" w14:textId="77777777" w:rsidR="00413A96" w:rsidRDefault="00413A96" w:rsidP="00413A96">
      <w:r>
        <w:t>Para el desarrollo de los programas, proyectos y acciones en beneficio de la población afrodescendiente el Gobierno nacional establecerá indicadores diferenciales y metas que permitan medir la inclusión social en diversos sectores relacionados con políticas sociales.</w:t>
      </w:r>
    </w:p>
    <w:p w14:paraId="3F53749D" w14:textId="77777777" w:rsidR="00413A96" w:rsidRDefault="00413A96" w:rsidP="00413A96"/>
    <w:p w14:paraId="7FAD6EFE" w14:textId="77777777" w:rsidR="00413A96" w:rsidRDefault="00413A96" w:rsidP="00413A96">
      <w:r>
        <w:t>ARTÍCULO 113. Derechos constitucionales de los indígenas. En lo concerniente a los pueblos indígenas, el Plan Nacional de Desarrollo 2014­2018 y las acciones que de este se deriven, se orientan a garantizar los derechos constitucionales, la pervivencia y permanencia física y cultural de los Pueblos Indígenas de Colombia, su bienestar, el reconocimiento de la vocación de protección ambiental sus territorios (sic) y el goce efectivo de sus derechos colectivos y fundamentales.</w:t>
      </w:r>
    </w:p>
    <w:p w14:paraId="3B87FCD0" w14:textId="77777777" w:rsidR="00413A96" w:rsidRDefault="00413A96" w:rsidP="00413A96"/>
    <w:p w14:paraId="6AFA78D3" w14:textId="77777777" w:rsidR="00413A96" w:rsidRDefault="00413A96" w:rsidP="00413A96">
      <w:r>
        <w:t>ARTÍCULO 114. Identificación de asignaciones presupuestales a Pueblos Indígenas. Las entidades estatales del Orden Nacional, conforme a sus competencias, podrán identificar las asignaciones presupuestales específicas para los Pueblos Indígenas y presentarán al Departamento Nacional de Planeación la información desagregada.</w:t>
      </w:r>
    </w:p>
    <w:p w14:paraId="25FA1883" w14:textId="77777777" w:rsidR="00413A96" w:rsidRDefault="00413A96" w:rsidP="00413A96">
      <w:r>
        <w:t xml:space="preserve"> </w:t>
      </w:r>
    </w:p>
    <w:p w14:paraId="068B15C3" w14:textId="77777777" w:rsidR="00413A96" w:rsidRDefault="00413A96" w:rsidP="00413A96"/>
    <w:p w14:paraId="20CE87D9" w14:textId="77777777" w:rsidR="00413A96" w:rsidRDefault="00413A96" w:rsidP="00413A96">
      <w:r>
        <w:t>ARTÍCULO 115. Elaboración de presupuestos. Durante cada vigencia fiscal, como parte de la elaboración de los anteproyectos de presupuesto de cada sección presupuestal, se señalarán de manera específica las partidas presupuestales destinadas a cumplir los acuerdos con los Pueblos Indígenas establecidos en el Plan Nacional de Desarrollo.</w:t>
      </w:r>
    </w:p>
    <w:p w14:paraId="2E3E578A" w14:textId="77777777" w:rsidR="00413A96" w:rsidRDefault="00413A96" w:rsidP="00413A96"/>
    <w:p w14:paraId="28B11C74" w14:textId="77777777" w:rsidR="00413A96" w:rsidRDefault="00413A96" w:rsidP="00413A96">
      <w:r>
        <w:t>Antes del envío de los anteproyectos al Ministerio de Hacienda y Crédito Público, se convocará a la Mesa Permanente de Concertación, con el objeto de analizar y revisar la correspondencia con lo establecido en el Plan Nacional de Desarrollo.</w:t>
      </w:r>
    </w:p>
    <w:p w14:paraId="2D9D6762" w14:textId="77777777" w:rsidR="00413A96" w:rsidRDefault="00413A96" w:rsidP="00413A96"/>
    <w:p w14:paraId="0A93DAE5" w14:textId="77777777" w:rsidR="00413A96" w:rsidRDefault="00413A96" w:rsidP="00413A96">
      <w:r>
        <w:t>ARTÍCULO 116. Seguimiento de políticas para los Pueblos Indígenas. Las estrategias y metas acordadas con los Pueblos Indígenas serán objeto de especial seguimiento. El Departamento Nacional de Planeación incluirá en el Sistema Nacional de Gestión y Resultados (Sinergia), un componente especial para Pueblos Indígenas, mediante el diseño y definición concertada de un tablero de control con indicadores culturalmente adecuados.</w:t>
      </w:r>
    </w:p>
    <w:p w14:paraId="654130D2" w14:textId="77777777" w:rsidR="00413A96" w:rsidRDefault="00413A96" w:rsidP="00413A96"/>
    <w:p w14:paraId="10FAD9E2" w14:textId="77777777" w:rsidR="00413A96" w:rsidRDefault="00413A96" w:rsidP="00413A96">
      <w:r>
        <w:t>PARÁGRAFO PRIMERO. El Gobierno Nacional, a través de la Mesa Permanente de Concertación, pondrá a disposición de los Pueblos Indígenas el acceso a información suficiente y oportuna para que pueda realizar el ejercicio propio de seguimiento y evaluación.</w:t>
      </w:r>
    </w:p>
    <w:p w14:paraId="028574AB" w14:textId="77777777" w:rsidR="00413A96" w:rsidRDefault="00413A96" w:rsidP="00413A96"/>
    <w:p w14:paraId="54D97520" w14:textId="77777777" w:rsidR="00413A96" w:rsidRDefault="00413A96" w:rsidP="00413A96">
      <w:r>
        <w:t>PARÁGRAFO SEGUNDO. El Gobierno Nacional presentará cada año, en el mes de abril, un informe consolidado de la implementación de acciones y ejecución de los recursos presupuestales para Pueblos Indígenas. En este informe debe ser clara la identificación de acciones y de la población indígena beneficiada.</w:t>
      </w:r>
    </w:p>
    <w:p w14:paraId="356F1E86" w14:textId="77777777" w:rsidR="00413A96" w:rsidRDefault="00413A96" w:rsidP="00413A96"/>
    <w:p w14:paraId="02F2D99E" w14:textId="77777777" w:rsidR="00413A96" w:rsidRDefault="00413A96" w:rsidP="00413A96">
      <w:r>
        <w:t>PARÁGRAFO TERCERO. El Gobierno Nacional seguirá impulsando la construcción y puesta en funcionamiento de los pueblos indígenas culturales del cordón ambiental y tradicional de la Sierra Nevada de Santa Marta, así como la conservación del territorio ancestral Arhuaco a través de la implementación del “Programa Guardabosques Corazón del Mundo”.</w:t>
      </w:r>
    </w:p>
    <w:p w14:paraId="39933B32" w14:textId="77777777" w:rsidR="00413A96" w:rsidRDefault="00413A96" w:rsidP="00413A96"/>
    <w:p w14:paraId="6052BADE" w14:textId="77777777" w:rsidR="00413A96" w:rsidRDefault="00413A96" w:rsidP="00413A96">
      <w:r>
        <w:t xml:space="preserve">ARTÍCULO 117. Política pública para la protección de derechos de las familias, mujeres, niñas y niños jóvenes </w:t>
      </w:r>
      <w:r>
        <w:lastRenderedPageBreak/>
        <w:t>y mayores indígenas. El Gobierno Nacional adoptará, previa consulta y concertación, una política pública nacional integral diferencial para Pueblos Indígenas que garantice la protección de los derechos humanos de las familias, mujeres, niñas y niños, jóvenes y mayores indígenas.</w:t>
      </w:r>
    </w:p>
    <w:p w14:paraId="60D7AEFD" w14:textId="77777777" w:rsidR="00413A96" w:rsidRDefault="00413A96" w:rsidP="00413A96"/>
    <w:p w14:paraId="4D60FFAB" w14:textId="77777777" w:rsidR="00413A96" w:rsidRDefault="00413A96" w:rsidP="00413A96">
      <w:r>
        <w:t>ARTÍCULO 118. Criterios de salida de la ruta de Reparación Administrativa. Con el fin de establecer los criterios de salida de la ruta de reparación administrativa de las víctimas en sus dimensiones individual y colectiva, la Unidad Administrativa Especial de Atención y Reparación a Víctimas, el Departamento para la Prosperidad Social y el Departamento Nacional de Planeación, definirán una metodología para determinar el momento en el cual una persona se encuentra reparada por el daño por el cual fue reconocido como víctima del conflicto armado.</w:t>
      </w:r>
    </w:p>
    <w:p w14:paraId="1D3D2235" w14:textId="77777777" w:rsidR="00413A96" w:rsidRDefault="00413A96" w:rsidP="00413A96"/>
    <w:p w14:paraId="4D5611FC" w14:textId="77777777" w:rsidR="00413A96" w:rsidRDefault="00413A96" w:rsidP="00413A96">
      <w:r>
        <w:t>Para este efecto, el Gobierno Nacional reglamentará las acciones y condiciones con las cuales se entiende que el Estado ha garantizado la reparación administrativa de las víctimas individuales y colectivas.</w:t>
      </w:r>
    </w:p>
    <w:p w14:paraId="79FCDC5E" w14:textId="77777777" w:rsidR="00413A96" w:rsidRDefault="00413A96" w:rsidP="00413A96"/>
    <w:p w14:paraId="749EEA98" w14:textId="77777777" w:rsidR="00413A96" w:rsidRDefault="00413A96" w:rsidP="00413A96">
      <w:r>
        <w:t>ARTÍCULO 119. Exenciones de pago de derechos notariales y registrales. No se causarán derechos notariales ni registrales para ninguna de las partes independientemente de su naturaleza jurídica, en los negocios jurídicos que se describen a continuación, cuando las viviendas objeto de los mismos hayan sido desarrolladas con la financiación o cofinanciación de subsidios familiares de vivienda otorgados por las entidades facultadas por la ley para el efecto:</w:t>
      </w:r>
    </w:p>
    <w:p w14:paraId="0F9AD184" w14:textId="77777777" w:rsidR="00413A96" w:rsidRDefault="00413A96" w:rsidP="00413A96"/>
    <w:p w14:paraId="41647804" w14:textId="77777777" w:rsidR="00413A96" w:rsidRDefault="00413A96" w:rsidP="00413A96">
      <w:r>
        <w:t>a)</w:t>
      </w:r>
      <w:r>
        <w:tab/>
        <w:t>Constitución de propiedad horizontal, cuando todos los bienes de dominio particular que conformen el edificio o conjunto sean viviendas de interés prioritario.</w:t>
      </w:r>
    </w:p>
    <w:p w14:paraId="465CFABC" w14:textId="77777777" w:rsidR="00413A96" w:rsidRDefault="00413A96" w:rsidP="00413A96">
      <w:r>
        <w:t xml:space="preserve"> </w:t>
      </w:r>
    </w:p>
    <w:p w14:paraId="780BCA7F" w14:textId="77777777" w:rsidR="00413A96" w:rsidRDefault="00413A96" w:rsidP="00413A96"/>
    <w:p w14:paraId="77645FEC" w14:textId="77777777" w:rsidR="00413A96" w:rsidRDefault="00413A96" w:rsidP="00413A96">
      <w:r>
        <w:t>b)</w:t>
      </w:r>
      <w:r>
        <w:tab/>
        <w:t>Adquisición de viviendas de interés prioritario nuevas, incluido el leasing habitacional de vivienda de interés prioritario nueva, cuando se ejerza la opción de compra.</w:t>
      </w:r>
    </w:p>
    <w:p w14:paraId="60C0CF40" w14:textId="77777777" w:rsidR="00413A96" w:rsidRDefault="00413A96" w:rsidP="00413A96"/>
    <w:p w14:paraId="5FDBC774" w14:textId="77777777" w:rsidR="00413A96" w:rsidRDefault="00413A96" w:rsidP="00413A96">
      <w:r>
        <w:t>c)</w:t>
      </w:r>
      <w:r>
        <w:tab/>
        <w:t>Adquisición de viviendas de interés prioritario usadas, incluido el leasing habitacional de vivienda de interés prioritario usada, cuando se ejerza la opción de compra, en los eventos en que el adquiriente se encuentre en alguna de las condiciones a que se refiere el artículo 12 de la Ley 1537 de 2012.</w:t>
      </w:r>
    </w:p>
    <w:p w14:paraId="0D7F9AFD" w14:textId="77777777" w:rsidR="00413A96" w:rsidRDefault="00413A96" w:rsidP="00413A96"/>
    <w:p w14:paraId="73699A53" w14:textId="77777777" w:rsidR="00413A96" w:rsidRDefault="00413A96" w:rsidP="00413A96">
      <w:r>
        <w:t>d)</w:t>
      </w:r>
      <w:r>
        <w:tab/>
        <w:t>Constitución de hipoteca de viviendas de interés prioritario nuevas.</w:t>
      </w:r>
    </w:p>
    <w:p w14:paraId="355247C2" w14:textId="77777777" w:rsidR="00413A96" w:rsidRDefault="00413A96" w:rsidP="00413A96"/>
    <w:p w14:paraId="30979CA4" w14:textId="77777777" w:rsidR="00413A96" w:rsidRDefault="00413A96" w:rsidP="00413A96">
      <w:r>
        <w:t>e)</w:t>
      </w:r>
      <w:r>
        <w:tab/>
        <w:t>Constitución de hipoteca de viviendas de interés prioritario usadas, en los eventos en que el adquiriente se encuentre en alguna de las condiciones a que se refiere el artículo 12 de la Ley 1537 de 2012.</w:t>
      </w:r>
    </w:p>
    <w:p w14:paraId="43611E23" w14:textId="77777777" w:rsidR="00413A96" w:rsidRDefault="00413A96" w:rsidP="00413A96"/>
    <w:p w14:paraId="7FCE0764" w14:textId="77777777" w:rsidR="00413A96" w:rsidRDefault="00413A96" w:rsidP="00413A96">
      <w:r>
        <w:t>f)</w:t>
      </w:r>
      <w:r>
        <w:tab/>
        <w:t>Afectación a la vivienda familiar y/o constitución de patrimonio de familia de viviendas de interés prioritario nuevas.</w:t>
      </w:r>
    </w:p>
    <w:p w14:paraId="1DFE9000" w14:textId="77777777" w:rsidR="00413A96" w:rsidRDefault="00413A96" w:rsidP="00413A96"/>
    <w:p w14:paraId="49E70F77" w14:textId="77777777" w:rsidR="00413A96" w:rsidRDefault="00413A96" w:rsidP="00413A96">
      <w:r>
        <w:t>g)</w:t>
      </w:r>
      <w:r>
        <w:tab/>
        <w:t>Afectación a vivienda familiar y/o constitución de patrimonio de familia de viviendas de interés prioritario usadas, en los eventos en que quien realiza la afectación o constituye el patrimonio de familia, se encuentre en alguna de las condiciones a que se refiere el artículo 12 de la Ley 1537 de 2012.</w:t>
      </w:r>
    </w:p>
    <w:p w14:paraId="40491C4D" w14:textId="77777777" w:rsidR="00413A96" w:rsidRDefault="00413A96" w:rsidP="00413A96"/>
    <w:p w14:paraId="4FCF882B" w14:textId="77777777" w:rsidR="00413A96" w:rsidRDefault="00413A96" w:rsidP="00413A96">
      <w:r>
        <w:t>h)</w:t>
      </w:r>
      <w:r>
        <w:tab/>
        <w:t>Protocolización en notaría de la inversión del subsidio familiar de vivienda de interés social rural y/o afectación a vivienda familiar y/o constitución de patrimonio de familia de soluciones de vivienda de interés social rural nueva y mejorada.</w:t>
      </w:r>
    </w:p>
    <w:p w14:paraId="67A7BD6C" w14:textId="77777777" w:rsidR="00413A96" w:rsidRDefault="00413A96" w:rsidP="00413A96"/>
    <w:p w14:paraId="291AD657" w14:textId="77777777" w:rsidR="00413A96" w:rsidRDefault="00413A96" w:rsidP="00413A96">
      <w:r>
        <w:t>El Gobierno Nacional reglamentará la forma en que los interesados acreditarán que se encuentran en alguna de las condiciones a que se refiere el artículo 12 de la Ley 1537 de 2012, cuando sea el caso y las demás condiciones que deberán cumplir los interesados en acceder a las exenciones previstas en el presente artículo, las cuales deberán ser acreditadas ante el notario y la Oficina de Registro de Instrumentos Públicos correspondiente.</w:t>
      </w:r>
    </w:p>
    <w:p w14:paraId="059D95FC" w14:textId="77777777" w:rsidR="00413A96" w:rsidRDefault="00413A96" w:rsidP="00413A96"/>
    <w:p w14:paraId="098F97E0" w14:textId="77777777" w:rsidR="00413A96" w:rsidRDefault="00413A96" w:rsidP="00413A96">
      <w:r>
        <w:t>Para efectos de la aplicación del presente artículo se acudirá a la definición de vivienda de interés prioritario establecida en las normas vigentes.</w:t>
      </w:r>
    </w:p>
    <w:p w14:paraId="64C2301C" w14:textId="77777777" w:rsidR="00413A96" w:rsidRDefault="00413A96" w:rsidP="00413A96"/>
    <w:p w14:paraId="08BC83CF" w14:textId="77777777" w:rsidR="00413A96" w:rsidRDefault="00413A96" w:rsidP="00413A96">
      <w:r>
        <w:t xml:space="preserve">PARÁGRAFO. Los gravámenes hipotecarios, condiciones resolutorias, pactos comisorios y/o cualquier otra limitación al dominio que recaiga sobre inmuebles adjudicados, enajenados, transferidos, cedidos o asignados </w:t>
      </w:r>
      <w:r>
        <w:lastRenderedPageBreak/>
        <w:t>por el extinto Instituto de Crédito Territorial y/o por la Unidad Administrativa Especial liquidadora de asuntos del Instituto de Crédito Territorial (UAE­ICT), y/o el Instituto Nacional de Vivienda de Interés Social y Reforma Urbana (Inurbe) serán cancelados con la presentación del acto administrativo expedido por la autoridad competente, que ordene dicha cancelación, ante la respectiva Oficina de Registro de Instrumentos Públicos, sin que genere cobro de derechos registrales.</w:t>
      </w:r>
    </w:p>
    <w:p w14:paraId="43194350" w14:textId="77777777" w:rsidR="00413A96" w:rsidRDefault="00413A96" w:rsidP="00413A96"/>
    <w:p w14:paraId="3B3826DC" w14:textId="77777777" w:rsidR="00413A96" w:rsidRDefault="00413A96" w:rsidP="00413A96">
      <w:r>
        <w:t>ARTÍCULO 120. Enfoque psicosocial. Adiciónese el parágrafo segundo del artículo 137 de la Ley 1448 de 2011, el cual quedará así:</w:t>
      </w:r>
    </w:p>
    <w:p w14:paraId="743794BE" w14:textId="77777777" w:rsidR="00413A96" w:rsidRDefault="00413A96" w:rsidP="00413A96"/>
    <w:p w14:paraId="13524087" w14:textId="77777777" w:rsidR="00413A96" w:rsidRDefault="00413A96" w:rsidP="00413A96">
      <w:r>
        <w:t>“PARÁGRAFO SEGUNDO. El Gobierno Nacional, a través del Departamento para la Prosperidad Social, el Instituto Colombiano de Bienestar Familiar, la Unidad Administrativa Especial de Atención y Reparación a Víctimas y el Ministerio de Salud y Protección Social, complementará las acciones del Programa de Atención Psicosocial y Salud Integral a Víctimas, a fin de avanzar en la rehabilitación y recuperación emocional con enfoque psicosocial de las víctimas, organizaciones y comunidades que han sufrido daño a causa del conflicto armado”.</w:t>
      </w:r>
    </w:p>
    <w:p w14:paraId="55822620" w14:textId="77777777" w:rsidR="00413A96" w:rsidRDefault="00413A96" w:rsidP="00413A96"/>
    <w:p w14:paraId="7CFD8478" w14:textId="77777777" w:rsidR="00413A96" w:rsidRDefault="00413A96" w:rsidP="00413A96">
      <w:r>
        <w:t>ARTÍCULO 121. Reparación Colectiva. Infraestructura social y comunitaria como medidas de</w:t>
      </w:r>
    </w:p>
    <w:p w14:paraId="24CFF08C" w14:textId="77777777" w:rsidR="00413A96" w:rsidRDefault="00413A96" w:rsidP="00413A96">
      <w:r>
        <w:t xml:space="preserve"> </w:t>
      </w:r>
    </w:p>
    <w:p w14:paraId="584BF590" w14:textId="77777777" w:rsidR="00413A96" w:rsidRDefault="00413A96" w:rsidP="00413A96">
      <w:r>
        <w:t>reparación colectiva. Las entidades del Sistema Nacional de Atención y Reparación Integral a las víctimas (SNARIV) podrán desarrollar obras de infraestructura social, educativa y comunitaria, en el marco de su competencia y respetando las disponibilidades presupuestales, como medida de reparación para sujetos de reparación colectiva, incluidos en el Registro Único de Víctimas. Estas medidas responderán al Plan de Reparación Colectiva y se ajustarán al correspondiente diagnóstico del daño ocasionado por el conflicto armado, en los términos de la Ley 1448 de 2011. Estas medidas se desarrollarán en bienes inmuebles de propiedad de las personas jurídicas que sean sujetos de reparación colectiva.</w:t>
      </w:r>
    </w:p>
    <w:p w14:paraId="751872D2" w14:textId="77777777" w:rsidR="00413A96" w:rsidRDefault="00413A96" w:rsidP="00413A96"/>
    <w:p w14:paraId="45F9D681" w14:textId="77777777" w:rsidR="00413A96" w:rsidRDefault="00413A96" w:rsidP="00413A96">
      <w:r>
        <w:t>ARTÍCULO 122. Componente de alimentación en la atención integral a las víctimas. Modifíquese los siguientes parágrafos de los artículos 47, 65 y 66 de la Ley 1448 de 2011, los cuales quedarán así:</w:t>
      </w:r>
    </w:p>
    <w:p w14:paraId="1CA6E237" w14:textId="77777777" w:rsidR="00413A96" w:rsidRDefault="00413A96" w:rsidP="00413A96"/>
    <w:p w14:paraId="4941192B" w14:textId="77777777" w:rsidR="00413A96" w:rsidRDefault="00413A96" w:rsidP="00413A96">
      <w:r>
        <w:t>“ARTÍCULO 47. (...)</w:t>
      </w:r>
    </w:p>
    <w:p w14:paraId="616F6182" w14:textId="77777777" w:rsidR="00413A96" w:rsidRDefault="00413A96" w:rsidP="00413A96"/>
    <w:p w14:paraId="08FC9EBB" w14:textId="77777777" w:rsidR="00413A96" w:rsidRDefault="00413A96" w:rsidP="00413A96">
      <w:r>
        <w:t>PARÁGRAFO 1°. Las entidades territoriales en primera instancia y la Unidad Administrativa Especial de Atención y Reparación a Víctimas subsidiariamente deberán prestar el alojamiento y alimentación transitoria en condiciones dignas y de manera inmediata a la violación de los derechos o en el momento en que las autoridades tengan conocimiento de la misma”.</w:t>
      </w:r>
    </w:p>
    <w:p w14:paraId="5E6231FD" w14:textId="77777777" w:rsidR="00413A96" w:rsidRDefault="00413A96" w:rsidP="00413A96"/>
    <w:p w14:paraId="7824B0BE" w14:textId="77777777" w:rsidR="00413A96" w:rsidRDefault="00413A96" w:rsidP="00413A96">
      <w:r>
        <w:t>“ARTÍCULO 65. (...)</w:t>
      </w:r>
    </w:p>
    <w:p w14:paraId="329D5033" w14:textId="77777777" w:rsidR="00413A96" w:rsidRDefault="00413A96" w:rsidP="00413A96"/>
    <w:p w14:paraId="581A9303" w14:textId="77777777" w:rsidR="00413A96" w:rsidRDefault="00413A96" w:rsidP="00413A96">
      <w:r>
        <w:t>PARÁGRAFO 1°. La Unidad Administrativa Especial para la Atención y Reparación Integral a las Víctimas (UARIV) deberá adelantar las acciones pertinentes para garantizar la alimentación de los hogares en situación de desplazamiento. De igual forma lo hará en coordinación con los entes territoriales para garantizar el alojamiento temporal de la población en situación de desplazamiento.</w:t>
      </w:r>
    </w:p>
    <w:p w14:paraId="0E86B5CE" w14:textId="77777777" w:rsidR="00413A96" w:rsidRDefault="00413A96" w:rsidP="00413A96"/>
    <w:p w14:paraId="60F95FE6" w14:textId="77777777" w:rsidR="00413A96" w:rsidRDefault="00413A96" w:rsidP="00413A96">
      <w:r>
        <w:t>A partir de la vigencia de la presente ley, el Gobierno Nacional programará en el Proyecto de Presupuesto General de la Nación los recursos que venía ejecutando el Instituto Colombiano de Bienestar Familiar a los que se refieren los anteriores parágrafos en el presupuesto de la UARIV”.</w:t>
      </w:r>
    </w:p>
    <w:p w14:paraId="59E0E002" w14:textId="77777777" w:rsidR="00413A96" w:rsidRDefault="00413A96" w:rsidP="00413A96"/>
    <w:p w14:paraId="22FE8452" w14:textId="77777777" w:rsidR="00413A96" w:rsidRDefault="00413A96" w:rsidP="00413A96">
      <w:r>
        <w:t>“ARTÍCULO 66. (...)</w:t>
      </w:r>
    </w:p>
    <w:p w14:paraId="1926FE3B" w14:textId="77777777" w:rsidR="00413A96" w:rsidRDefault="00413A96" w:rsidP="00413A96"/>
    <w:p w14:paraId="07F3D901" w14:textId="77777777" w:rsidR="00413A96" w:rsidRDefault="00413A96" w:rsidP="00413A96">
      <w:r>
        <w:t xml:space="preserve">Parágrafo 1°. La Unidad Administrativa Especial para la Atención y Reparación Integral a las Víctimas (UARIV) deberá adelantar las acciones pertinentes ante las distintas entidades que conforman el Sistema Nacional de Atención y Reparación a las Víctimas para garantizar la efectiva atención integral a la población retornada o reubicada, especialmente en lo relacionado con los derechos mínimos de identificación a cargo de la Registraduría Nacional del Estado Civil, salud a cargo del Ministerio de Salud y Protección Social, educación a cargo del Ministerio de Educación Nacional, reunificación familiar a cargo del Instituto Colombiano de Bienestar Familiar, vivienda digna a cargo del Ministerio de Ambiente, Vivienda y Desarrollo Territorial cuando se trate de vivienda urbana, y a cargo del Ministerio de Agricultura y Desarrollo Rural cuando se trate de vivienda rural, orientación ocupacional a cargo del Servicio Nacional de Aprendizaje. El componente de alimentación en la </w:t>
      </w:r>
      <w:r>
        <w:lastRenderedPageBreak/>
        <w:t>atención humanitaria para los procesos de retornos y reubicaciones de la población desplazada quedará a cargo de la UARIV”.</w:t>
      </w:r>
    </w:p>
    <w:p w14:paraId="30D8BE5A" w14:textId="77777777" w:rsidR="00413A96" w:rsidRDefault="00413A96" w:rsidP="00413A96"/>
    <w:p w14:paraId="060B4503" w14:textId="77777777" w:rsidR="00413A96" w:rsidRDefault="00413A96" w:rsidP="00413A96">
      <w:r>
        <w:t>ARTÍCULO 123. Derechos Humanos y prevención del reclutamiento, utilización y violencia sexual contra niños, niñas y adolescentes por grupos armados al margen de la Ley y por grupos de delincuencia organizada. La Consejería Presidencial para los Derechos Humanos o quien haga sus veces, articulará, coordinará y supervisará la implementación de la Política Integral de Derechos Humanos de acuerdo con la “Estrategia Nacional para la Garantía de los Derechos Humanos 2014­2034”. Dicha política se implementará a nivel nacional y territorial, e incorporará el Enfoque Basado en Derechos Humanos (EBDH) como herramienta esencial para el diseño, formulación, implementación, evaluación, ajuste y rendición de cuentas de todas las políticas públicas. Las entidades territoriales podrán incluir en sus planes de desarrollo las estrategias, metas y objetivos</w:t>
      </w:r>
    </w:p>
    <w:p w14:paraId="79632E0C" w14:textId="77777777" w:rsidR="00413A96" w:rsidRDefault="00413A96" w:rsidP="00413A96">
      <w:r>
        <w:t xml:space="preserve"> </w:t>
      </w:r>
    </w:p>
    <w:p w14:paraId="6CEA77C5" w14:textId="77777777" w:rsidR="00413A96" w:rsidRDefault="00413A96" w:rsidP="00413A96">
      <w:r>
        <w:t>que permitan la realización del EBDH.</w:t>
      </w:r>
    </w:p>
    <w:p w14:paraId="7A01B2AE" w14:textId="77777777" w:rsidR="00413A96" w:rsidRDefault="00413A96" w:rsidP="00413A96"/>
    <w:p w14:paraId="2E30AFA1" w14:textId="77777777" w:rsidR="00413A96" w:rsidRDefault="00413A96" w:rsidP="00413A96">
      <w:r>
        <w:t>Así mismo, impulsará el diseño, coordinación, articulación y seguimiento de la Política para la prevención del reclutamiento, utilización y violencia sexual contra niños, niñas y adolescentes por grupos armados al margen de la ley y por grupos de delincuencia organizada, incorporando a su vez, un enfoque diferencial étnico para los pueblos indígenas, las comunidades negras, afrocolombianas, raizales y palenqueras y el pueblo Rrom.</w:t>
      </w:r>
    </w:p>
    <w:p w14:paraId="1CCE750E" w14:textId="77777777" w:rsidR="00413A96" w:rsidRDefault="00413A96" w:rsidP="00413A96"/>
    <w:p w14:paraId="376D4B17" w14:textId="77777777" w:rsidR="00413A96" w:rsidRDefault="00413A96" w:rsidP="00413A96">
      <w:r>
        <w:t>ARTÍCULO 124. Sistema Integral de Prevención y Gestión de Conflictos. El Gobierno Nacional creará y pondrá en funcionamiento el Sistema Integral de Prevención y Gestión de Conflictos, orientado a generar alertas tempranas que permitan, en ejercicio del diálogo democrático, evitar conflictos sociales, económicos y ambientales.</w:t>
      </w:r>
    </w:p>
    <w:p w14:paraId="76E68340" w14:textId="77777777" w:rsidR="00413A96" w:rsidRDefault="00413A96" w:rsidP="00413A96"/>
    <w:p w14:paraId="04461C8C" w14:textId="77777777" w:rsidR="00413A96" w:rsidRDefault="00413A96" w:rsidP="00413A96">
      <w:r>
        <w:t>El sistema deberá estar articulado con los demás sistemas u observatorios existentes en el sector público, así como con las entidades territoriales, las cuales deberán estructurar de manera armónica y compatible sus sistemas de información, dentro del año siguiente a la promulgación de la presente ley.</w:t>
      </w:r>
    </w:p>
    <w:p w14:paraId="10C1E8B9" w14:textId="77777777" w:rsidR="00413A96" w:rsidRDefault="00413A96" w:rsidP="00413A96"/>
    <w:p w14:paraId="7A09CE15" w14:textId="77777777" w:rsidR="00413A96" w:rsidRDefault="00413A96" w:rsidP="00413A96">
      <w:r>
        <w:t>ARTÍCULO 125. Contratación de bienes y servicios de la Dirección Nacional de Inteligencia. Adiciónese un literal al numeral 4° del artículo 2° de la Ley 1150 de 2007, así:</w:t>
      </w:r>
    </w:p>
    <w:p w14:paraId="6533E367" w14:textId="77777777" w:rsidR="00413A96" w:rsidRDefault="00413A96" w:rsidP="00413A96"/>
    <w:p w14:paraId="12A7D64A" w14:textId="77777777" w:rsidR="00413A96" w:rsidRDefault="00413A96" w:rsidP="00413A96">
      <w:r>
        <w:t>“(...)</w:t>
      </w:r>
    </w:p>
    <w:p w14:paraId="4BD48FA0" w14:textId="77777777" w:rsidR="00413A96" w:rsidRDefault="00413A96" w:rsidP="00413A96"/>
    <w:p w14:paraId="3496D68D" w14:textId="77777777" w:rsidR="00413A96" w:rsidRDefault="00413A96" w:rsidP="00413A96">
      <w:r>
        <w:t>j) La contratación de bienes y servicios de la Dirección Nacional de Inteligencia (DNI), que requieran reserva para su adquisición.”</w:t>
      </w:r>
    </w:p>
    <w:p w14:paraId="19B1A881" w14:textId="77777777" w:rsidR="00413A96" w:rsidRDefault="00413A96" w:rsidP="00413A96"/>
    <w:p w14:paraId="4F9A2911" w14:textId="77777777" w:rsidR="00413A96" w:rsidRDefault="00413A96" w:rsidP="00413A96">
      <w:r>
        <w:t>ARTÍCULO 126. Acuerdos de cooperación para misiones internacionales y operaciones de paz. El Gobierno Nacional, a través del Ministerio de Defensa Nacional, en el marco del proceso de modernización de la Fuerza Pública, promoverá la celebración de acuerdos de cooperación internacional que permitan prestar y recibir asesoría, envío de personal y transferencia de equipos a otros países con el objeto de intercambiar experiencias, entrenamiento y capacitación, así como para la participación en misiones internacionales u operaciones de paz.</w:t>
      </w:r>
    </w:p>
    <w:p w14:paraId="68264099" w14:textId="77777777" w:rsidR="00413A96" w:rsidRDefault="00413A96" w:rsidP="00413A96"/>
    <w:p w14:paraId="1E891C1B" w14:textId="77777777" w:rsidR="00413A96" w:rsidRDefault="00413A96" w:rsidP="00413A96">
      <w:r>
        <w:t>Los acuerdos que se suscriban como consecuencia de dicha promoción estarán sujetos a las disposiciones constitucionales y legales pertinentes.</w:t>
      </w:r>
    </w:p>
    <w:p w14:paraId="0D07E837" w14:textId="77777777" w:rsidR="00413A96" w:rsidRDefault="00413A96" w:rsidP="00413A96"/>
    <w:p w14:paraId="0364467F" w14:textId="77777777" w:rsidR="00413A96" w:rsidRDefault="00413A96" w:rsidP="00413A96">
      <w:r>
        <w:t>ARTÍCULO 127. Consejo Interinstitucional del Posconflicto. Créase el Consejo Interinstitucional del Posconflicto como organismo consultivo y coordinador para el Posconflicto, a cargo de la Presidencia de la República en cabeza del Ministro Consejero para el Posconflicto, Derechos Humanos y Seguridad o de quien haga sus veces, con el fin de facilitar la coordinación interinstitucional, la coordinación entre el nivel nacional y territorial y facilitar la toma de decisiones que se requieran para articular y supervisar la preparación del alistamiento e implementación de los acuerdos que se deriven de las conversaciones entre el Gobierno Nacional y las organizaciones armadas ilegales, así como para articular los programas que contribuyan de manera fundamental al posconflicto y a la construcción de paz.</w:t>
      </w:r>
    </w:p>
    <w:p w14:paraId="38F138AC" w14:textId="77777777" w:rsidR="00413A96" w:rsidRDefault="00413A96" w:rsidP="00413A96"/>
    <w:p w14:paraId="191803B7" w14:textId="77777777" w:rsidR="00413A96" w:rsidRDefault="00413A96" w:rsidP="00413A96">
      <w:r>
        <w:t xml:space="preserve">El Consejo estará integrado por el Ministro de Hacienda y Crédito Público, el Ministro del Interior, el Ministerio de Defensa, el Ministro Consejero de Gobierno y Sector Privado, el Alto Comisionado para la Paz, el Director </w:t>
      </w:r>
      <w:r>
        <w:lastRenderedPageBreak/>
        <w:t>del Departamento Nacional de Planeación, el Director del Departamento para la Prosperidad Social, y el Ministro Consejero para el Posconflicto, Derechos Humanos y Seguridad, quien lo presidirá. Podrán ser invitados otros miembros del Gobierno Nacional y entidades territoriales, cuando así lo decida el Consejo.</w:t>
      </w:r>
    </w:p>
    <w:p w14:paraId="4953462B" w14:textId="77777777" w:rsidR="00413A96" w:rsidRDefault="00413A96" w:rsidP="00413A96"/>
    <w:p w14:paraId="1AB7AC6D" w14:textId="77777777" w:rsidR="00413A96" w:rsidRDefault="00413A96" w:rsidP="00413A96">
      <w:r>
        <w:t>ARTÍCULO 128. Direccionamiento estratégico de la Acción Integral contra Minas Antipersonal (AICMA). El direccionamiento estratégico de la Acción Integral contra Minas Antipersonal (AICMA)</w:t>
      </w:r>
    </w:p>
    <w:p w14:paraId="135E8C0B" w14:textId="77777777" w:rsidR="00413A96" w:rsidRDefault="00413A96" w:rsidP="00413A96">
      <w:r>
        <w:t xml:space="preserve"> </w:t>
      </w:r>
    </w:p>
    <w:p w14:paraId="2D2F4F8C" w14:textId="77777777" w:rsidR="00413A96" w:rsidRDefault="00413A96" w:rsidP="00413A96">
      <w:r>
        <w:t>será responsabilidad del Departamento Administrativo de la Presidencia, el cual establecerá los mecanismos institucionales de gerencia, coordinación y monitoreo en el orden nacional y territorial, así como los lineamientos técnicos para regular a todos los actores estatales y no estatales de la AICMA.</w:t>
      </w:r>
    </w:p>
    <w:p w14:paraId="0B0B87A1" w14:textId="77777777" w:rsidR="00413A96" w:rsidRDefault="00413A96" w:rsidP="00413A96"/>
    <w:p w14:paraId="545ECFD4" w14:textId="77777777" w:rsidR="00413A96" w:rsidRDefault="00413A96" w:rsidP="00413A96">
      <w:r>
        <w:t>El Direccionamiento estratégico relacionado con el Desminado Humanitario se realizará de manera coordinada con el Ministerio de Defensa Nacional.</w:t>
      </w:r>
    </w:p>
    <w:p w14:paraId="5457D586" w14:textId="77777777" w:rsidR="00413A96" w:rsidRDefault="00413A96" w:rsidP="00413A96"/>
    <w:p w14:paraId="48A769E5" w14:textId="77777777" w:rsidR="00413A96" w:rsidRDefault="00413A96" w:rsidP="00413A96">
      <w:r>
        <w:t>ARTÍCULO 129. Evaluación de la Política Pública Nacional de Equidad de Género para las Mujeres y de la Política Pública para la Prevención de Riesgos, la Protección y Garantía de los Derechos de las Mujeres Víctimas del conflicto armado. El Gobierno Nacional realizará una evaluación participativa de la Política Pública Nacional de Equidad de Género para las Mujeres y de la Política Pública para la Prevención de Riesgos, la Protección y Garantía de los Derechos de las Mujeres Víctimas del conflicto armado. El diseño de estas evaluaciones iniciará en el primer semestre de 2016 y a partir de sus hallazgos se ajustarán las acciones, metas y presupuestos de estas políticas para el presente cuatrienio donde se incluirán las acciones que permitan avanzar en la protección y garantía de los derechos de las mujeres rurales, afrocolombianas, negras, raizales, palanqueras e indígenas, que contribuyan a su estabilización social y económica, con un enfoque territorial, etario y de justicia.</w:t>
      </w:r>
    </w:p>
    <w:p w14:paraId="59964577" w14:textId="77777777" w:rsidR="00413A96" w:rsidRDefault="00413A96" w:rsidP="00413A96"/>
    <w:p w14:paraId="74F3C6CF" w14:textId="77777777" w:rsidR="00413A96" w:rsidRDefault="00413A96" w:rsidP="00413A96">
      <w:r>
        <w:t>El Departamento Nacional de Planeación y la Consejería para la Equidad de la Mujer propondrán a la Comisión Intersectorial para la Implementación de la Política Pública Nacional de Equidad de Género el mecanismo para la participación de las organizaciones de mujeres y de mujeres víctimas en la evaluación y seguimiento de las políticas a las que hace referencia el presente artículo.</w:t>
      </w:r>
    </w:p>
    <w:p w14:paraId="471EF892" w14:textId="77777777" w:rsidR="00413A96" w:rsidRDefault="00413A96" w:rsidP="00413A96"/>
    <w:p w14:paraId="0A32DF2C" w14:textId="77777777" w:rsidR="00413A96" w:rsidRDefault="00413A96" w:rsidP="00413A96">
      <w:r>
        <w:t>La Consejería para la Equidad de la Mujer, con el apoyo de las entidades que hacen parte de la Comisión Intersectorial para la Implementación de la Política Pública Nacional de Equidad de Género, adoptará acciones concretas para la armonización de las políticas a las que hace referencia el presente artículo, con los planes de desarrollo territorial.</w:t>
      </w:r>
    </w:p>
    <w:p w14:paraId="5CA83E33" w14:textId="77777777" w:rsidR="00413A96" w:rsidRDefault="00413A96" w:rsidP="00413A96"/>
    <w:p w14:paraId="3D67129A" w14:textId="77777777" w:rsidR="00413A96" w:rsidRDefault="00413A96" w:rsidP="00413A96">
      <w:r>
        <w:t>El Departamento Nacional de Planeación y el Ministerio de Hacienda y Crédito Público diseñarán un mecanismo que permita a las entidades del Gobierno Nacional incluir el enfoque diferencial de género en sus procesos de planeación y presupuesto.</w:t>
      </w:r>
    </w:p>
    <w:p w14:paraId="36418340" w14:textId="77777777" w:rsidR="00413A96" w:rsidRDefault="00413A96" w:rsidP="00413A96"/>
    <w:p w14:paraId="0A54F7E8" w14:textId="77777777" w:rsidR="00413A96" w:rsidRDefault="00413A96" w:rsidP="00413A96">
      <w:r>
        <w:t>ARTÍCULO 130. Política pública nacional para la garantía de los derechos LGBTI. El gobierno nacional a través de sus entidades, llevará a cabo las acciones necesarias tendientes a la implementación y seguimiento de la Política Pública Nacional para la Garantía de Derechos de Lesbianas, Gais, Bisexuales, Transgeneristas e Intersexuales (LGBTI) a través del Ministerio del Interior, e impulsará ante las Entidades Territoriales la inclusión en los Planes de Desarrollo Departamentales, Distritales y Municipales de acciones y metas que garanticen los derechos de las personas de los sectores sociales LGBTI.</w:t>
      </w:r>
    </w:p>
    <w:p w14:paraId="78B747F5" w14:textId="77777777" w:rsidR="00413A96" w:rsidRDefault="00413A96" w:rsidP="00413A96"/>
    <w:p w14:paraId="2A50898D" w14:textId="77777777" w:rsidR="00413A96" w:rsidRDefault="00413A96" w:rsidP="00413A96">
      <w:r>
        <w:t>ARTÍCULO 131. Estatuto del Pueblo Raizal y reserva de biósfera Seaflower. En el marco de la aplicación del Convenio 169 de la OIT, la Ley 21 de 1991 y la Declaración de la Reserva de Biósfera Seaflower de la Unesco, el Gobierno Nacional, en conjunto con una comisión de ambas Cámaras del Congreso de la República, presentará a consideración del legislativo, cumplidos los trámites de consulta previa e informada con el pueblo raizal, un proyecto de Estatuto del Pueblo Raizal del Archipiélago de San Andrés, Providencia y Santa Catalina.</w:t>
      </w:r>
    </w:p>
    <w:p w14:paraId="6EB9B053" w14:textId="77777777" w:rsidR="00413A96" w:rsidRDefault="00413A96" w:rsidP="00413A96"/>
    <w:p w14:paraId="64AE52A4" w14:textId="77777777" w:rsidR="00413A96" w:rsidRDefault="00413A96" w:rsidP="00413A96">
      <w:r>
        <w:t xml:space="preserve">ARTÍCULO 132. Derogatoria del contrato de transacción. Deróguese los incisos 2°, 3° del artículo 132 de la Ley 1448 de 2011, así como la expresión del parágrafo primero del mismo artículo: “Así mismo, las víctimas que al momento de le expedición de la presente ley hubiesen recibido indemnización administrativa por parte del Estado, contarán con un (1) año contado a partir de la expedición de la presente ley para manifestarle por escrito, a la Agencia Presidencial para la Acción Social y la Cooperación Internacional o a la Unidad </w:t>
      </w:r>
      <w:r>
        <w:lastRenderedPageBreak/>
        <w:t>Administrativa Especial para la Atención y</w:t>
      </w:r>
    </w:p>
    <w:p w14:paraId="0EA54C67" w14:textId="77777777" w:rsidR="00413A96" w:rsidRDefault="00413A96" w:rsidP="00413A96">
      <w:r>
        <w:t xml:space="preserve"> </w:t>
      </w:r>
    </w:p>
    <w:p w14:paraId="7670B154" w14:textId="77777777" w:rsidR="00413A96" w:rsidRDefault="00413A96" w:rsidP="00413A96">
      <w:r>
        <w:t>Reparación a las Víctimas, si ya estuviese en funcionamiento, si desean aceptar de forma expresa y voluntaria que la indemnización administrativa fue entregada en el marco de un contrato de transacción en los términos del presente artículo. En este evento, la Agencia Presidencial para la Acción Social y la Cooperación Internacional o a la Unidad Administrativa Especial para la Atención y Reparación a las Víctimas según sea el caso, deberá volver a examinar el monto de la indemnización entregado a la víctima y comunicarle el procedimiento que debe surtirse, de conformidad con el reglamento que el Gobierno Nacional establezca para el efecto, para entregar las sumas adicionales a que haya lugar”.</w:t>
      </w:r>
    </w:p>
    <w:p w14:paraId="5C4FE045" w14:textId="77777777" w:rsidR="00413A96" w:rsidRDefault="00413A96" w:rsidP="00413A96"/>
    <w:p w14:paraId="7F5BA189" w14:textId="77777777" w:rsidR="00413A96" w:rsidRDefault="00413A96" w:rsidP="00413A96">
      <w:r>
        <w:t>Igualmente deróguese la expresión del artículo 133 de la Ley 1448 de 2011: “En los eventos en que la víctima no acepte de forma expresa y voluntaria, que la entrega y recepción de la indemnización administrativa se entiende realizada en el marco de un contrato de transacción en los términos del artículo anterior, y el Estado sea condenado judicialmente a repararla, se descontarán de dicha condena la suma de dinero que la víctima haya recibido de cualquier entidad del Estado y que constituyan reparación”.</w:t>
      </w:r>
    </w:p>
    <w:p w14:paraId="7951093D" w14:textId="77777777" w:rsidR="00413A96" w:rsidRDefault="00413A96" w:rsidP="00413A96"/>
    <w:p w14:paraId="34DC6EC2" w14:textId="77777777" w:rsidR="00413A96" w:rsidRDefault="00413A96" w:rsidP="00413A96">
      <w:r>
        <w:t>CAPÍTULO V BUEN GOBIERNO</w:t>
      </w:r>
    </w:p>
    <w:p w14:paraId="0791DD39" w14:textId="77777777" w:rsidR="00413A96" w:rsidRDefault="00413A96" w:rsidP="00413A96">
      <w:r>
        <w:t>ARTÍCULO 133. Integración de Sistemas de Gestión. Intégrense en un solo Sistema de Gestión, los Sistemas de Gestión de la Calidad de que trata la Ley 872 de 2003 y de Desarrollo Administrativo de que trata la Ley 489 de 1998. El Sistema de Gestión deberá articularse con los Sistemas Nacional e Institucional de Control Interno consagrado en la Ley 87 de 1993 y en los artículos 27 al 29 de la Ley 489 de 1998, de tal manera que permita el fortalecimiento de los mecanismos, métodos y procedimientos de control al interior de los organismos y entidades del Estado.</w:t>
      </w:r>
    </w:p>
    <w:p w14:paraId="01E097E5" w14:textId="77777777" w:rsidR="00413A96" w:rsidRDefault="00413A96" w:rsidP="00413A96"/>
    <w:p w14:paraId="202FEAE9" w14:textId="77777777" w:rsidR="00413A96" w:rsidRDefault="00413A96" w:rsidP="00413A96">
      <w:r>
        <w:t>El Gobierno Nacional reglamentará la materia y establecerá el modelo que desarrolle la integración y articulación de los anteriores sistemas, en el cual se deberá determinar de manera clara el campo de aplicación de cada uno de ellos con criterios diferenciales en el territorio nacional.</w:t>
      </w:r>
    </w:p>
    <w:p w14:paraId="6953A165" w14:textId="77777777" w:rsidR="00413A96" w:rsidRDefault="00413A96" w:rsidP="00413A96"/>
    <w:p w14:paraId="48638BBD" w14:textId="77777777" w:rsidR="00413A96" w:rsidRDefault="00413A96" w:rsidP="00413A96">
      <w:r>
        <w:t>Una vez se reglamente y entre en aplicación el nuevo Modelo de Gestión, los artículos 15 al 23 de la Ley 489 de 1998 y la Ley 872 de 2003 perderán vigencia.</w:t>
      </w:r>
    </w:p>
    <w:p w14:paraId="2DF4A8A7" w14:textId="77777777" w:rsidR="00413A96" w:rsidRDefault="00413A96" w:rsidP="00413A96"/>
    <w:p w14:paraId="1DF6E417" w14:textId="77777777" w:rsidR="00413A96" w:rsidRDefault="00413A96" w:rsidP="00413A96">
      <w:r>
        <w:t>ARTÍCULO 134. Concursos o procesos de selección. Modifíquese el artículo 3° del Decreto ley 760 de 2005, el cual quedará así:</w:t>
      </w:r>
    </w:p>
    <w:p w14:paraId="2398FC88" w14:textId="77777777" w:rsidR="00413A96" w:rsidRDefault="00413A96" w:rsidP="00413A96"/>
    <w:p w14:paraId="3F1CAD65" w14:textId="77777777" w:rsidR="00413A96" w:rsidRDefault="00413A96" w:rsidP="00413A96">
      <w:r>
        <w:t>“ARTÍCULO 3°. Los concursos o procesos de selección serán adelantados por la Comisión Nacional del Servicio Civil (CNSC) a través de contratos o convenios interadministrativos suscritos con el Instituto Colombiano para la Evaluación de la Educación (ICFES) o en su defecto con universidades públicas o privadas, instituciones universitarias e instituciones de educación superior acreditadas por el Ministerio de Educación Nacional para tal fin. Dentro de los criterios de acreditación se privilegiará la experiencia e idoneidad del recurso humano que vaya a realizar los concursos.</w:t>
      </w:r>
    </w:p>
    <w:p w14:paraId="4A34DA2D" w14:textId="77777777" w:rsidR="00413A96" w:rsidRDefault="00413A96" w:rsidP="00413A96"/>
    <w:p w14:paraId="68A2CC0F" w14:textId="77777777" w:rsidR="00413A96" w:rsidRDefault="00413A96" w:rsidP="00413A96">
      <w:r>
        <w:t>La CNSC, las universidades públicas o privadas, instituciones universitarias y las instituciones de educación superior que adelanten los concursos, podrán apoyarse en entidades oficiales especializadas en la materia, como el ICFES, para las inscripciones, el diseño, la aplicación y la evaluación de las pruebas; el ICFES podrá brindar su apoyo a uno o más concursos de manera simultánea.</w:t>
      </w:r>
    </w:p>
    <w:p w14:paraId="487B41E0" w14:textId="77777777" w:rsidR="00413A96" w:rsidRDefault="00413A96" w:rsidP="00413A96"/>
    <w:p w14:paraId="3B9B13D4" w14:textId="77777777" w:rsidR="00413A96" w:rsidRDefault="00413A96" w:rsidP="00413A96">
      <w:r>
        <w:t>Los costos asociados a los concursos o procesos de selección deberán ser determinados a través de Acuerdos Marco de Precios establecidos, diseñados y adoptados por la Agencia Nacional de Contratación Pública, Colombia Compra Eficiente.</w:t>
      </w:r>
    </w:p>
    <w:p w14:paraId="4754839B" w14:textId="77777777" w:rsidR="00413A96" w:rsidRDefault="00413A96" w:rsidP="00413A96"/>
    <w:p w14:paraId="1049B81D" w14:textId="77777777" w:rsidR="00413A96" w:rsidRDefault="00413A96" w:rsidP="00413A96">
      <w:r>
        <w:t>PARÁGRAFO TRANSITORIO. Hasta tanto Colombia Compra Eficiente adopte los Acuerdos Marco de</w:t>
      </w:r>
    </w:p>
    <w:p w14:paraId="7728EC1A" w14:textId="77777777" w:rsidR="00413A96" w:rsidRDefault="00413A96" w:rsidP="00413A96">
      <w:r>
        <w:t xml:space="preserve"> </w:t>
      </w:r>
    </w:p>
    <w:p w14:paraId="77F68ACB" w14:textId="77777777" w:rsidR="00413A96" w:rsidRDefault="00413A96" w:rsidP="00413A96">
      <w:r>
        <w:t>Precios, los bienes o servicios que requiera la Comisión serán adquiridos a través de la modalidad de contratación que legalmente corresponda”.</w:t>
      </w:r>
    </w:p>
    <w:p w14:paraId="48377692" w14:textId="77777777" w:rsidR="00413A96" w:rsidRDefault="00413A96" w:rsidP="00413A96"/>
    <w:p w14:paraId="12CC9D60" w14:textId="77777777" w:rsidR="00413A96" w:rsidRDefault="00413A96" w:rsidP="00413A96">
      <w:r>
        <w:t xml:space="preserve">ARTÍCULO 135. Ingreso Base de Cotización (IBC) de los independientes. Los trabajadores independientes por cuenta propia y los independientes con contrato diferente a prestación de servicios que perciban ingresos mensuales iguales o superiores a un (1) salario mínimo mensual legal vigente (smmlv), cotizarán mes vencido </w:t>
      </w:r>
      <w:r>
        <w:lastRenderedPageBreak/>
        <w:t>al Sistema Integral de Seguridad Social sobre un ingreso base de cotización mínimo del cuarenta por ciento (40%) del valor mensualizado de sus ingresos, sin incluir el valor total del Impuesto al Valor Agregado (IVA), cuando a ello haya lugar, según el régimen tributario que corresponda. Para calcular la base mínima de cotización, se podrán deducir las expensas que se generen de la ejecución de la actividad o renta que genere los ingresos, siempre que cumplan los requisitos del artículo 107 del Estatuto Tributario.</w:t>
      </w:r>
    </w:p>
    <w:p w14:paraId="4EBE39A6" w14:textId="77777777" w:rsidR="00413A96" w:rsidRDefault="00413A96" w:rsidP="00413A96"/>
    <w:p w14:paraId="72B683F9" w14:textId="77777777" w:rsidR="00413A96" w:rsidRDefault="00413A96" w:rsidP="00413A96">
      <w:r>
        <w:t>En caso de que el ingreso base de cotización así obtenido resulte inferior al determinado por el sistema de presunción de ingresos que determine el Gobierno Nacional, se aplicará este último según la metodología que para tal fin se establezca y tendrá fiscalización preferente por parte de la Unidad Administrativa Especial de Gestión Pensional y Contribuciones Parafiscales de la Protección Social (UGPP). No obstante, el afiliado podrá pagar un menor valor al determinado por dicha presunción siempre y cuando cuente con los documentos que soportan la deducción de expensas, los cuales serán requeridos en los procesos de fiscalización preferente que adelante la UGPP.</w:t>
      </w:r>
    </w:p>
    <w:p w14:paraId="5EF1CC29" w14:textId="77777777" w:rsidR="00413A96" w:rsidRDefault="00413A96" w:rsidP="00413A96"/>
    <w:p w14:paraId="7D321F87" w14:textId="77777777" w:rsidR="00413A96" w:rsidRDefault="00413A96" w:rsidP="00413A96">
      <w:r>
        <w:t>En el caso de los contratos de prestación de servicios personales relacionados con las funciones de la entidad contratante y que no impliquen subcontratación alguna o compra de insumos o expensas relacionados directamente con la ejecución del contrato, el ingreso base de cotización será en todos los casos mínimo el 40% de valor mensualizado de cada contrato, sin incluir el valor total el Impuesto al Valor Agregado (IVA), y no aplicará el sistema de presunción de ingresos ni la deducción de expensas. Los contratantes públicos y privados deberán efectuar directamente la retención de la cotización de los contratistas, a partir de la fecha y en la forma que para el efecto establezca el Gobierno Nacional.</w:t>
      </w:r>
    </w:p>
    <w:p w14:paraId="06F067B2" w14:textId="77777777" w:rsidR="00413A96" w:rsidRDefault="00413A96" w:rsidP="00413A96"/>
    <w:p w14:paraId="4FC6CFA3" w14:textId="77777777" w:rsidR="00413A96" w:rsidRDefault="00413A96" w:rsidP="00413A96">
      <w:r>
        <w:t>Cuando las personas objeto de la aplicación de la presente ley perciban ingresos de forma simultánea provenientes de la ejecución de varias actividades o contratos, las cotizaciones correspondientes serán efectuadas por cada uno de los ingresos percibidos de conformidad con la normatividad aplicable. Lo anterior en concordancia con el artículo 5° de la Ley 797 de 2003.</w:t>
      </w:r>
    </w:p>
    <w:p w14:paraId="19186DFE" w14:textId="77777777" w:rsidR="00413A96" w:rsidRDefault="00413A96" w:rsidP="00413A96"/>
    <w:p w14:paraId="59407194" w14:textId="77777777" w:rsidR="00413A96" w:rsidRDefault="00413A96" w:rsidP="00413A96">
      <w:r>
        <w:t>ARTÍCULO 136. Presupuestación del CREE. Modifíquese el inciso 4° del artículo 24 de la Ley 1607 de 2012, adicionado por el artículo 18 de la Ley 1739 de 2014, el cual quedará así:</w:t>
      </w:r>
    </w:p>
    <w:p w14:paraId="18521F79" w14:textId="77777777" w:rsidR="00413A96" w:rsidRDefault="00413A96" w:rsidP="00413A96"/>
    <w:p w14:paraId="218E1D3B" w14:textId="77777777" w:rsidR="00413A96" w:rsidRDefault="00413A96" w:rsidP="00413A96">
      <w:r>
        <w:t>“A partir del período gravable 2016, del nueve por ciento (9%) de la tarifa del impuesto al que se refiere el inciso 2° del artículo 23 de la presente ley, un punto se distribuirá así: 0,4 puntos se destinarán a financiar programas de atención a la primera infancia, y 0,6 puntos a financiar las instituciones de educación superior públicas, créditos beca a través del Icetex, y mejoramiento de la calidad de la educación superior. Los recursos de que trata este inciso y que serán destinados a financiar las instituciones de educación superior públicas, créditos beca a través del Icetex, y mejoramiento de la calidad de la educación superior, serán presupuestados en la sección del Ministerio de Educación Nacional y los destinados a financiar programas de atención a la primera infancia, en la sección del Ministerio de Hacienda y Crédito Público, los cuales para su distribución seguirán los lineamientos definidos por la Comisión Intersectorial para la Primera Infancia”.</w:t>
      </w:r>
    </w:p>
    <w:p w14:paraId="640423B8" w14:textId="77777777" w:rsidR="00413A96" w:rsidRDefault="00413A96" w:rsidP="00413A96"/>
    <w:p w14:paraId="0DDB2808" w14:textId="77777777" w:rsidR="00413A96" w:rsidRDefault="00413A96" w:rsidP="00413A96">
      <w:r>
        <w:t>ARTÍCULO 137. Multifondos. Modifíquese el literal c) del artículo 60 de la Ley 100 de 1993, el cual quedará así:</w:t>
      </w:r>
    </w:p>
    <w:p w14:paraId="2B9B7ABF" w14:textId="77777777" w:rsidR="00413A96" w:rsidRDefault="00413A96" w:rsidP="00413A96"/>
    <w:p w14:paraId="06C0C1F0" w14:textId="77777777" w:rsidR="00413A96" w:rsidRDefault="00413A96" w:rsidP="00413A96">
      <w:r>
        <w:t>“(…)</w:t>
      </w:r>
    </w:p>
    <w:p w14:paraId="2BDCD1C8" w14:textId="77777777" w:rsidR="00413A96" w:rsidRDefault="00413A96" w:rsidP="00413A96"/>
    <w:p w14:paraId="5168A4F8" w14:textId="77777777" w:rsidR="00413A96" w:rsidRDefault="00413A96" w:rsidP="00413A96">
      <w:r>
        <w:t>c) Los afiliados al sistema podrán escoger y trasladarse libremente entre entidades administradoras y</w:t>
      </w:r>
    </w:p>
    <w:p w14:paraId="368DAA97" w14:textId="77777777" w:rsidR="00413A96" w:rsidRDefault="00413A96" w:rsidP="00413A96">
      <w:r>
        <w:t xml:space="preserve"> </w:t>
      </w:r>
    </w:p>
    <w:p w14:paraId="73D63D4B" w14:textId="77777777" w:rsidR="00413A96" w:rsidRDefault="00413A96" w:rsidP="00413A96">
      <w:r>
        <w:t>entre los Fondos de Pensiones gestionados por ellas según la regulación aplicable para el efecto, así como seleccionar la aseguradora con la cual contraten las rentas o pensiones.</w:t>
      </w:r>
    </w:p>
    <w:p w14:paraId="7CFA494C" w14:textId="77777777" w:rsidR="00413A96" w:rsidRDefault="00413A96" w:rsidP="00413A96"/>
    <w:p w14:paraId="28DAEDE9" w14:textId="77777777" w:rsidR="00413A96" w:rsidRDefault="00413A96" w:rsidP="00413A96">
      <w:r>
        <w:t>En todo caso, dentro del esquema de multifondos, el Gobierno Nacional definirá unas reglas de asignación para aquellos afiliados que no escojan el fondo de pensiones dentro de los tiempos definidos por las normas respectivas, reglas de asignación que tendrán en cuenta la edad y el género del afiliado. Todas las asignaciones a que se refiere el presente artículo serán informadas al afiliado.</w:t>
      </w:r>
    </w:p>
    <w:p w14:paraId="71E5BC83" w14:textId="77777777" w:rsidR="00413A96" w:rsidRDefault="00413A96" w:rsidP="00413A96"/>
    <w:p w14:paraId="157DE8A0" w14:textId="77777777" w:rsidR="00413A96" w:rsidRDefault="00413A96" w:rsidP="00413A96">
      <w:r>
        <w:t xml:space="preserve">Así mismo, la administradora tendrá la obligación expresa de informar a los afiliados sus derechos y obligaciones de manera tal que les permitan la adopción de decisiones informadas. Por su parte, el afiliado deberá manifestar de forma libre y expresa a la administradora correspondiente, que entiende las </w:t>
      </w:r>
      <w:r>
        <w:lastRenderedPageBreak/>
        <w:t>consecuencias derivadas de su elección en cuanto a los riesgos y beneficios que caracterizan este fondo.</w:t>
      </w:r>
    </w:p>
    <w:p w14:paraId="1A51FF7E" w14:textId="77777777" w:rsidR="00413A96" w:rsidRDefault="00413A96" w:rsidP="00413A96"/>
    <w:p w14:paraId="56C3558C" w14:textId="77777777" w:rsidR="00413A96" w:rsidRDefault="00413A96" w:rsidP="00413A96">
      <w:r>
        <w:t>La implementación de lo establecido en el presente literal estará condicionado a la exigencia por parte de la Superintendencia Financiera a las entidades administradoras de pensiones del diseño, desarrollo y puesta en marcha campañas de educación financiera previsional encaminadas a que los afiliados al Régimen de Ahorro Individual con Solidaridad conozcan, entiendan y comprendan los efectos de la aplicación de las medidas definidas.</w:t>
      </w:r>
    </w:p>
    <w:p w14:paraId="1EB5AE5C" w14:textId="77777777" w:rsidR="00413A96" w:rsidRDefault="00413A96" w:rsidP="00413A96"/>
    <w:p w14:paraId="3AEEB260" w14:textId="77777777" w:rsidR="00413A96" w:rsidRDefault="00413A96" w:rsidP="00413A96">
      <w:r>
        <w:t>ARTÍCULO 138. Cobertura de rentas vitalicias. Modifíquese el parágrafo del artículo 14 de la Ley 100 de 1993, el cual quedará así:</w:t>
      </w:r>
    </w:p>
    <w:p w14:paraId="723DD421" w14:textId="77777777" w:rsidR="00413A96" w:rsidRDefault="00413A96" w:rsidP="00413A96"/>
    <w:p w14:paraId="48FFEC3A" w14:textId="77777777" w:rsidR="00413A96" w:rsidRDefault="00413A96" w:rsidP="00413A96">
      <w:r>
        <w:t>“PARÁGRAFO. El Gobierno Nacional podrá establecer mecanismos de cobertura que permitan a las aseguradoras cubrir el riesgo del incremento que podrían tener las pensiones de renta vitalicia inmediata y renta vitalicia diferida de que tratan los artículos 80 y 82 de esta ley cuando el aumento del salario mínimo mensual legal vigente sea superior a la variación porcentual del Índice de Precios al Consumidor certificada por el Departamento Administrativo Nacional de Estadística para el respectivo año. El Gobierno Nacional determinará los costos que resulten procedentes en la aplicación de estos mecanismos de cobertura. El Consejo Superior de Política Fiscal (CONFIS) otorgará aval fiscal para estas coberturas”.</w:t>
      </w:r>
    </w:p>
    <w:p w14:paraId="1D1638D3" w14:textId="77777777" w:rsidR="00413A96" w:rsidRDefault="00413A96" w:rsidP="00413A96"/>
    <w:p w14:paraId="788EC2A0" w14:textId="77777777" w:rsidR="00413A96" w:rsidRDefault="00413A96" w:rsidP="00413A96">
      <w:r>
        <w:t>ARTÍCULO 139. Aprobación de cálculos actuariales de pasivos pensionales de entidades públicas del orden nacional liquidadas. Las entidades responsables del cálculo actuarial de los pasivos pensionales de las entidades públicas del nivel nacional liquidadas presentarán al Ministerio de Hacienda y Crédito Público los cálculos actuariales que se requieran como resultado de las novedades a la nómina de pensionados y de cualquier otro derecho pensional o situación no recogidos en el cálculo actuarial aprobado. Esta obligación deberá cumplirse los primeros quince (15) días de cada año. Quienes tengan a su cargo la gestión de los derechos pensionales o su pago no podrán abstenerse de llevar a cabo las actividades que les corresponden argumentando la falta de aprobación del cálculo actuarial.</w:t>
      </w:r>
    </w:p>
    <w:p w14:paraId="17CD7B60" w14:textId="77777777" w:rsidR="00413A96" w:rsidRDefault="00413A96" w:rsidP="00413A96"/>
    <w:p w14:paraId="4102C01B" w14:textId="77777777" w:rsidR="00413A96" w:rsidRDefault="00413A96" w:rsidP="00413A96">
      <w:r>
        <w:t>ARTÍCULO 140. Cuentas maestras. Los recursos del Sistema General de Participaciones se manejarán a través de cuentas bancarias debidamente registradas que sólo acepten operaciones de débitos por transferencia electrónica a aquellas cuentas bancarias que pertenecen a beneficiarios naturales o jurídicos identificados formalmente como receptores de estos recursos.</w:t>
      </w:r>
    </w:p>
    <w:p w14:paraId="2190A86C" w14:textId="77777777" w:rsidR="00413A96" w:rsidRDefault="00413A96" w:rsidP="00413A96"/>
    <w:p w14:paraId="4599FE31" w14:textId="77777777" w:rsidR="00413A96" w:rsidRDefault="00413A96" w:rsidP="00413A96">
      <w:r>
        <w:t>La apertura de las cuentas maestras por parte de las entidades territoriales se efectuará conforme la metodología que para el efecto determine cada ministerio Sectorial que gira los recursos.</w:t>
      </w:r>
    </w:p>
    <w:p w14:paraId="3FB9782A" w14:textId="77777777" w:rsidR="00413A96" w:rsidRDefault="00413A96" w:rsidP="00413A96"/>
    <w:p w14:paraId="4943BF58" w14:textId="77777777" w:rsidR="00413A96" w:rsidRDefault="00413A96" w:rsidP="00413A96">
      <w:r>
        <w:t>Los saldos excedentes de estas cuentas se destinarán a los usos previstos legalmente para estos recursos en cada sector.</w:t>
      </w:r>
    </w:p>
    <w:p w14:paraId="471075E0" w14:textId="77777777" w:rsidR="00413A96" w:rsidRDefault="00413A96" w:rsidP="00413A96"/>
    <w:p w14:paraId="5D86E339" w14:textId="77777777" w:rsidR="00413A96" w:rsidRDefault="00413A96" w:rsidP="00413A96">
      <w:r>
        <w:t>ARTÍCULO 141. Recursos para la estructuración de proyectos. Modifíquese el artículo 51 de la Ley 1450 de 2011, el cual quedará así:</w:t>
      </w:r>
    </w:p>
    <w:p w14:paraId="1AC7DB2D" w14:textId="77777777" w:rsidR="00413A96" w:rsidRDefault="00413A96" w:rsidP="00413A96">
      <w:r>
        <w:t xml:space="preserve"> </w:t>
      </w:r>
    </w:p>
    <w:p w14:paraId="002FFC2F" w14:textId="77777777" w:rsidR="00413A96" w:rsidRDefault="00413A96" w:rsidP="00413A96"/>
    <w:p w14:paraId="4BEA3858" w14:textId="77777777" w:rsidR="00413A96" w:rsidRDefault="00413A96" w:rsidP="00413A96">
      <w:r>
        <w:t>“ARTÍCULO 51. Recursos para la estructuración de proyectos. La Nación y sus entidades descentralizadas podrán destinar y asignar recursos para financiar la realización de estudios de identificación, preinversión y estructuración de proyectos de carácter estratégico, del orden nacional y territorial necesarios para dar cumplimiento al presente Plan Nacional de Desarrollo. Estos podrán ser canalizados a través de entidades públicas de carácter financiero del orden nacional definidas por el Departamento Nacional de Planeación, de reconocida capacidad técnica, administrativa y operativa, y administrados en coordinación con las entidades correspondientes.</w:t>
      </w:r>
    </w:p>
    <w:p w14:paraId="73805452" w14:textId="77777777" w:rsidR="00413A96" w:rsidRDefault="00413A96" w:rsidP="00413A96"/>
    <w:p w14:paraId="1D2FB98A" w14:textId="77777777" w:rsidR="00413A96" w:rsidRDefault="00413A96" w:rsidP="00413A96">
      <w:r>
        <w:t>Las entidades financieras podrán gestionar recursos públicos o privados de carácter complementario, en beneficio de las regiones, que permitan cofinanciar los estudios a que se refiere esta norma”.</w:t>
      </w:r>
    </w:p>
    <w:p w14:paraId="4AED9E67" w14:textId="77777777" w:rsidR="00413A96" w:rsidRDefault="00413A96" w:rsidP="00413A96"/>
    <w:p w14:paraId="18E2A2E6" w14:textId="77777777" w:rsidR="00413A96" w:rsidRDefault="00413A96" w:rsidP="00413A96">
      <w:r>
        <w:t xml:space="preserve">ARTÍCULO 142. Obligaciones territoriales en atención a víctimas. Las inversiones realizadas con recursos propios de las entidades territoriales en asistencia, atención y reparación integral a las víctimas, debidamente certificadas por las autoridades competentes, se tendrán como parte de pago proporcional de sus obligaciones adquiridas con cargo a los fondos de cofinanciación administrados por Findeter y cobradas coactivamente por </w:t>
      </w:r>
      <w:r>
        <w:lastRenderedPageBreak/>
        <w:t>dicha institución.</w:t>
      </w:r>
    </w:p>
    <w:p w14:paraId="498FFDFD" w14:textId="77777777" w:rsidR="00413A96" w:rsidRDefault="00413A96" w:rsidP="00413A96"/>
    <w:p w14:paraId="340FA1BC" w14:textId="77777777" w:rsidR="00413A96" w:rsidRDefault="00413A96" w:rsidP="00413A96">
      <w:r>
        <w:t>ARTÍCULO 143. Registro Único Nacional de Entidades Operadores de Libranza. Las cajas de compensación serán entidades operadoras de libranzas. El Registro Único Nacional de Entidades Operadores de Libranzas de que trata el artículo 14 de la Ley 1527 de 2012 será administrado por las Cámaras de Comercio, quienes lo publicarán en la página web institucional con el fin exclusivo de permitir el acceso a cualquier persona que desee constatar el registro de entidades operadoras, así mismo, tendrán la obligación de establecer un vínculo de acceso a las tasas comparativas publicadas por las Superintendencias, en desarrollo de lo dispuesto en el artículo 9° de la mencionada ley de libranzas.</w:t>
      </w:r>
    </w:p>
    <w:p w14:paraId="56BC866F" w14:textId="77777777" w:rsidR="00413A96" w:rsidRDefault="00413A96" w:rsidP="00413A96"/>
    <w:p w14:paraId="197E21B3" w14:textId="77777777" w:rsidR="00413A96" w:rsidRDefault="00413A96" w:rsidP="00413A96">
      <w:r>
        <w:t>PARÁGRAFO. Los costos de administración de este registro se financiarán con una contraprestación a cargo de quien solicite el registro y a favor del administrador, la cual será determinada por el Ministerio de Hacienda y Crédito Público, tomando como referencia los costos de administración e inversión necesarios para la puesta en operación, mantenimiento y continuidad del servicio. El monto de esta contraprestación será actualizado anualmente.</w:t>
      </w:r>
    </w:p>
    <w:p w14:paraId="16DF8D8C" w14:textId="77777777" w:rsidR="00413A96" w:rsidRDefault="00413A96" w:rsidP="00413A96"/>
    <w:p w14:paraId="1945EC35" w14:textId="77777777" w:rsidR="00413A96" w:rsidRDefault="00413A96" w:rsidP="00413A96">
      <w:r>
        <w:t>PARÁGRAFO TRANSITORIO. Dentro de los tres (3) meses siguientes a la entrada en vigencia de la presente ley, el Ministerio de Hacienda y Crédito Público transferirá la información a las Cámaras de Comercio para la administración del Registro Único Nacional de Entidades Operadoras de Libranza.</w:t>
      </w:r>
    </w:p>
    <w:p w14:paraId="2A837782" w14:textId="77777777" w:rsidR="00413A96" w:rsidRDefault="00413A96" w:rsidP="00413A96"/>
    <w:p w14:paraId="108C904B" w14:textId="77777777" w:rsidR="00413A96" w:rsidRDefault="00413A96" w:rsidP="00413A96">
      <w:r>
        <w:t>Durante el proceso de transferencia se suspenderá el funcionamiento del Registro Único Nacional de Entidades Operadoras de Libranza y no podrá exigirse al empleador o entidad pagadora el cumplimiento de la obligación de verificación de la inscripción de la entidad operadora en el Registro Único Nacional de Entidades Operadoras de Libranza, por tanto, no se le podrá imputar responsabilidad solidaria en el pago de la obligación adquirida por el beneficiario del crédito. A las entidades operadoras de libranza ya registradas ante el Ministerio de Hacienda y Crédito Público a las que se les venza el Registro Único de Entidades Operadoras de Libranza (RUNEOL) durante los tres</w:t>
      </w:r>
    </w:p>
    <w:p w14:paraId="7B884D75" w14:textId="77777777" w:rsidR="00413A96" w:rsidRDefault="00413A96" w:rsidP="00413A96">
      <w:r>
        <w:t>(3) meses consagrados en este parágrafo, se les extiende la vigencia del registro por un término igual al mencionado. Estas entidades deberán realizar la renovación ante las Cámaras de Comercio dentro de los ocho (8) días siguientes al vencimiento de esta extensión.</w:t>
      </w:r>
    </w:p>
    <w:p w14:paraId="371074E5" w14:textId="77777777" w:rsidR="00413A96" w:rsidRDefault="00413A96" w:rsidP="00413A96"/>
    <w:p w14:paraId="0D61448B" w14:textId="77777777" w:rsidR="00413A96" w:rsidRDefault="00413A96" w:rsidP="00413A96">
      <w:r>
        <w:t>ARTÍCULO 144. FONDES. El Fondo Nacional para el Desarrollo de la Infraestructura (FONDES), será administrado por la Financiera de Desarrollo Nacional y/o la entidad que defina el Gobierno nacional, de conformidad con la reglamentación expedida para el efecto y en los términos del contrato que se suscriba.</w:t>
      </w:r>
    </w:p>
    <w:p w14:paraId="678F49AE" w14:textId="77777777" w:rsidR="00413A96" w:rsidRDefault="00413A96" w:rsidP="00413A96"/>
    <w:p w14:paraId="7F0A9975" w14:textId="77777777" w:rsidR="00413A96" w:rsidRDefault="00413A96" w:rsidP="00413A96">
      <w:r>
        <w:t>El objeto del FONDES será la inversión y financiamiento de proyectos de infraestructura y su patrimonio estará constituido, entre otras, por las siguientes fuentes:</w:t>
      </w:r>
    </w:p>
    <w:p w14:paraId="54AE2A5E" w14:textId="77777777" w:rsidR="00413A96" w:rsidRDefault="00413A96" w:rsidP="00413A96">
      <w:r>
        <w:t xml:space="preserve"> </w:t>
      </w:r>
    </w:p>
    <w:p w14:paraId="389C4492" w14:textId="77777777" w:rsidR="00413A96" w:rsidRDefault="00413A96" w:rsidP="00413A96"/>
    <w:p w14:paraId="5DFF6882" w14:textId="77777777" w:rsidR="00413A96" w:rsidRDefault="00413A96" w:rsidP="00413A96">
      <w:r>
        <w:t>a)</w:t>
      </w:r>
      <w:r>
        <w:tab/>
        <w:t>Cuando el Gobierno nacional lo defina, los recursos producto de la enajenación de la participación accionaria de la Nación, recibidos en virtud de un proceso regulado por la Ley 226 de 1995;</w:t>
      </w:r>
    </w:p>
    <w:p w14:paraId="2A592A68" w14:textId="77777777" w:rsidR="00413A96" w:rsidRDefault="00413A96" w:rsidP="00413A96"/>
    <w:p w14:paraId="39BC8FD4" w14:textId="77777777" w:rsidR="00413A96" w:rsidRDefault="00413A96" w:rsidP="00413A96">
      <w:r>
        <w:t>b)</w:t>
      </w:r>
      <w:r>
        <w:tab/>
        <w:t>Los rendimientos que genere el Fondo;</w:t>
      </w:r>
    </w:p>
    <w:p w14:paraId="11E68CC3" w14:textId="77777777" w:rsidR="00413A96" w:rsidRDefault="00413A96" w:rsidP="00413A96"/>
    <w:p w14:paraId="54B2D906" w14:textId="77777777" w:rsidR="00413A96" w:rsidRDefault="00413A96" w:rsidP="00413A96">
      <w:r>
        <w:t>c)</w:t>
      </w:r>
      <w:r>
        <w:tab/>
        <w:t>Los recursos que obtenga el fondo a través de sus propias operaciones de crédito público y de tesorería;</w:t>
      </w:r>
    </w:p>
    <w:p w14:paraId="6C3CA041" w14:textId="77777777" w:rsidR="00413A96" w:rsidRDefault="00413A96" w:rsidP="00413A96"/>
    <w:p w14:paraId="6CDCDF16" w14:textId="77777777" w:rsidR="00413A96" w:rsidRDefault="00413A96" w:rsidP="00413A96">
      <w:r>
        <w:t>d)</w:t>
      </w:r>
      <w:r>
        <w:tab/>
        <w:t>Los demás recursos que se dispongan para el efecto.</w:t>
      </w:r>
    </w:p>
    <w:p w14:paraId="70674A65" w14:textId="77777777" w:rsidR="00413A96" w:rsidRDefault="00413A96" w:rsidP="00413A96"/>
    <w:p w14:paraId="459E0B30" w14:textId="77777777" w:rsidR="00413A96" w:rsidRDefault="00413A96" w:rsidP="00413A96">
      <w:r>
        <w:t>El Gobierno Nacional reglamentará la administración y funcionamiento del FONDES, así como los demás asuntos necesarios para su financiamiento y el cabal cumplimiento de su objeto, sin perjuicio del cumplimiento de lo dispuesto por el artículo 124 del Estatuto Orgánico del Presupuesto.</w:t>
      </w:r>
    </w:p>
    <w:p w14:paraId="5B200C13" w14:textId="77777777" w:rsidR="00413A96" w:rsidRDefault="00413A96" w:rsidP="00413A96"/>
    <w:p w14:paraId="777C145C" w14:textId="77777777" w:rsidR="00413A96" w:rsidRDefault="00413A96" w:rsidP="00413A96">
      <w:r>
        <w:t xml:space="preserve">PARÁGRAFO. Los recursos resultantes de la enajenación de la participación accionaria de la Nación señalados en este artículo, mientras se incorporan al Presupuesto General de la Nación, se mantendrán en una cuenta especial e independiente administrada por el Tesoro Nacional. El Gobierno Nacional reglamentará el procedimiento por el que se decidirán los términos y plazos en que los recursos de esta cuenta especial serán incorporados en el Presupuesto General de la Nación, así como la transferencia de los mismos del </w:t>
      </w:r>
      <w:r>
        <w:lastRenderedPageBreak/>
        <w:t>Tesoro Nacional a los administradores.</w:t>
      </w:r>
    </w:p>
    <w:p w14:paraId="6E25F6FE" w14:textId="77777777" w:rsidR="00413A96" w:rsidRDefault="00413A96" w:rsidP="00413A96"/>
    <w:p w14:paraId="41816BEE" w14:textId="77777777" w:rsidR="00413A96" w:rsidRDefault="00413A96" w:rsidP="00413A96">
      <w:r>
        <w:t>ARTÍCULO  145.  Operaciones  de  crédito  público.  Las  operaciones  de  crédito  público y asimiladas cuyo objeto no comprenda el financiamiento de gastos de inversión no requerirán concepto del Departamento Nacional de Planeación para su celebración, sin perjuicio del cumplimiento de los demás requisitos dispuestos para su contratación, incluido, cuando aplique, el concepto favorable de la Comisión Interparlamentaria de Crédito Público. El Departamento Nacional de Planeación será el coordinador técnico de los créditos de libre destinación de la Nación.</w:t>
      </w:r>
    </w:p>
    <w:p w14:paraId="1D165477" w14:textId="77777777" w:rsidR="00413A96" w:rsidRDefault="00413A96" w:rsidP="00413A96"/>
    <w:p w14:paraId="7CB32C3F" w14:textId="77777777" w:rsidR="00413A96" w:rsidRDefault="00413A96" w:rsidP="00413A96">
      <w:r>
        <w:t>PARÁGRAFO PRIMERO. Sin perjuicio de lo dispuesto por el parágrafo segundo del artículo 41 de la Ley 80 de 1993, en general se entiende como operación de crédito público, cualquier operación que tenga como fin la financiación de la entidad estatal para la adquisición de bienes o servicios.</w:t>
      </w:r>
    </w:p>
    <w:p w14:paraId="00B576FC" w14:textId="77777777" w:rsidR="00413A96" w:rsidRDefault="00413A96" w:rsidP="00413A96"/>
    <w:p w14:paraId="4CA24C08" w14:textId="77777777" w:rsidR="00413A96" w:rsidRDefault="00413A96" w:rsidP="00413A96">
      <w:r>
        <w:t>PARÁGRAFO SEGUNDO. Dada la naturaleza dineraria de las operaciones de crédito público, en los casos en que una entidad estatal sea acreedora, no serán aplicables las disposiciones del artículo 86 de la Ley 1474 de 2011.</w:t>
      </w:r>
    </w:p>
    <w:p w14:paraId="094BA860" w14:textId="77777777" w:rsidR="00413A96" w:rsidRDefault="00413A96" w:rsidP="00413A96"/>
    <w:p w14:paraId="3687252C" w14:textId="77777777" w:rsidR="00413A96" w:rsidRDefault="00413A96" w:rsidP="00413A96">
      <w:r>
        <w:t>ARTÍCULO 146. Transferencia temporal de valores para fortalecer el mercado de deuda pública. Adiciónese el siguiente inciso al literal b) del artículo 6° de la Ley 51 de 1990, así:</w:t>
      </w:r>
    </w:p>
    <w:p w14:paraId="79A9C898" w14:textId="77777777" w:rsidR="00413A96" w:rsidRDefault="00413A96" w:rsidP="00413A96"/>
    <w:p w14:paraId="01817798" w14:textId="77777777" w:rsidR="00413A96" w:rsidRDefault="00413A96" w:rsidP="00413A96">
      <w:r>
        <w:t>“Se autoriza al Gobierno Nacional para emitir, colocar y mantener en circulación Títulos de Tesorería TES para efectuar Operaciones de Transferencia Temporal de Valores. El Gobierno Nacional reglamentará las condiciones generales para la realización de las operaciones de Transferencia Temporal de Valores. Los recursos provenientes de dichas colocaciones, no podrán utilizarse para financiar apropiaciones del Presupuesto General de la Nación.</w:t>
      </w:r>
    </w:p>
    <w:p w14:paraId="5ED5A5CF" w14:textId="77777777" w:rsidR="00413A96" w:rsidRDefault="00413A96" w:rsidP="00413A96"/>
    <w:p w14:paraId="4546DAC1" w14:textId="77777777" w:rsidR="00413A96" w:rsidRDefault="00413A96" w:rsidP="00413A96">
      <w:r>
        <w:t>El Banco de la República podrá administrar estos títulos, incluyendo la realización de operaciones de Transferencia Temporal de Valores, en los términos y condiciones que autorice su Junta Directiva”.</w:t>
      </w:r>
    </w:p>
    <w:p w14:paraId="4A42FA46" w14:textId="77777777" w:rsidR="00413A96" w:rsidRDefault="00413A96" w:rsidP="00413A96"/>
    <w:p w14:paraId="0688394F" w14:textId="77777777" w:rsidR="00413A96" w:rsidRDefault="00413A96" w:rsidP="00413A96">
      <w:r>
        <w:t>ARTÍCULO 147. Financiación del pasivo pensional del Sector Salud con recursos del Fonpet y destinación de excedentes. Las entidades territoriales utilizarán los recursos acumulados en el Fondo de Pensiones Territoriales (Fonpet) abonados en el sector salud como fuente de financiación del pasivo pensional de dicho sector. En tal sentido, se podrán atender las obligaciones pensionales establecidas en los contratos de concurrencia y las no incorporadas en dichos contratos siempre que su  financiación  se  encuentre  a  cargo  de  las  respectiva  entidad  territorial,  incluidas  las</w:t>
      </w:r>
    </w:p>
    <w:p w14:paraId="330B3210" w14:textId="77777777" w:rsidR="00413A96" w:rsidRDefault="00413A96" w:rsidP="00413A96">
      <w:r>
        <w:t xml:space="preserve"> </w:t>
      </w:r>
    </w:p>
    <w:p w14:paraId="4F8C69A7" w14:textId="77777777" w:rsidR="00413A96" w:rsidRDefault="00413A96" w:rsidP="00413A96">
      <w:r>
        <w:t>correspondientes al pago de mesadas pensionales, bonos pensionales, cuotas partes de bonos pensionales y cuotas partes pensionales.</w:t>
      </w:r>
    </w:p>
    <w:p w14:paraId="58BDFD57" w14:textId="77777777" w:rsidR="00413A96" w:rsidRDefault="00413A96" w:rsidP="00413A96"/>
    <w:p w14:paraId="0BACCC00" w14:textId="77777777" w:rsidR="00413A96" w:rsidRDefault="00413A96" w:rsidP="00413A96">
      <w:r>
        <w:t>Así mismo, la entidad territorial podrá utilizar los recursos acumulados en el Fonpet para el pago del pasivo pensional del sector salud de aquellas personas que no fueron certificadas como beneficiarias de los contratos de concurrencia, siempre y cuando decidan asumirlo como pasivo propio. Para el efecto, se registrarán en el Fonpet tanto las obligaciones de las entidades territoriales para financiar los contratos de concurrencia como aquellas correspondientes a otras obligaciones pensionales del sector salud cuya financiación asuma la entidad territorial. El valor máximo que se podrá utilizar corresponderá al valor acumulado a 31 de diciembre de la vigencia inmediatamente anterior en el Fonpet por el sector salud.</w:t>
      </w:r>
    </w:p>
    <w:p w14:paraId="7F1AC3DC" w14:textId="77777777" w:rsidR="00413A96" w:rsidRDefault="00413A96" w:rsidP="00413A96"/>
    <w:p w14:paraId="40D8C10A" w14:textId="77777777" w:rsidR="00413A96" w:rsidRDefault="00413A96" w:rsidP="00413A96">
      <w:r>
        <w:t>Cuando la entidad territorial no presente obligaciones pensionales pendientes por concepto del pasivo pensional con el sector salud o cuando estén plenamente financiadas, los recursos acumulados en el Fonpet abonados en dicho sector, diferentes a los de Loto en línea, se destinarán exclusivamente para el financiamiento del régimen subsidiado. El Ministerio de Hacienda y Crédito Público reglamentará el procedimiento para la transferencia de estos recursos al mecanismo único de recaudo y giro de que trata el artículo 31 de la Ley 1438 de 2011 o a quien haga sus veces.</w:t>
      </w:r>
    </w:p>
    <w:p w14:paraId="567268AF" w14:textId="77777777" w:rsidR="00413A96" w:rsidRDefault="00413A96" w:rsidP="00413A96"/>
    <w:p w14:paraId="7E26E96C" w14:textId="77777777" w:rsidR="00413A96" w:rsidRDefault="00413A96" w:rsidP="00413A96">
      <w:r>
        <w:t>A partir de la presente ley el monto del impuesto de registro de que trata el artículo 25 de la Ley 1450 de 2011 será destinado por las entidades territoriales para el pago de cuotas partes pensionales y de mesadas pensionales. El valor que no se necesite para el pago de dichas obligaciones será de libre destinación.</w:t>
      </w:r>
    </w:p>
    <w:p w14:paraId="35D5CAFF" w14:textId="77777777" w:rsidR="00413A96" w:rsidRDefault="00413A96" w:rsidP="00413A96"/>
    <w:p w14:paraId="65D96EBA" w14:textId="77777777" w:rsidR="00413A96" w:rsidRDefault="00413A96" w:rsidP="00413A96">
      <w:r>
        <w:lastRenderedPageBreak/>
        <w:t>Las entidades territoriales que alcancen el cubrimiento del pasivo pensional en los términos del marco jurídico vigente, destinarán los recursos excedentes en el Fonpet, para la financiación de proyectos de inversión y atenderá la destinación específica de la fuente de que provengan estos recursos.</w:t>
      </w:r>
    </w:p>
    <w:p w14:paraId="6179CA75" w14:textId="77777777" w:rsidR="00413A96" w:rsidRDefault="00413A96" w:rsidP="00413A96"/>
    <w:p w14:paraId="1858D222" w14:textId="77777777" w:rsidR="00413A96" w:rsidRDefault="00413A96" w:rsidP="00413A96">
      <w:r>
        <w:t>PARÁGRAFO. Para los efectos del artículo 25 de la ley 1450 de 2011, se entiende por gastos administrativos los necesario (sic) para la operación administrativa y financiera del fondo.</w:t>
      </w:r>
    </w:p>
    <w:p w14:paraId="22821DD9" w14:textId="77777777" w:rsidR="00413A96" w:rsidRDefault="00413A96" w:rsidP="00413A96"/>
    <w:p w14:paraId="74BFC9D9" w14:textId="77777777" w:rsidR="00413A96" w:rsidRDefault="00413A96" w:rsidP="00413A96">
      <w:r>
        <w:t>ARTÍCULO 148. Orientación de la inversión a resultados. La orientación de la inversión a resultados es una técnica presupuestal que promueve el uso eficiente y transparente de los recursos de inversión, permite alinear los objetivos y prioridades definidos en el Plan Nacional de Desarrollo con el Plan Plurianual de Inversiones y hace posible establecer una relación directa entre el gasto y los bienes y servicios entregados a la ciudadanía. La Nación adoptará, entre otras, esta técnica como uno de los instrumentos de gestión de la inversión pública y promoverá su adopción por las entidades territoriales.</w:t>
      </w:r>
    </w:p>
    <w:p w14:paraId="7CAF76A0" w14:textId="77777777" w:rsidR="00413A96" w:rsidRDefault="00413A96" w:rsidP="00413A96"/>
    <w:p w14:paraId="7266CE6F" w14:textId="77777777" w:rsidR="00413A96" w:rsidRDefault="00413A96" w:rsidP="00413A96">
      <w:r>
        <w:t>La clasificación programática de la inversión pública de la Nación reflejará los programas definidos en el Plan Plurianual de Inversiones los cuales deberán ser compatibles con aquellos establecidos para el Presupuesto General de la Nación. Para el efecto, los órganos que haden parte del Presupuesto General de la Nación deberán formular o reformular lo programas de inversión de acuerdo con las metodologías que establezca el Departamento Nacional de Planeación.</w:t>
      </w:r>
    </w:p>
    <w:p w14:paraId="6D0A7155" w14:textId="77777777" w:rsidR="00413A96" w:rsidRDefault="00413A96" w:rsidP="00413A96"/>
    <w:p w14:paraId="44AAB134" w14:textId="77777777" w:rsidR="00413A96" w:rsidRDefault="00413A96" w:rsidP="00413A96">
      <w:r>
        <w:t>La Nación promoverá y apoyará a las entidades territoriales para que adopten las líneas programáticas indicativas para la inversión.</w:t>
      </w:r>
    </w:p>
    <w:p w14:paraId="635D044F" w14:textId="77777777" w:rsidR="00413A96" w:rsidRDefault="00413A96" w:rsidP="00413A96"/>
    <w:p w14:paraId="027B4489" w14:textId="77777777" w:rsidR="00413A96" w:rsidRDefault="00413A96" w:rsidP="00413A96">
      <w:r>
        <w:t>PARÁGRAFO. Con el propósito de articular y consolidar las diferentes fuentes de financiación de la inversión pública, las entidades territoriales, a más tardar el 1° de enero de 2017, deberán registrar la información de la inversión conforme a los lineamientos que determine el Departamento Nacional de Planeación.</w:t>
      </w:r>
    </w:p>
    <w:p w14:paraId="4E00FC95" w14:textId="77777777" w:rsidR="00413A96" w:rsidRDefault="00413A96" w:rsidP="00413A96"/>
    <w:p w14:paraId="16E6BE8B" w14:textId="77777777" w:rsidR="00413A96" w:rsidRDefault="00413A96" w:rsidP="00413A96">
      <w:r>
        <w:t>ARTÍCULO 149. Administración eficiente de recursos públicos. Los recursos provenientes del Presupuesto General de la Nación transferidos a entidades financieras, no podrán tener como objeto</w:t>
      </w:r>
    </w:p>
    <w:p w14:paraId="2D289FE2" w14:textId="77777777" w:rsidR="00413A96" w:rsidRDefault="00413A96" w:rsidP="00413A96">
      <w:r>
        <w:t xml:space="preserve"> </w:t>
      </w:r>
    </w:p>
    <w:p w14:paraId="0A8A5C39" w14:textId="77777777" w:rsidR="00413A96" w:rsidRDefault="00413A96" w:rsidP="00413A96">
      <w:r>
        <w:t>proveerlas de fondos, sino atender los compromisos y obligaciones en desarrollo de las apropiaciones presupuestales. Los saldos de recursos girados a convenios de cofinanciación o negocios fiduciarios que tengan como fuente el Presupuesto General de la Nación y en donde la entidad estatal giradora sea fideicomitente y/o beneficiaria, entre ellos a patrimonios autónomos, serán registrados a favor de la Nación, con excepción de aquellos que correspondan a proyectos de agua potable y saneamiento básico, y los recursos de previsión, seguridad social que administren prestaciones sociales de carácter económico y en donde se administren rentas parafiscales. Los excedentes de liquidez de dichos convenios y negocios fiduciarios serán invertidos conforme al marco legal aplicable a su forma de administración y a la naturaleza de los recursos.</w:t>
      </w:r>
    </w:p>
    <w:p w14:paraId="7900B63E" w14:textId="77777777" w:rsidR="00413A96" w:rsidRDefault="00413A96" w:rsidP="00413A96"/>
    <w:p w14:paraId="2B5C69ED" w14:textId="77777777" w:rsidR="00413A96" w:rsidRDefault="00413A96" w:rsidP="00413A96">
      <w:r>
        <w:t>En los negocios fiduciarios instrumentados para el pago de obligaciones futuras, los cronogramas de giros deberán ser consistentes con el avance del cumplimiento de su objeto. El Tesoro Nacional podrá exigir el reintegro de los recursos que haya transferido a un patrimonio autónomo y que no se hayan utilizado en la adquisición de bienes o servicios dentro del año siguiente al momento del giro, siempre que ello no conlleve el incumplimiento contractual. Los recursos reintegrados serán administrados por el Tesoro Nacional, hasta que vuelvan a ser requeridos para gastos referentes al cumplimiento del objeto de estos patrimonios por lo cual el reintegro no afectará las obligaciones que deba cumplir el patrimonio autónomo, ni la capacidad de pago. Dicho reintegro y su posterior devolución no implicarán operación presupuestal alguna.</w:t>
      </w:r>
    </w:p>
    <w:p w14:paraId="13587740" w14:textId="77777777" w:rsidR="00413A96" w:rsidRDefault="00413A96" w:rsidP="00413A96"/>
    <w:p w14:paraId="43E39709" w14:textId="77777777" w:rsidR="00413A96" w:rsidRDefault="00413A96" w:rsidP="00413A96">
      <w:r>
        <w:t>PARÁGRAFO PRIMERO. Además de lo dispuesto en el artículo 261 de la Ley 1450 de 2011 en los incisos primero y segundo, las entidades estatales del orden nacional que administren contribuciones parafiscales y los órganos de previsión y seguridad social que administren prestaciones sociales de carácter económico, podrán formar parte del Sistema de Cuenta Única Nacional.</w:t>
      </w:r>
    </w:p>
    <w:p w14:paraId="0D26045F" w14:textId="77777777" w:rsidR="00413A96" w:rsidRDefault="00413A96" w:rsidP="00413A96"/>
    <w:p w14:paraId="06826AA9" w14:textId="77777777" w:rsidR="00413A96" w:rsidRDefault="00413A96" w:rsidP="00413A96">
      <w:r>
        <w:t>PARÁGRAFO SEGUNDO. El Tesoro Nacional podrá renovar los plazos de los créditos extraordinarios de tesorería que hayan sido otorgados a los fondos administrados por la Dirección General de Crédito Público y Tesoro Nacional.</w:t>
      </w:r>
    </w:p>
    <w:p w14:paraId="54428712" w14:textId="77777777" w:rsidR="00413A96" w:rsidRDefault="00413A96" w:rsidP="00413A96"/>
    <w:p w14:paraId="1744A7CA" w14:textId="77777777" w:rsidR="00413A96" w:rsidRDefault="00413A96" w:rsidP="00413A96">
      <w:r>
        <w:lastRenderedPageBreak/>
        <w:t>ARTÍCULO 150. Sistemas de compensación para modernizar las operaciones del tesoro nacional. Además de las operaciones de Tesorería facultadas a través del artículo 11 de la Ley 1737 de 2014, el Tesoro Nacional podrá constituir garantías o compromisos de pago a favor de un sistema de compensación y liquidación de operaciones, en los términos del artículo 11 de la Ley 964 de 2005, o cualquier norma que lo modifique o sustituya, siempre y cuando las mismas estén afectas al cumplimiento de sus propias operaciones y no de terceros.</w:t>
      </w:r>
    </w:p>
    <w:p w14:paraId="3FE5B997" w14:textId="77777777" w:rsidR="00413A96" w:rsidRDefault="00413A96" w:rsidP="00413A96"/>
    <w:p w14:paraId="6B0D9B16" w14:textId="77777777" w:rsidR="00413A96" w:rsidRDefault="00413A96" w:rsidP="00413A96">
      <w:r>
        <w:t>ARTÍCULO 151. Aportes al fideicomiso para el crecimiento y la reducción de la pobreza del Fondo Monetario Internacional. Se autoriza al Ministerio de Hacienda y Crédito Público y al Ministerio de Relaciones Exteriores, para realizar los aportes al fideicomiso para el crecimiento y la reducción de la pobreza del Fondo Monetario Internacional.</w:t>
      </w:r>
    </w:p>
    <w:p w14:paraId="040394E8" w14:textId="77777777" w:rsidR="00413A96" w:rsidRDefault="00413A96" w:rsidP="00413A96"/>
    <w:p w14:paraId="187429C7" w14:textId="77777777" w:rsidR="00413A96" w:rsidRDefault="00413A96" w:rsidP="00413A96">
      <w:r>
        <w:t>ARTÍCULO 152. Custodia de oro por el Banco de la República. Cuando se apliquen medidas cautelares de carácter real sobre oro, plata, platino o divisas, tanto en procesos de índole administrativo como judicial, la autoridad competente ordenará ponerlas a disposición de la Sociedad de Activos Especiales S.A.S. (SAE) o del Fondo Especial para la Administración de Bienes de la Fiscalía General de la Nación, según corresponda, para su administración en los términos de ley.</w:t>
      </w:r>
    </w:p>
    <w:p w14:paraId="3B737230" w14:textId="77777777" w:rsidR="00413A96" w:rsidRDefault="00413A96" w:rsidP="00413A96"/>
    <w:p w14:paraId="56F06C6F" w14:textId="77777777" w:rsidR="00413A96" w:rsidRDefault="00413A96" w:rsidP="00413A96">
      <w:r>
        <w:t>La Sociedad de Activos Especiales S.A.S. (SAE) y el Fondo Especial para la Administración de Bienes de la Fiscalía General de la Nación, constituirán con el Banco de la República la custodia de estos activos. Para el caso de divisas, su administración se realizará de acuerdo al convenio que celebre para tal fin el Banco de la República o con los intermediarios del mercado cambiario autorizados, con miras a su enajenación.</w:t>
      </w:r>
    </w:p>
    <w:p w14:paraId="607CC5B9" w14:textId="77777777" w:rsidR="00413A96" w:rsidRDefault="00413A96" w:rsidP="00413A96"/>
    <w:p w14:paraId="2DBA3D86" w14:textId="77777777" w:rsidR="00413A96" w:rsidRDefault="00413A96" w:rsidP="00413A96">
      <w:r>
        <w:t>ARTÍCULO 153. Presupuesto de la Unidad Administrativa Especial de Planeación Minero­ Energética (UPME). A partir de la vigencia 2016, el porcentaje del presupuesto de la Unidad</w:t>
      </w:r>
    </w:p>
    <w:p w14:paraId="5CD7060F" w14:textId="77777777" w:rsidR="00413A96" w:rsidRDefault="00413A96" w:rsidP="00413A96">
      <w:r>
        <w:t xml:space="preserve"> </w:t>
      </w:r>
    </w:p>
    <w:p w14:paraId="4010591F" w14:textId="77777777" w:rsidR="00413A96" w:rsidRDefault="00413A96" w:rsidP="00413A96">
      <w:r>
        <w:t>Administrativa Especial de Planeación Minero Energética (UPME) asumido por la Financiera de Desarrollo Nacional (FDN), antes Financiera Energética Nacional (FEN), será sufragado a través del presupuesto de la Nación ­ Ministerio de Minas y Energía o quien haga sus veces. En lo demás, la composición de los ingresos que conforman el presupuesto de la UPME no presentará variación.</w:t>
      </w:r>
    </w:p>
    <w:p w14:paraId="4E37D4C6" w14:textId="77777777" w:rsidR="00413A96" w:rsidRDefault="00413A96" w:rsidP="00413A96"/>
    <w:p w14:paraId="4EEA99F4" w14:textId="77777777" w:rsidR="00413A96" w:rsidRDefault="00413A96" w:rsidP="00413A96">
      <w:r>
        <w:t>ARTÍCULO 154. Compra de energía. Las empresas generadoras, transmisoras, distribuidoras y comercializadoras de energía podrán contratar, en cualquier tiempo, compras de energía de largo plazo, comprometiendo presupuesto con cargo a vigencias futuras que superen el respectivo período de gobierno, previa autorización del CONFIS o de la (sic) Juntas Directivas, cuando esa función les sea delegada por tal organismo.</w:t>
      </w:r>
    </w:p>
    <w:p w14:paraId="1921004E" w14:textId="77777777" w:rsidR="00413A96" w:rsidRDefault="00413A96" w:rsidP="00413A96"/>
    <w:p w14:paraId="221581EF" w14:textId="77777777" w:rsidR="00413A96" w:rsidRDefault="00413A96" w:rsidP="00413A96">
      <w:r>
        <w:t>En las Empresas Industriales y Comerciales del Estado y en las Sociedades de Economía Mixta que tengan régimen de Empresa Industrial y Comercial del Estado, los gastos relacionados con la adquisición de bienes y servicios necesarios para los procesos de producción, transformación y comercialización se clasificarán como proyectos de inversión.</w:t>
      </w:r>
    </w:p>
    <w:p w14:paraId="2E26803F" w14:textId="77777777" w:rsidR="00413A96" w:rsidRDefault="00413A96" w:rsidP="00413A96"/>
    <w:p w14:paraId="1612C33C" w14:textId="77777777" w:rsidR="00413A96" w:rsidRDefault="00413A96" w:rsidP="00413A96">
      <w:r>
        <w:t>PARÁGRAFO. Esta clasificación se entenderá estrictamente para efectos presupuestales y no contables. No se incluirán dentro de esta clasificación los gastos relacionados con la remuneración que se haga a la mano de obra independientemente de su forma de vinculación</w:t>
      </w:r>
    </w:p>
    <w:p w14:paraId="68D8A02C" w14:textId="77777777" w:rsidR="00413A96" w:rsidRDefault="00413A96" w:rsidP="00413A96"/>
    <w:p w14:paraId="5985ADD8" w14:textId="77777777" w:rsidR="00413A96" w:rsidRDefault="00413A96" w:rsidP="00413A96">
      <w:r>
        <w:t>ARTÍCULO 155. Del Fondo Adaptación. El Fondo Adaptación, creado mediante Decreto­ley 4819 de 2010, hará parte del Sistema Nacional de Gestión del Riesgo de Desastres en los términos de la Ley 1523 de 2012.</w:t>
      </w:r>
    </w:p>
    <w:p w14:paraId="786B2CF4" w14:textId="77777777" w:rsidR="00413A96" w:rsidRDefault="00413A96" w:rsidP="00413A96"/>
    <w:p w14:paraId="42A885A6" w14:textId="77777777" w:rsidR="00413A96" w:rsidRDefault="00413A96" w:rsidP="00413A96">
      <w:r>
        <w:t>Los contratos para la construcción y reconstrucción necesarios para la superación de los efectos derivados de la ocurrencia de desastres naturales a cargo del Fondo Adaptación, y en general todos aquellos necesarios para la ejecución de estas actividades, se regirán por el derecho privado. Lo anterior, con plena observancia de lo dispuesto en el artículo 13 de la Ley 1150 de 2007, sin perjuicio de la facultad de incluir las cláusulas excepcionales a que se refieren los artículos 14 a 18 de la Ley 80 de 1993 y de aplicar lo dispuesto en el artículo 17 de la Ley 1150 de 2007. La excepción a la aplicación del Estatuto General de Contratación Pública para los contratos a que se refiere el presente inciso, estará vigente hasta el 31 de diciembre de 2018.</w:t>
      </w:r>
    </w:p>
    <w:p w14:paraId="561C18A1" w14:textId="77777777" w:rsidR="00413A96" w:rsidRDefault="00413A96" w:rsidP="00413A96"/>
    <w:p w14:paraId="0EE9C4D7" w14:textId="77777777" w:rsidR="00413A96" w:rsidRDefault="00413A96" w:rsidP="00413A96">
      <w:r>
        <w:t xml:space="preserve">El Fondo Adaptación podrá estructurar y ejecutar proyectos integrales de reducción del riesgo y adaptación al </w:t>
      </w:r>
      <w:r>
        <w:lastRenderedPageBreak/>
        <w:t>cambio climático, en el marco del Sistema Nacional de Gestión del Riesgo de Desastres y en coordinación con los respectivos sectores, además de los que se deriven del fenómeno de la Niña 2010­2011, con el propósito de fortalecer las competencias del Sistema y contribuir a la reducción de la vulnerabilidad fiscal del Estado.</w:t>
      </w:r>
    </w:p>
    <w:p w14:paraId="3931123F" w14:textId="77777777" w:rsidR="00413A96" w:rsidRDefault="00413A96" w:rsidP="00413A96"/>
    <w:p w14:paraId="2A95BFD3" w14:textId="77777777" w:rsidR="00413A96" w:rsidRDefault="00413A96" w:rsidP="00413A96">
      <w:r>
        <w:t>PARÁGRAFO. Será responsabilidad de las entidades del orden nacional y territorial beneficiarias de los proyectos a cargo del Fondo Adaptación, garantizar su sostenibilidad y la puesta en marcha de los mecanismos técnicos, financieros y operacionales necesarios para su adecuada implementación.</w:t>
      </w:r>
    </w:p>
    <w:p w14:paraId="4DECB953" w14:textId="77777777" w:rsidR="00413A96" w:rsidRDefault="00413A96" w:rsidP="00413A96"/>
    <w:p w14:paraId="0D8E7D6C" w14:textId="77777777" w:rsidR="00413A96" w:rsidRDefault="00413A96" w:rsidP="00413A96">
      <w:r>
        <w:t>ARTÍCULO 156. Saneamiento por motivos de utilidad pública. Sin perjuicio de lo dispuesto en el artículo 245 de la Ley 1450 de 2011, la adquisición de inmuebles realizada por entidades públicas con ocasión de la ejecución de proyectos de utilidad pública e interés social en lo que atañe al Fondo Adaptación, gozará en favor de la entidad que los adquiere del saneamiento automático respecto de cualquier vicio de forma o de fondo, medidas cautelares, gravámenes que afecten la libre disposición del derecho de propiedad y, en general, de cualquier vicio relativo a su titulación y tradición, incluso los que surjan con posterioridad al proceso de adquisición, sin perjuicio de las acciones indemnizatorias que por cualquier causa puedan dirigirse contra los titulares inscritos en el respectivo folio de matrícula inmobiliaria, diferentes a la entidad pública adquirente. El saneamiento automático será invocado por la entidad adquirente en el título de tradición del dominio y será objeto de registro en el folio de matrícula correspondiente.</w:t>
      </w:r>
    </w:p>
    <w:p w14:paraId="2E6E4AAA" w14:textId="77777777" w:rsidR="00413A96" w:rsidRDefault="00413A96" w:rsidP="00413A96">
      <w:r>
        <w:t xml:space="preserve"> </w:t>
      </w:r>
    </w:p>
    <w:p w14:paraId="58331899" w14:textId="77777777" w:rsidR="00413A96" w:rsidRDefault="00413A96" w:rsidP="00413A96">
      <w:r>
        <w:t>Ningún saneamiento automático implicará el levantamiento de servidumbres de utilidad pública frente a redes y activos, ni el desconocimiento de los derechos inmobiliarios que hayan sido previamente adquiridos para el establecimiento de la infraestructura de servicios públicos domiciliarios y actividades complementarias, tecnologías de la Información y las comunicaciones y la industria del petróleo.</w:t>
      </w:r>
    </w:p>
    <w:p w14:paraId="3B43924E" w14:textId="77777777" w:rsidR="00413A96" w:rsidRDefault="00413A96" w:rsidP="00413A96"/>
    <w:p w14:paraId="2A508351" w14:textId="77777777" w:rsidR="00413A96" w:rsidRDefault="00413A96" w:rsidP="00413A96">
      <w:r>
        <w:t>PARÁGRAFO PRIMERO. Para la aplicación del mecanismo de saneamiento automático a que se refiere el presente artículo se dará aplicación a lo dispuesto en el parágrafo segundo del artículo 21 de la Ley 1682 de 2013, respecto de la verificación de la inscripción del inmueble objeto de saneamiento en el Registro de Tierras Despojadas y Abandonadas Forzosamente de la Ley 1448 de 2011, así como del procedimiento allí previsto para la adquisición de tales inmuebles. En los términos del artículo 72 de la Ley 1448 de 2011, en concordancia con lo dispuesto en el literal a) del numeral 1 del artículo 97 de la misma ley, sobre los inmuebles ubicados en zonas de alto riesgo, así como respecto de aquellos que serán destinados para la reubicación, en el marco de proyectos de reasentamiento por alto riesgo y/o desastres, se entenderá que existe imposibilidad jurídica para su restitución y en consecuencia se aplicará lo previsto en el parágrafo 2° del artículo 21 de la Ley 1682 de 2013 para estos casos.</w:t>
      </w:r>
    </w:p>
    <w:p w14:paraId="6DCA911E" w14:textId="77777777" w:rsidR="00413A96" w:rsidRDefault="00413A96" w:rsidP="00413A96"/>
    <w:p w14:paraId="0F2E0BCF" w14:textId="77777777" w:rsidR="00413A96" w:rsidRDefault="00413A96" w:rsidP="00413A96">
      <w:r>
        <w:t>PARÁGRAFO SEGUNDO. Las entidades públicas en el marco de proyectos de reasentamiento por alto riesgo y/o, desastre, podrán adquirir la propiedad, posesión o mejoras de los inmuebles destinados a vivienda ubicados en estas zonas de alto riesgo y/o desastre, por vía de permuta por la solución habitacional ofrecida. En aquellos casos en que por las características del proyecto de reasentamiento no sea viable la adquisición prevista en el inciso anterior, el procedimiento para la adquisición de los predios y para la imposición de servidumbres requeridas para su desarrollo, será el previsto en el Título IV Capítulo I de la Ley 1682 de 2013, específicamente los artículos 22 a 38 de la misma o las normas que los modifiquen, adicionen o sustituyan.</w:t>
      </w:r>
    </w:p>
    <w:p w14:paraId="7487CADB" w14:textId="77777777" w:rsidR="00413A96" w:rsidRDefault="00413A96" w:rsidP="00413A96"/>
    <w:p w14:paraId="187E186A" w14:textId="77777777" w:rsidR="00413A96" w:rsidRDefault="00413A96" w:rsidP="00413A96">
      <w:r>
        <w:t>ARTÍCULO 157. Reasentamiento. Con el objeto de reducir el riesgo de desastres y mitigar el impacto de los ya ocurridos, las entidades públicas adelantarán procesos o planes de reasentamiento o reubicación mediante el traslado de la población ubicada en zonas de alto riesgo o de desastre a otro lugar en el que se les proporcione un nuevo hábitat.</w:t>
      </w:r>
    </w:p>
    <w:p w14:paraId="387B60DE" w14:textId="77777777" w:rsidR="00413A96" w:rsidRDefault="00413A96" w:rsidP="00413A96"/>
    <w:p w14:paraId="703FEDA0" w14:textId="77777777" w:rsidR="00413A96" w:rsidRDefault="00413A96" w:rsidP="00413A96">
      <w:r>
        <w:t>Las entidades públicas en el marzo de procesos de reasentamiento o reubicación de población y atendiendo a las características que les hayan dado origen, adelantarán en las condiciones que señale el reglamento, una o varias de las siguientes acciones, provisión temporal de una solución de alojamiento; la adquisición de los predios ubicados en zona de alto riesgo o de desastre; la asesoría y formulación de un programa de vivienda para su reubicación de adquisición de la nueva alternativa o solución habitacional; la asignación otorgamiento del Valor Único de Reconocimiento, cuando a este hubiere lugar o la adquisición del inmueble ubicado en zona de alto riesgo o de desastre por la vía de permuta por la nueva solución habitacional ofrecida; el acompañamiento a le población objeto de reasentamiento para que puedan acceder a la oferta pública preferente de servicios sociales en el nuevo hábitat y el desarrollo de programas de reactivación económica.</w:t>
      </w:r>
    </w:p>
    <w:p w14:paraId="5F8C102E" w14:textId="77777777" w:rsidR="00413A96" w:rsidRDefault="00413A96" w:rsidP="00413A96"/>
    <w:p w14:paraId="1B5594B2" w14:textId="77777777" w:rsidR="00413A96" w:rsidRDefault="00413A96" w:rsidP="00413A96">
      <w:r>
        <w:lastRenderedPageBreak/>
        <w:t>Estas acciones se adelantarán de manera conjunta por las entidades intervinientes en el proceso de reasentamiento, en atención a sus competencias y funcione específicas y a las características del proyecto sin perjuicio de las competencias obligaciones señaladas en el artículo 121 de la Ley 388 de 1997 en cabeza de alcaldes, gobernadores y autoridades ambientales del nivel territorial y de le necesaria corresponsabilidad de la población objeto de reasentamiento.</w:t>
      </w:r>
    </w:p>
    <w:p w14:paraId="3D363E4A" w14:textId="77777777" w:rsidR="00413A96" w:rsidRDefault="00413A96" w:rsidP="00413A96"/>
    <w:p w14:paraId="65007D9D" w14:textId="77777777" w:rsidR="00413A96" w:rsidRDefault="00413A96" w:rsidP="00413A96">
      <w:r>
        <w:t>ARTÍCULO 158. Administración de los recursos del FRISCO. Adiciónense dos incisos al artículo 91 de la Ley 1708 de 2014, así:</w:t>
      </w:r>
    </w:p>
    <w:p w14:paraId="5EDFDCFB" w14:textId="77777777" w:rsidR="00413A96" w:rsidRDefault="00413A96" w:rsidP="00413A96"/>
    <w:p w14:paraId="4D2D6711" w14:textId="77777777" w:rsidR="00413A96" w:rsidRDefault="00413A96" w:rsidP="00413A96">
      <w:r>
        <w:t>“Los  bienes  y  recursos  determinados  en  el  presente  artículo  gozarán  de  le  protección de inembargabilidad. Las medidas cautelares implementadas en los trámites de extinción serán prevalentes sobre cualquier otra.</w:t>
      </w:r>
    </w:p>
    <w:p w14:paraId="61D7E7DE" w14:textId="77777777" w:rsidR="00413A96" w:rsidRDefault="00413A96" w:rsidP="00413A96">
      <w:r>
        <w:t xml:space="preserve"> </w:t>
      </w:r>
    </w:p>
    <w:p w14:paraId="32E710AF" w14:textId="77777777" w:rsidR="00413A96" w:rsidRDefault="00413A96" w:rsidP="00413A96"/>
    <w:p w14:paraId="6577C5AA" w14:textId="77777777" w:rsidR="00413A96" w:rsidRDefault="00413A96" w:rsidP="00413A96">
      <w:r>
        <w:t>La facultad para decidir sobre la destinación y distribución definitiva de los bienes que le corresponden a la Fiscalía General de la Nación y a la Rama Judicial, en los porcentajes establecidos en el inciso 1° del presente artículo, estará a cargo de un Comité integrado por un representante del Gobierno nacional, un representante de la Fiscalía General de la Nación y un representante de la Rama Judicial, quienes decidirán conforme a las solicitudes remitidas a este Comité por parte del administrador del FRISCO y de conformidad con el reglamento que el Comité expida para tal efecto”.</w:t>
      </w:r>
    </w:p>
    <w:p w14:paraId="3EE6FE86" w14:textId="77777777" w:rsidR="00413A96" w:rsidRDefault="00413A96" w:rsidP="00413A96"/>
    <w:p w14:paraId="3EBF2682" w14:textId="77777777" w:rsidR="00413A96" w:rsidRDefault="00413A96" w:rsidP="00413A96">
      <w:r>
        <w:t>ARTÍCULO 159. Obligatoriedad de suministro de información. Modifíquese el artículo 227 de la Ley 1450 de 2011, el cual quedará así:</w:t>
      </w:r>
    </w:p>
    <w:p w14:paraId="46351C2C" w14:textId="77777777" w:rsidR="00413A96" w:rsidRDefault="00413A96" w:rsidP="00413A96"/>
    <w:p w14:paraId="7E86A0BE" w14:textId="77777777" w:rsidR="00413A96" w:rsidRDefault="00413A96" w:rsidP="00413A96">
      <w:r>
        <w:t>“ARTÍCULO 227. Obligatoriedad de suministro de información. Para el desarrollo de los planes, programas y proyectos incluidos en el Plan Nacional de Desarrollo y en general para el ejercicio de las funciones públicas, las entidades públicas y los particulares que ejerzan funciones públicas, pondrán a disposición de las entidades públicas que así lo soliciten, la información que generen, obtengan, adquieran o controlen y administren, en cumplimiento y ejercicio de su objeto misional. El uso y reutilización de esta información deberá garantizar la observancia de los principios y normas de protección de datos personales, de conformidad con lo dispuesto en las Leyes 1581 de 2012 y 1712 de 2014, así como las demás normas que regulan la materia.</w:t>
      </w:r>
    </w:p>
    <w:p w14:paraId="0DD19449" w14:textId="77777777" w:rsidR="00413A96" w:rsidRDefault="00413A96" w:rsidP="00413A96"/>
    <w:p w14:paraId="3C32605A" w14:textId="77777777" w:rsidR="00413A96" w:rsidRDefault="00413A96" w:rsidP="00413A96">
      <w:r>
        <w:t>El suministro de la información será gratuito, deberá solicitarse y realizarse respaldado en estándares que faciliten el proceso de intercambio y no en tecnologías específicas que impidan el acceso, no estará sujeto al pago de tributo, tarifa o precio alguno y las entidades públicas solo podrán cobrar los costos asociados a su reproducción o los derivados de la aplicación de procesamientos o filtros especiales. Las entidades públicas propenderán por la integración de los sistemas de información para el ejercicio eficiente y adecuado de la función pública.</w:t>
      </w:r>
    </w:p>
    <w:p w14:paraId="73A7407F" w14:textId="77777777" w:rsidR="00413A96" w:rsidRDefault="00413A96" w:rsidP="00413A96"/>
    <w:p w14:paraId="7262463D" w14:textId="77777777" w:rsidR="00413A96" w:rsidRDefault="00413A96" w:rsidP="00413A96">
      <w:r>
        <w:t>Las obligaciones a las que hace referencia este artículo constituyen un deber para los servidores públicos en los términos del artículo 34 del Código Disciplinario Único y los términos para su cumplimiento deberán atender lo dispuesto en la Ley Estatutaria del Derecho de Petición.</w:t>
      </w:r>
    </w:p>
    <w:p w14:paraId="3F2D86F9" w14:textId="77777777" w:rsidR="00413A96" w:rsidRDefault="00413A96" w:rsidP="00413A96"/>
    <w:p w14:paraId="509FDF30" w14:textId="77777777" w:rsidR="00413A96" w:rsidRDefault="00413A96" w:rsidP="00413A96">
      <w:r>
        <w:t>Las curadurías urbanas entregarán a los entes territoriales que lo soliciten la información pertinente sobre las solicitudes, expediciones y aprobaciones de todos los actos administrativos de licenciamiento urbanístico, a fin de que estos puedan ejercer con oportunidad y eficacia los respectivos procesos de vigilancia y control del desarrollo urbanístico e inmobiliario. Para el efecto, cada ente territorial acordará con las curadurías urbanas respectivas los medios para el reporte de la información.</w:t>
      </w:r>
    </w:p>
    <w:p w14:paraId="20422163" w14:textId="77777777" w:rsidR="00413A96" w:rsidRDefault="00413A96" w:rsidP="00413A96"/>
    <w:p w14:paraId="24078A7D" w14:textId="77777777" w:rsidR="00413A96" w:rsidRDefault="00413A96" w:rsidP="00413A96">
      <w:r>
        <w:t>PARÁGRAFO 1°. Para el reconocimiento de derechos pensionales y el cumplimiento de la labor de fiscalización de competencia de la Unidad Administrativa Especial de Gestión Pensional y Contribuciones Parafiscales de la Protección Social (UGPP), esta tendrá acceso a la información alfanumérica y biográfica que administra la Registraduría Nacional del Estado Civil, así como a la tributaria de que trata el artículo 574 y el Capítulo III del Título II del Libro V del Estatuto Tributario que administra la Dirección de Impuestos y Aduanas Nacionales. La UGPP podrá reportar los hallazgos a las Administradoras del Sistema de Protección Social, para que adelanten las acciones bajo su competencia. Para estos efectos la UGPP requerirá a la Dirección de Impuestos y Aduanas Nacionales, dentro de lo de su competencia, para obtener la información necesaria.</w:t>
      </w:r>
    </w:p>
    <w:p w14:paraId="5058A7BD" w14:textId="77777777" w:rsidR="00413A96" w:rsidRDefault="00413A96" w:rsidP="00413A96"/>
    <w:p w14:paraId="7427DEB0" w14:textId="77777777" w:rsidR="00413A96" w:rsidRDefault="00413A96" w:rsidP="00413A96">
      <w:r>
        <w:t>PARÁGRAFO 2°. La Registraría (sic) Nacional de Estado Civil, permitirá el acceso a la información alfanumérica, biográfica y biométrica que soliciten las administradoras del sistema de seguridad social integral en pensiones, salud y riesgos laborales, para que adelanten las acciones estrictamente relacionadas con el cumplimiento de su objetivo misional.</w:t>
      </w:r>
    </w:p>
    <w:p w14:paraId="38970EC2" w14:textId="77777777" w:rsidR="00413A96" w:rsidRDefault="00413A96" w:rsidP="00413A96"/>
    <w:p w14:paraId="161DF608" w14:textId="77777777" w:rsidR="00413A96" w:rsidRDefault="00413A96" w:rsidP="00413A96">
      <w:r>
        <w:t>Las entidades públicas o particulares con funciones públicas que quieran verificar la plena identidad de  los  ciudadanos  contra  la  base  de  datos  biométrica  que  produce  y  administra</w:t>
      </w:r>
    </w:p>
    <w:p w14:paraId="1674444F" w14:textId="77777777" w:rsidR="00413A96" w:rsidRDefault="00413A96" w:rsidP="00413A96">
      <w:r>
        <w:t xml:space="preserve"> </w:t>
      </w:r>
    </w:p>
    <w:p w14:paraId="056D5568" w14:textId="77777777" w:rsidR="00413A96" w:rsidRDefault="00413A96" w:rsidP="00413A96">
      <w:r>
        <w:t>la Registraduría Nacional de Estado Civil, podrán implementar su propia infraestructura para acceder directamente o a través de un aliado tecnológico certificado por la Registraduría para consultar en línea las minucias dactilares.</w:t>
      </w:r>
    </w:p>
    <w:p w14:paraId="4E722DEE" w14:textId="77777777" w:rsidR="00413A96" w:rsidRDefault="00413A96" w:rsidP="00413A96"/>
    <w:p w14:paraId="0D58D151" w14:textId="77777777" w:rsidR="00413A96" w:rsidRDefault="00413A96" w:rsidP="00413A96">
      <w:r>
        <w:t>Los particulares que desarrollen las actividades del artículo 335 de la Constitución Política y los demás que autorice la ley, podrán acceder a las réplicas de las bases de datos de identificación de la Registradora y consultar en línea minucias dactilares, utilizando infraestructura propia o a través de un aliado tecnológico certificado por la Registraduría. Para ello deberán previamente cubrir los costos que anualmente indique la Registraduría, por concepto de Administración, soporte, mantenimiento de las aplicaciones de las actualizaciones de las bases de datos.</w:t>
      </w:r>
    </w:p>
    <w:p w14:paraId="2362B957" w14:textId="77777777" w:rsidR="00413A96" w:rsidRDefault="00413A96" w:rsidP="00413A96"/>
    <w:p w14:paraId="1D6CF8D4" w14:textId="77777777" w:rsidR="00413A96" w:rsidRDefault="00413A96" w:rsidP="00413A96">
      <w:r>
        <w:t>PARÁGRAFO 3°. Los Departamentos y el Distrito Capital estarán obligados a integrarse al Sistema Único Nacional de Información y Rastreo (SUNIR) que diseñe, implemente y administre la entidad pública que defina el Gobierno nacional, y a suministrar la información que este requiera. Este sistema, que tendrá en cuenta las especificidades de cada industria, se establecerá para obtener toda la información correspondiente a la importación, producción, distribución, consumo y exportación de los bienes sujetos al impuesto al consumo de licores, vinos, aperitivos y similares, de cerveza, sifones, refajos y mezclas y de cigarrillos y tabaco elaborado. El sistema permitirá además la identificación y trazabilidad de los productos.</w:t>
      </w:r>
    </w:p>
    <w:p w14:paraId="789295A9" w14:textId="77777777" w:rsidR="00413A96" w:rsidRDefault="00413A96" w:rsidP="00413A96"/>
    <w:p w14:paraId="2A845A86" w14:textId="77777777" w:rsidR="00413A96" w:rsidRDefault="00413A96" w:rsidP="00413A96">
      <w:r>
        <w:t>PARÁGRAFO 4°. Para el cumplimiento de las labores de controlar, fiscalizar y vigilar las modalidades de juegos de suerte y azar que administra Coljuegos, en lo relacionado con la información relevante para el ejercicio de su función, tendrá acceso a la información tributaria de que trata el artículo 574 y el Capítulo III del Título II del Libro V del Estatuto Tributario que administra la Dirección de Impuestos y Aduanas Nacionales.</w:t>
      </w:r>
    </w:p>
    <w:p w14:paraId="32919056" w14:textId="77777777" w:rsidR="00413A96" w:rsidRDefault="00413A96" w:rsidP="00413A96"/>
    <w:p w14:paraId="155AFBED" w14:textId="77777777" w:rsidR="00413A96" w:rsidRDefault="00413A96" w:rsidP="00413A96">
      <w:r>
        <w:t>PARÁGRAFO 5°. Las entidades públicas y privadas que administren o cuenten con información sobre historias laborales suministrarán la información que los Ministerios de Hacienda y Crédito Público y Trabajo estimen necesaria para la construcción de las historias laborales unificadas, siempre que esta información sea relevante para el ejercicio de funciones públicas y su solicitud, suministro, tratamiento y custodia observe los principios y normatividad vigente para el tratamiento de datos personales”.</w:t>
      </w:r>
    </w:p>
    <w:p w14:paraId="5E7F6DEA" w14:textId="77777777" w:rsidR="00413A96" w:rsidRDefault="00413A96" w:rsidP="00413A96"/>
    <w:p w14:paraId="59A89A66" w14:textId="77777777" w:rsidR="00413A96" w:rsidRDefault="00413A96" w:rsidP="00413A96">
      <w:r>
        <w:t>ARTÍCULO 160. Sistema Estadístico Nacional. Créase el Sistema Estadístico Nacional, en adelante SEN, con el objetivo de suministrar a la sociedad y al Estado, de manera coordinada entre las entidades productoras, estadísticas oficiales nacionales y territoriales de calidad, con lenguajes y procedimientos comunes respetuosos de los estándares estadísticos internacionales, que contribuyan a la transparencia, pertinencia, interoperabilidad, acceso, oportunidad y coherencia de las estadísticas producidas en el país.</w:t>
      </w:r>
    </w:p>
    <w:p w14:paraId="34382694" w14:textId="77777777" w:rsidR="00413A96" w:rsidRDefault="00413A96" w:rsidP="00413A96"/>
    <w:p w14:paraId="692CC857" w14:textId="77777777" w:rsidR="00413A96" w:rsidRDefault="00413A96" w:rsidP="00413A96">
      <w:r>
        <w:t>El SEN estará integrado por las entidades que produzcan y difundan estadísticas o sean responsables de registros administrativos, así:</w:t>
      </w:r>
    </w:p>
    <w:p w14:paraId="760EA3DE" w14:textId="77777777" w:rsidR="00413A96" w:rsidRDefault="00413A96" w:rsidP="00413A96"/>
    <w:p w14:paraId="2AB17BED" w14:textId="77777777" w:rsidR="00413A96" w:rsidRDefault="00413A96" w:rsidP="00413A96">
      <w:r>
        <w:t>1.</w:t>
      </w:r>
      <w:r>
        <w:tab/>
        <w:t>Pertenecientes a las Ramas del Poder Público, en todos los niveles de la estructura estatal, central o descentralizada por servicios o territorialmente; del orden nacional, departamental, municipal y distrital.</w:t>
      </w:r>
    </w:p>
    <w:p w14:paraId="75EC0BBC" w14:textId="77777777" w:rsidR="00413A96" w:rsidRDefault="00413A96" w:rsidP="00413A96"/>
    <w:p w14:paraId="7B8B26ED" w14:textId="77777777" w:rsidR="00413A96" w:rsidRDefault="00413A96" w:rsidP="00413A96">
      <w:r>
        <w:t>2.</w:t>
      </w:r>
      <w:r>
        <w:tab/>
        <w:t>Los órganos, organismos o entidades estatales independientes o autónomos de control.</w:t>
      </w:r>
    </w:p>
    <w:p w14:paraId="24614736" w14:textId="77777777" w:rsidR="00413A96" w:rsidRDefault="00413A96" w:rsidP="00413A96"/>
    <w:p w14:paraId="42F5B8DC" w14:textId="77777777" w:rsidR="00413A96" w:rsidRDefault="00413A96" w:rsidP="00413A96">
      <w:r>
        <w:t>3.</w:t>
      </w:r>
      <w:r>
        <w:tab/>
        <w:t>Las personas jurídicas, públicas o privadas, que presten servicios públicos.</w:t>
      </w:r>
    </w:p>
    <w:p w14:paraId="67C1AC62" w14:textId="77777777" w:rsidR="00413A96" w:rsidRDefault="00413A96" w:rsidP="00413A96"/>
    <w:p w14:paraId="0BFF0AFD" w14:textId="77777777" w:rsidR="00413A96" w:rsidRDefault="00413A96" w:rsidP="00413A96">
      <w:r>
        <w:t>4.</w:t>
      </w:r>
      <w:r>
        <w:tab/>
        <w:t>Cualquier persona jurídica o dependencia de persona jurídica que desempeñe función pública o de autoridad pública.</w:t>
      </w:r>
    </w:p>
    <w:p w14:paraId="52554827" w14:textId="77777777" w:rsidR="00413A96" w:rsidRDefault="00413A96" w:rsidP="00413A96"/>
    <w:p w14:paraId="2CBDDB82" w14:textId="77777777" w:rsidR="00413A96" w:rsidRDefault="00413A96" w:rsidP="00413A96">
      <w:r>
        <w:lastRenderedPageBreak/>
        <w:t>5.</w:t>
      </w:r>
      <w:r>
        <w:tab/>
        <w:t>Personas jurídicas que posean, produzcan o administren registros administrativos en el desarrollo de su objeto social, que sean insumos necesarios para la producción de estadísticas oficiales.</w:t>
      </w:r>
    </w:p>
    <w:p w14:paraId="0A9ACDD1" w14:textId="77777777" w:rsidR="00413A96" w:rsidRDefault="00413A96" w:rsidP="00413A96">
      <w:r>
        <w:t xml:space="preserve"> </w:t>
      </w:r>
    </w:p>
    <w:p w14:paraId="6FD67841" w14:textId="77777777" w:rsidR="00413A96" w:rsidRDefault="00413A96" w:rsidP="00413A96"/>
    <w:p w14:paraId="11D051B3" w14:textId="77777777" w:rsidR="00413A96" w:rsidRDefault="00413A96" w:rsidP="00413A96">
      <w:r>
        <w:t>El Departamento Administrativo Nacional de Estadística (DANE) será el ente rector y por tanto el coordinador y regulador del SEN. El DANE establecerá las condiciones y características que deberán cumplir las estadísticas oficiales en Colombia, respetando los estándares internacionales que usen las entidades productoras de estadísticas. Dichas condiciones y características serán consignadas en el Plan Estadístico Nacional, el cual será concertado con todos los integrantes del SEN.</w:t>
      </w:r>
    </w:p>
    <w:p w14:paraId="7FDAEBB5" w14:textId="77777777" w:rsidR="00413A96" w:rsidRDefault="00413A96" w:rsidP="00413A96"/>
    <w:p w14:paraId="0C917AFD" w14:textId="77777777" w:rsidR="00413A96" w:rsidRDefault="00413A96" w:rsidP="00413A96">
      <w:r>
        <w:t>PARÁGRAFO PRIMERO. Los integrantes del SEN implementarán los lineamientos, buenas prácticas, estándares y normas técnicas que el DANE defina soportado en referentes internacionales, para la producción y difusión de estadísticas oficiales y para el aprovechamiento estadístico de los registros administrativos. Con el fin de garantizar la calidad de las estadísticas oficiales de acuerdo con la reglamentación que expida el Gobierno nacional, los integrantes del SEN atenderán las obligaciones derivadas de las evaluaciones y requisitos de calidad estadística establecidos por el DANE o de las evaluaciones hechas por organismos internacionales.</w:t>
      </w:r>
    </w:p>
    <w:p w14:paraId="4427F5AE" w14:textId="77777777" w:rsidR="00413A96" w:rsidRDefault="00413A96" w:rsidP="00413A96"/>
    <w:p w14:paraId="4C08EFC6" w14:textId="77777777" w:rsidR="00413A96" w:rsidRDefault="00413A96" w:rsidP="00413A96">
      <w:r>
        <w:t>PARÁGRAFO SEGUNDO. Para la producción y difusión de estadísticas oficiales y de conformidad con la Ley 1266 de 2008 y la Ley 1712 de 2014, los integrantes del SEN deberán poner a disposición del DANE, de manera inmediata y de forma gratuita, las bases de datos completas de los registros administrativos que sean solicitados por el departamento, para lo cual no será oponible la reserva legal. El DANE garantizará la reserva y confidencialidad de la información en concordancia con el artículo 5° de la Ley 79 de 1993.</w:t>
      </w:r>
    </w:p>
    <w:p w14:paraId="0DE3576C" w14:textId="77777777" w:rsidR="00413A96" w:rsidRDefault="00413A96" w:rsidP="00413A96"/>
    <w:p w14:paraId="659D9190" w14:textId="77777777" w:rsidR="00413A96" w:rsidRDefault="00413A96" w:rsidP="00413A96">
      <w:r>
        <w:t>PARÁGRAFO TERCERO. El SEN contará con un Plan Estadístico Nacional quinquenal que será formulado por el DANE en conjunto con todos los integrantes del Sistema y aprobado por el Consejo Asesor Nacional de Estadística de que trata el parágrafo 5° del presente artículo. Las estrategias y acciones establecidas en el Plan Estadístico Nacional serán de obligatorio cumplimiento por los miembros del SEN.</w:t>
      </w:r>
    </w:p>
    <w:p w14:paraId="68E63E84" w14:textId="77777777" w:rsidR="00413A96" w:rsidRDefault="00413A96" w:rsidP="00413A96"/>
    <w:p w14:paraId="63F93BCC" w14:textId="77777777" w:rsidR="00413A96" w:rsidRDefault="00413A96" w:rsidP="00413A96">
      <w:r>
        <w:t>PARÁGRAFO CUARTO. Sin perjuicio de lo establecido en el parágrafo segundo del presente artículo, para la producción de estadísticas oficiales, y con el fin de contribuir al fortalecimiento de la calidad y coherencia de las mismas, los integrantes del SEN intercambiar n información estadística, hasta el nivel de microdato, de forma gratuita y oportuna, de acuerdo con la reglamentación que para el efecto expida  el  Gobierno  Nacional.  Los  requerimientos  de  intercambio  de  información  a  nivel de microdato deberán ser concertados en el Plan Estadístico Nacional o a través del Consejo Asesor Nacional de Estadística de que trata el parágrafo 5° de este artículo. Las entidades que hagan parte del intercambio de información deben salvaguardar la confidencialidad y reserva de la misma.</w:t>
      </w:r>
    </w:p>
    <w:p w14:paraId="6B77E5E3" w14:textId="77777777" w:rsidR="00413A96" w:rsidRDefault="00413A96" w:rsidP="00413A96"/>
    <w:p w14:paraId="71BB1B11" w14:textId="77777777" w:rsidR="00413A96" w:rsidRDefault="00413A96" w:rsidP="00413A96">
      <w:r>
        <w:t>PARÁGRAFO QUINTO. Con el fin de promover y facilitar la coordinación del SEN, créase el Consejo Asesor Nacional de Estadística como órgano de carácter consultivo. El Gobierno nacional reglamentará la composición y funcionamiento de este Consejo en el cual los órganos, organismos o entidades estatales independientes o autónomos de control deberán estar representados.</w:t>
      </w:r>
    </w:p>
    <w:p w14:paraId="320A40B4" w14:textId="77777777" w:rsidR="00413A96" w:rsidRDefault="00413A96" w:rsidP="00413A96"/>
    <w:p w14:paraId="4E611806" w14:textId="77777777" w:rsidR="00413A96" w:rsidRDefault="00413A96" w:rsidP="00413A96">
      <w:r>
        <w:t>ARTÍCULO 161. Censo Nacional de Población y Vivienda. El Departamento Administrativo Nacional de Estadística (DANE) realizará el XVIII Censo Nacional de Población y VII de Vivienda en el año 2016.</w:t>
      </w:r>
    </w:p>
    <w:p w14:paraId="7DE387D3" w14:textId="77777777" w:rsidR="00413A96" w:rsidRDefault="00413A96" w:rsidP="00413A96"/>
    <w:p w14:paraId="1CDEAE34" w14:textId="77777777" w:rsidR="00413A96" w:rsidRDefault="00413A96" w:rsidP="00413A96">
      <w:r>
        <w:t>Se llevará a cabo un conteo intercensal de población a los cinco (5) años de realizado el censo de población y vivienda para el monitoreo y seguimiento de la dinámica demográfica, y la actualización y mantenimiento del Marco Geoestadístico Nacional y de las proyecciones de población.</w:t>
      </w:r>
    </w:p>
    <w:p w14:paraId="25CDC0CE" w14:textId="77777777" w:rsidR="00413A96" w:rsidRDefault="00413A96" w:rsidP="00413A96"/>
    <w:p w14:paraId="616A765A" w14:textId="77777777" w:rsidR="00413A96" w:rsidRDefault="00413A96" w:rsidP="00413A96">
      <w:r>
        <w:t>ARTÍCULO 162. Enajenación de participaciones minoritarias de la Nación. Modifíquese el artículo 258 de la Ley 1450 de 2011, el cual quedará así:</w:t>
      </w:r>
    </w:p>
    <w:p w14:paraId="4C4B3A87" w14:textId="77777777" w:rsidR="00413A96" w:rsidRDefault="00413A96" w:rsidP="00413A96"/>
    <w:p w14:paraId="7D113318" w14:textId="77777777" w:rsidR="00413A96" w:rsidRDefault="00413A96" w:rsidP="00413A96">
      <w:r>
        <w:t>“ARTÍCULO 258. Enajenación de participaciones minoritarias de la Nación. La Nación podrá enajenar o entregar al colector de activos de la Nación, Central de Inversiones (CISA), aquellas participaciones</w:t>
      </w:r>
    </w:p>
    <w:p w14:paraId="17E208B2" w14:textId="77777777" w:rsidR="00413A96" w:rsidRDefault="00413A96" w:rsidP="00413A96">
      <w:r>
        <w:t xml:space="preserve"> </w:t>
      </w:r>
    </w:p>
    <w:p w14:paraId="55745A92" w14:textId="77777777" w:rsidR="00413A96" w:rsidRDefault="00413A96" w:rsidP="00413A96">
      <w:r>
        <w:t xml:space="preserve">accionarias en las cuales la propiedad de las mismas haya sido producto de un acto en el que no haya mediado la voluntad expresa de la Nación o que provengan de una dación en pago, siempre y cuando esta </w:t>
      </w:r>
      <w:r>
        <w:lastRenderedPageBreak/>
        <w:t>participación no supere el diez por ciento (10%) de la propiedad accionaria de la empresa.</w:t>
      </w:r>
    </w:p>
    <w:p w14:paraId="6BC37EEF" w14:textId="77777777" w:rsidR="00413A96" w:rsidRDefault="00413A96" w:rsidP="00413A96"/>
    <w:p w14:paraId="45E9863E" w14:textId="77777777" w:rsidR="00413A96" w:rsidRDefault="00413A96" w:rsidP="00413A96">
      <w:r>
        <w:t>Cuando la Nación opte por enajenar la participación en una empresa deberá dar aplicación al régimen societario al que se encuentra sometida. Para efectos de la valoración de la participación deberá contarse con la no objeción de la Dirección General de Crédito Público y Tesoro Nacional del Ministerio de Hacienda y Crédito Público.</w:t>
      </w:r>
    </w:p>
    <w:p w14:paraId="2ACFD643" w14:textId="77777777" w:rsidR="00413A96" w:rsidRDefault="00413A96" w:rsidP="00413A96"/>
    <w:p w14:paraId="025B84BC" w14:textId="77777777" w:rsidR="00413A96" w:rsidRDefault="00413A96" w:rsidP="00413A96">
      <w:r>
        <w:t>En el evento en que la Nación decida entregar las acciones para que el Colector de Activos adelante el proceso de enajenación, este se efectuará conforme al modelo de valoración y al procedimiento establecido por CISA”.</w:t>
      </w:r>
    </w:p>
    <w:p w14:paraId="0BFFE336" w14:textId="77777777" w:rsidR="00413A96" w:rsidRDefault="00413A96" w:rsidP="00413A96"/>
    <w:p w14:paraId="72BC49F6" w14:textId="77777777" w:rsidR="00413A96" w:rsidRDefault="00413A96" w:rsidP="00413A96">
      <w:r>
        <w:t>ARTÍCULO 163. Movilización de activos. Modifíquese el artículo 238 de la Ley 1450 de 2011, el cual quedará así:</w:t>
      </w:r>
    </w:p>
    <w:p w14:paraId="3C6E4DCE" w14:textId="77777777" w:rsidR="00413A96" w:rsidRDefault="00413A96" w:rsidP="00413A96"/>
    <w:p w14:paraId="6EABB4AB" w14:textId="77777777" w:rsidR="00413A96" w:rsidRDefault="00413A96" w:rsidP="00413A96">
      <w:r>
        <w:t>“ARTÍCULO 238. Movilización de activos. A partir de la expedición de la presente ley, las entidades públicas del orden nacional con excepción de las entidades financieras de carácter estatal, las Empresas Industriales y Comerciales del Estado, las Sociedades de Economía Mixta y las entidades en liquidación, deberán vender los inmuebles que no requieran para el ejercicio de sus funciones y la cartera con más de ciento ochenta (180) días de vencida, al colector de activos de la Nación, Central de Inversiones (CISA), para que este las gestione.</w:t>
      </w:r>
    </w:p>
    <w:p w14:paraId="4C3F0659" w14:textId="77777777" w:rsidR="00413A96" w:rsidRDefault="00413A96" w:rsidP="00413A96"/>
    <w:p w14:paraId="28E3527C" w14:textId="77777777" w:rsidR="00413A96" w:rsidRDefault="00413A96" w:rsidP="00413A96">
      <w:r>
        <w:t>La cartera de naturaleza coactiva y la que no esté vencida, podrá ser entregada en administración a CISA.</w:t>
      </w:r>
    </w:p>
    <w:p w14:paraId="33E023D5" w14:textId="77777777" w:rsidR="00413A96" w:rsidRDefault="00413A96" w:rsidP="00413A96"/>
    <w:p w14:paraId="38CB727A" w14:textId="77777777" w:rsidR="00413A96" w:rsidRDefault="00413A96" w:rsidP="00413A96">
      <w:r>
        <w:t>El registro de la transferencia de los inmuebles entre las entidades públicas y CISA, estará exento de los gastos asociados a dicho acto.</w:t>
      </w:r>
    </w:p>
    <w:p w14:paraId="6FF392D3" w14:textId="77777777" w:rsidR="00413A96" w:rsidRDefault="00413A96" w:rsidP="00413A96"/>
    <w:p w14:paraId="6E54A70E" w14:textId="77777777" w:rsidR="00413A96" w:rsidRDefault="00413A96" w:rsidP="00413A96">
      <w:r>
        <w:t>PARÁGRAFO 1°. Se exceptúa a las entidades públicas de la obligación de vender su cartera a Central de Inversiones (CISA) cuando se haya iniciado el cobro coactivo. Se entenderá que ha iniciado el cobro coactivo cuando se haya librado mandamiento de pago. Se exceptúa igualmente la cartera proveniente de las operaciones de crédito público celebradas por la Nación, Ministerio de Hacienda y Crédito Público y de la Unidad Administrativa Especial de Impuestos y Aduanas Nacionales.</w:t>
      </w:r>
    </w:p>
    <w:p w14:paraId="4099AE69" w14:textId="77777777" w:rsidR="00413A96" w:rsidRDefault="00413A96" w:rsidP="00413A96"/>
    <w:p w14:paraId="62C4C264" w14:textId="77777777" w:rsidR="00413A96" w:rsidRDefault="00413A96" w:rsidP="00413A96">
      <w:r>
        <w:t>PARÁGRAFO 2°. La forma, los plazos para el traslado de los recursos que genere la gestión de los activos a que se refiere el presente artículo, las condiciones para determinar los casos en que un activo no es requerido por una entidad para el ejercicio de sus funciones, el valor de las comisiones para la administración y/o comercialización serán reglamentados por el Gobierno Nacional.</w:t>
      </w:r>
    </w:p>
    <w:p w14:paraId="316264C6" w14:textId="77777777" w:rsidR="00413A96" w:rsidRDefault="00413A96" w:rsidP="00413A96"/>
    <w:p w14:paraId="26C0CFBB" w14:textId="77777777" w:rsidR="00413A96" w:rsidRDefault="00413A96" w:rsidP="00413A96">
      <w:r>
        <w:t>PARÁGRAFO 3°. Los negocios que se celebren con Central de Inversiones (CISA) se realizarán mediante contrato administrativo y bajo las condiciones que fije el modelo de valoración definido por el Gobierno nacional para CISA.</w:t>
      </w:r>
    </w:p>
    <w:p w14:paraId="4DEDFD91" w14:textId="77777777" w:rsidR="00413A96" w:rsidRDefault="00413A96" w:rsidP="00413A96"/>
    <w:p w14:paraId="3E258C34" w14:textId="77777777" w:rsidR="00413A96" w:rsidRDefault="00413A96" w:rsidP="00413A96">
      <w:r>
        <w:t>PARÁGRAFO 4°. En los eventos en que la cartera sea de imposible recaudo por la prescripción o caducidad de la acción, por la pérdida de fuerza ejecutoria del acto administrativo que le dio origen o por la inexistencia probada del deudor o su insolvencia demostrada y por tanto no sea posible ejercer los derechos de cobro o bien porque la relación costo­beneficio al realizar su cobro no resulta eficiente; las entidades públicas ya señaladas, podrán realizar la depuración definitiva de estos saldos contables, realizando un informe detallado de las causales por las cuales se depura y las excluirá de la gestión, el Gobierno nacional reglamentará la materia.</w:t>
      </w:r>
    </w:p>
    <w:p w14:paraId="41806947" w14:textId="77777777" w:rsidR="00413A96" w:rsidRDefault="00413A96" w:rsidP="00413A96"/>
    <w:p w14:paraId="7653A015" w14:textId="77777777" w:rsidR="00413A96" w:rsidRDefault="00413A96" w:rsidP="00413A96">
      <w:r>
        <w:t>PARÁGRAFO 5°. Los inmuebles que se hubieran transferido por parte de las Entidades Públicas a</w:t>
      </w:r>
    </w:p>
    <w:p w14:paraId="013136ED" w14:textId="77777777" w:rsidR="00413A96" w:rsidRDefault="00413A96" w:rsidP="00413A96">
      <w:r>
        <w:t xml:space="preserve"> </w:t>
      </w:r>
    </w:p>
    <w:p w14:paraId="5814C7C9" w14:textId="77777777" w:rsidR="00413A96" w:rsidRDefault="00413A96" w:rsidP="00413A96">
      <w:r>
        <w:t>Central de Inversiones (CISA) en virtud del artículo 238 de la Ley 1450 de 2011 y del artículo 26 de la Le 1420 de 2010, que a la fecha de expedición de la presente ley no hayan sido enajenados por CISA, podrán enajenarse por esta entidad de acuerdo a sus política y procedimientos. Los recursos obtenidos por estas ventas así como los frutos de dichos bienes, se girarán al Ministerio de Hacienda y Crédito Público al final de cada ejercicio por CISA una vez descontados los costos asumidos por esta entidad así como la comisión por la venta fijada según sus políticas y procedimientos”.</w:t>
      </w:r>
    </w:p>
    <w:p w14:paraId="304151DF" w14:textId="77777777" w:rsidR="00413A96" w:rsidRDefault="00413A96" w:rsidP="00413A96"/>
    <w:p w14:paraId="54EEB3DF" w14:textId="77777777" w:rsidR="00413A96" w:rsidRDefault="00413A96" w:rsidP="00413A96">
      <w:r>
        <w:t xml:space="preserve">ARTÍCULO 164. Conformación y funcionamiento del CONPES. Unifíquese el CONPES y el CONPES para la </w:t>
      </w:r>
      <w:r>
        <w:lastRenderedPageBreak/>
        <w:t>Política Social en un solo organismo asesor del Gobierno en todos los aspectos que se relacionen con el desarrollo económico y social del país, en el Consejo de Política Económica y Social (CONPES). El Gobierno nacional fijará las reglas de funcionamiento del CONPES.</w:t>
      </w:r>
    </w:p>
    <w:p w14:paraId="64776660" w14:textId="77777777" w:rsidR="00413A96" w:rsidRDefault="00413A96" w:rsidP="00413A96"/>
    <w:p w14:paraId="539F4E16" w14:textId="77777777" w:rsidR="00413A96" w:rsidRDefault="00413A96" w:rsidP="00413A96">
      <w:r>
        <w:t>Serán miembros permanentes del CONPES con voz y con voto, los Ministros de Despacho y los Directores de Departamentos Administrativos que se requieran para su adecuado funcionamiento. A discreción del Gobierno se establecerán los invitados con voz y sin voto.</w:t>
      </w:r>
    </w:p>
    <w:p w14:paraId="21837A56" w14:textId="77777777" w:rsidR="00413A96" w:rsidRDefault="00413A96" w:rsidP="00413A96"/>
    <w:p w14:paraId="4BF8EEA3" w14:textId="77777777" w:rsidR="00413A96" w:rsidRDefault="00413A96" w:rsidP="00413A96">
      <w:r>
        <w:t>Para el cumplimiento de sus objetivos el Consejo Nacional de Política Económica y Social tendrá las siguientes funciones:</w:t>
      </w:r>
    </w:p>
    <w:p w14:paraId="27E7C24D" w14:textId="77777777" w:rsidR="00413A96" w:rsidRDefault="00413A96" w:rsidP="00413A96"/>
    <w:p w14:paraId="0115CAB6" w14:textId="77777777" w:rsidR="00413A96" w:rsidRDefault="00413A96" w:rsidP="00413A96">
      <w:r>
        <w:t>1.</w:t>
      </w:r>
      <w:r>
        <w:tab/>
        <w:t>Servir de organismo coordinador y señalar las orientaciones generales que deben seguir los distintos organismos especializados de la dirección económica y social del Gobierno.</w:t>
      </w:r>
    </w:p>
    <w:p w14:paraId="3C0E4737" w14:textId="77777777" w:rsidR="00413A96" w:rsidRDefault="00413A96" w:rsidP="00413A96"/>
    <w:p w14:paraId="0ACECB12" w14:textId="77777777" w:rsidR="00413A96" w:rsidRDefault="00413A96" w:rsidP="00413A96">
      <w:r>
        <w:t>2.</w:t>
      </w:r>
      <w:r>
        <w:tab/>
        <w:t>Aprobar los documentos de política económica y social que sirvan de base para la elaboración de los planes y programas de desarrollo.</w:t>
      </w:r>
    </w:p>
    <w:p w14:paraId="3A51386C" w14:textId="77777777" w:rsidR="00413A96" w:rsidRDefault="00413A96" w:rsidP="00413A96"/>
    <w:p w14:paraId="58EE5AA1" w14:textId="77777777" w:rsidR="00413A96" w:rsidRDefault="00413A96" w:rsidP="00413A96">
      <w:r>
        <w:t>3.</w:t>
      </w:r>
      <w:r>
        <w:tab/>
        <w:t>Aprobar el Plan Nacional de Desarrollo conforme a la Constitución y a la Ley 152 de 1994.</w:t>
      </w:r>
    </w:p>
    <w:p w14:paraId="4B17B2B2" w14:textId="77777777" w:rsidR="00413A96" w:rsidRDefault="00413A96" w:rsidP="00413A96"/>
    <w:p w14:paraId="672F3931" w14:textId="77777777" w:rsidR="00413A96" w:rsidRDefault="00413A96" w:rsidP="00413A96">
      <w:r>
        <w:t>4.</w:t>
      </w:r>
      <w:r>
        <w:tab/>
        <w:t>Aprobar el informe sobre el resultado del total de las evaluaciones del Plan Nacional de Desarrollo con un documento que se constituirá en la base para el diseño del plan de inversiones del próximo año.</w:t>
      </w:r>
    </w:p>
    <w:p w14:paraId="19B20789" w14:textId="77777777" w:rsidR="00413A96" w:rsidRDefault="00413A96" w:rsidP="00413A96"/>
    <w:p w14:paraId="5DD7DA79" w14:textId="77777777" w:rsidR="00413A96" w:rsidRDefault="00413A96" w:rsidP="00413A96">
      <w:r>
        <w:t>5.</w:t>
      </w:r>
      <w:r>
        <w:tab/>
        <w:t>Estudiar y aprobar los informes periódicos u ocasionales que se le presenten a través de su Secretaria Técnica, sobre el desarrollo de los planes, programas y políticas generales, sectoriales y regionales, y recomendar las medidas que deban adoptarse para el cumplimiento de tales planes y programas.</w:t>
      </w:r>
    </w:p>
    <w:p w14:paraId="3CE54DA4" w14:textId="77777777" w:rsidR="00413A96" w:rsidRDefault="00413A96" w:rsidP="00413A96"/>
    <w:p w14:paraId="43E065D1" w14:textId="77777777" w:rsidR="00413A96" w:rsidRDefault="00413A96" w:rsidP="00413A96">
      <w:r>
        <w:t>6.</w:t>
      </w:r>
      <w:r>
        <w:tab/>
        <w:t>Hacer seguimiento al avance, de las metas del Plan Nacional de Desarrollo, para alcanzar plenamente los objetivos de desarrollo sostenible a los que se ha comprometido previamente la Nación, de acuerdo con la información que las entidades territoriales alleguen a los ministerios, entidades competentes y al Departamento Nacional de Planeación, sobre la inclusión en sus Planes de Desarrollo de objetivos, metas y estrategias concretas dirigidas a la consecución de dichas metas.</w:t>
      </w:r>
    </w:p>
    <w:p w14:paraId="12AEE995" w14:textId="77777777" w:rsidR="00413A96" w:rsidRDefault="00413A96" w:rsidP="00413A96"/>
    <w:p w14:paraId="5B43A6C2" w14:textId="77777777" w:rsidR="00413A96" w:rsidRDefault="00413A96" w:rsidP="00413A96">
      <w:r>
        <w:t>7.</w:t>
      </w:r>
      <w:r>
        <w:tab/>
        <w:t>Hacer seguimiento a los compromisos realizados por los ministerios y demás entidades a la luz de las políticas y programas aprobados por el CONPES.</w:t>
      </w:r>
    </w:p>
    <w:p w14:paraId="4D615211" w14:textId="77777777" w:rsidR="00413A96" w:rsidRDefault="00413A96" w:rsidP="00413A96"/>
    <w:p w14:paraId="29963E1A" w14:textId="77777777" w:rsidR="00413A96" w:rsidRDefault="00413A96" w:rsidP="00413A96">
      <w:r>
        <w:t>8.</w:t>
      </w:r>
      <w:r>
        <w:tab/>
        <w:t>Estudiar y definir, sin perjuicio de las competencias del Consejo de Política Fiscal (CONFIS), los instrumentos de política fiscal (Superávit Primario para Sector Público No Financiero, Plan Financiero, Plan Operativo Anual de inversiones, y Marco de Gasto de Mediano Plazo) según la normatividad vigente.</w:t>
      </w:r>
    </w:p>
    <w:p w14:paraId="03D942D1" w14:textId="77777777" w:rsidR="00413A96" w:rsidRDefault="00413A96" w:rsidP="00413A96"/>
    <w:p w14:paraId="40E4F776" w14:textId="77777777" w:rsidR="00413A96" w:rsidRDefault="00413A96" w:rsidP="00413A96">
      <w:r>
        <w:t>ARTÍCULO 165. Funciones especializadas del CONPES. Con el fin de precisar y determinar las competencias del CONPES, en concordancia con las funciones que se le asignan, reasígnense y elimínense las siguientes competencias:</w:t>
      </w:r>
    </w:p>
    <w:p w14:paraId="2AF631CD" w14:textId="77777777" w:rsidR="00413A96" w:rsidRDefault="00413A96" w:rsidP="00413A96"/>
    <w:p w14:paraId="41E14756" w14:textId="77777777" w:rsidR="00413A96" w:rsidRDefault="00413A96" w:rsidP="00413A96">
      <w:r>
        <w:t>1.</w:t>
      </w:r>
      <w:r>
        <w:tab/>
        <w:t>En los procedimientos descritos en los artículos 16.1.2, 16.2, 41, 49, 66, 71, 79.4, 94, en el</w:t>
      </w:r>
    </w:p>
    <w:p w14:paraId="7A7A7B1E" w14:textId="77777777" w:rsidR="00413A96" w:rsidRDefault="00413A96" w:rsidP="00413A96">
      <w:r>
        <w:t xml:space="preserve"> </w:t>
      </w:r>
    </w:p>
    <w:p w14:paraId="47D215AD" w14:textId="77777777" w:rsidR="00413A96" w:rsidRDefault="00413A96" w:rsidP="00413A96">
      <w:r>
        <w:t>parágrafo 5° del artículo 48 de la Ley 715 de 2001; y el parágrafo del artículo 21 de la Ley 1286 de 2009, el Departamento Nacional de Planeación hará las veces del CONPES, a partir de la entrada en vigencia de esta ley.</w:t>
      </w:r>
    </w:p>
    <w:p w14:paraId="6196575A" w14:textId="77777777" w:rsidR="00413A96" w:rsidRDefault="00413A96" w:rsidP="00413A96"/>
    <w:p w14:paraId="5FA1F8CD" w14:textId="77777777" w:rsidR="00413A96" w:rsidRDefault="00413A96" w:rsidP="00413A96">
      <w:r>
        <w:t>2.</w:t>
      </w:r>
      <w:r>
        <w:tab/>
        <w:t>Elimínese la competencia del CONPES descrita en los procedimientos incorporados en los artículos 85 y 87 de la Ley 715 de 2001.</w:t>
      </w:r>
    </w:p>
    <w:p w14:paraId="63D2B9E5" w14:textId="77777777" w:rsidR="00413A96" w:rsidRDefault="00413A96" w:rsidP="00413A96"/>
    <w:p w14:paraId="263275D6" w14:textId="77777777" w:rsidR="00413A96" w:rsidRDefault="00413A96" w:rsidP="00413A96">
      <w:r>
        <w:t>ARTÍCULO 166. Participación en los Órganos Colegiados de Administración y Decisión. Modifíquese el inciso 1° del artículo 42 de La Ley 1530 de 2012, el cual quedará así:</w:t>
      </w:r>
    </w:p>
    <w:p w14:paraId="78DF5EF1" w14:textId="77777777" w:rsidR="00413A96" w:rsidRDefault="00413A96" w:rsidP="00413A96"/>
    <w:p w14:paraId="2C4A3957" w14:textId="77777777" w:rsidR="00413A96" w:rsidRDefault="00413A96" w:rsidP="00413A96">
      <w:r>
        <w:t xml:space="preserve">“ARTÍCULO 42°. Órganos Colegiados de Administración y Decisión. Los Órganos Colegiados de Administración y Decisión de los departamentos estarán integrados por dos (2) Ministros o sus delegados, el gobernador respectivo o su delegado y un número equivalente al diez por ciento (10%) de los alcaldes del </w:t>
      </w:r>
      <w:r>
        <w:lastRenderedPageBreak/>
        <w:t>departamento, o sus delegados, quienes serán elegidos de conformidad con lo que se señale por la Comisión Rectora del Sistema General en lo relacionado con las elecciones de representantes de alcaldes ante los órganos colegiados de administración y decisión”.</w:t>
      </w:r>
    </w:p>
    <w:p w14:paraId="368686C3" w14:textId="77777777" w:rsidR="00413A96" w:rsidRDefault="00413A96" w:rsidP="00413A96"/>
    <w:p w14:paraId="61ECBD9B" w14:textId="77777777" w:rsidR="00413A96" w:rsidRDefault="00413A96" w:rsidP="00413A96">
      <w:r>
        <w:t>Los integrantes de las Comisiones Regionales de Competitividad podrán ser invitados a las sesiones de los OCAD departamentales, regionales y de Ciencia, Tecnología e Innovación en el marco del sistema de Competitividad, Ciencia, Tecnología e Innovación. Esta participación será ad honorem y no tendrá carácter vinculante.</w:t>
      </w:r>
    </w:p>
    <w:p w14:paraId="5232CA2F" w14:textId="77777777" w:rsidR="00413A96" w:rsidRDefault="00413A96" w:rsidP="00413A96"/>
    <w:p w14:paraId="018355FA" w14:textId="77777777" w:rsidR="00413A96" w:rsidRDefault="00413A96" w:rsidP="00413A96">
      <w:r>
        <w:t>ARTÍCULO 167. Órganos Colegiados de Administración y Decisión por Regiones. Modifíquese el artículo 159 de La Ley 1530 de 2012, el cual quedará así:</w:t>
      </w:r>
    </w:p>
    <w:p w14:paraId="268616B0" w14:textId="77777777" w:rsidR="00413A96" w:rsidRDefault="00413A96" w:rsidP="00413A96"/>
    <w:p w14:paraId="012120A1" w14:textId="77777777" w:rsidR="00413A96" w:rsidRDefault="00413A96" w:rsidP="00413A96">
      <w:r>
        <w:t>“ARTÍCULO 159. Órganos Colegiados de Administración y Decisión por Regiones. Los órganos colegiados de administración y decisión que se conforman por regiones estarán constituidos por todos los gobernadores que la componen, dos alcaldes por cada uno de sus departamentos y un alcalde adicional elegido por los alcaldes de las ciudades capitales de los departamentos de la región. También serán miembros cuatro (4) Ministros o sus delegados, uno de los cuales será el Ministro de Ambiente y Desarrollo Sostenible o su delegado, y el Director del Departamento Nacional de Planeación o su delegado. Los gobernadores serán miembros permanentes por la totalidad de su periodo de gobierno”.</w:t>
      </w:r>
    </w:p>
    <w:p w14:paraId="6EED726D" w14:textId="77777777" w:rsidR="00413A96" w:rsidRDefault="00413A96" w:rsidP="00413A96"/>
    <w:p w14:paraId="264BAF0E" w14:textId="77777777" w:rsidR="00413A96" w:rsidRDefault="00413A96" w:rsidP="00413A96">
      <w:r>
        <w:t>ARTÍCULO 168. Liquidación del Fondo Nacional de Regalías, Cierre de Proyectos. En el trámite de la liquidación del Fondo Nacional de Regalías, las presuntas irregularidades identificadas en el uso de las asignaciones del mismo o en depósito en este, no darán lugar al inicio de procedimientos administrativos correctivos. Lo anterior, sin perjuicio de la obligación de reportarlas a los Órganos de Control o a la Fiscalía General de la Nación, cuando a ello hubiere lugar.</w:t>
      </w:r>
    </w:p>
    <w:p w14:paraId="408785A0" w14:textId="77777777" w:rsidR="00413A96" w:rsidRDefault="00413A96" w:rsidP="00413A96"/>
    <w:p w14:paraId="2A1E274A" w14:textId="77777777" w:rsidR="00413A96" w:rsidRDefault="00413A96" w:rsidP="00413A96">
      <w:r>
        <w:t>Las modificaciones efectuadas a los proyectos de inversión financiados con asignaciones del Fondo Nacional de Regalías o en depósito en este, son susceptibles de concepto técnico por las instancias viabilizadoras.</w:t>
      </w:r>
    </w:p>
    <w:p w14:paraId="61D60564" w14:textId="77777777" w:rsidR="00413A96" w:rsidRDefault="00413A96" w:rsidP="00413A96"/>
    <w:p w14:paraId="6A99C06A" w14:textId="77777777" w:rsidR="00413A96" w:rsidRDefault="00413A96" w:rsidP="00413A96">
      <w:r>
        <w:t>Las devoluciones que deba adelantar el Fondo Nacional de Regalías, en liquidación, por recursos que hayan sido dispuestos a su favor sin que se hubiera estado obligado a ello, podrán ser reintegrados con cargo a los recursos de que disponga el Fondo, sin que para el efecto se requiera operación presupuestal alguna, sino la depuración contable que aplique para evidenciar la devolución.</w:t>
      </w:r>
    </w:p>
    <w:p w14:paraId="2777A2B6" w14:textId="77777777" w:rsidR="00413A96" w:rsidRDefault="00413A96" w:rsidP="00413A96"/>
    <w:p w14:paraId="33A9F1CA" w14:textId="77777777" w:rsidR="00413A96" w:rsidRDefault="00413A96" w:rsidP="00413A96">
      <w:r>
        <w:t>ARTÍCULO 169. Sociedades Titularizadoras. Las sociedades titularizadoras creadas por el artículo 14 de la Ley 546 de 1999 podrán titularizar activos no hipotecarios según lo previsto en el artículo 72 de la Ley 1328 de 2009.</w:t>
      </w:r>
    </w:p>
    <w:p w14:paraId="19ADABC6" w14:textId="77777777" w:rsidR="00413A96" w:rsidRDefault="00413A96" w:rsidP="00413A96"/>
    <w:p w14:paraId="36A39928" w14:textId="77777777" w:rsidR="00413A96" w:rsidRDefault="00413A96" w:rsidP="00413A96">
      <w:r>
        <w:t>CAPÍTULO VI</w:t>
      </w:r>
    </w:p>
    <w:p w14:paraId="3D375F49" w14:textId="77777777" w:rsidR="00413A96" w:rsidRDefault="00413A96" w:rsidP="00413A96">
      <w:r>
        <w:t xml:space="preserve"> </w:t>
      </w:r>
    </w:p>
    <w:p w14:paraId="104F3F80" w14:textId="77777777" w:rsidR="00413A96" w:rsidRDefault="00413A96" w:rsidP="00413A96">
      <w:r>
        <w:t>CRECIMIENTO VERDE</w:t>
      </w:r>
    </w:p>
    <w:p w14:paraId="4B43CC05" w14:textId="77777777" w:rsidR="00413A96" w:rsidRDefault="00413A96" w:rsidP="00413A96"/>
    <w:p w14:paraId="02F6B057" w14:textId="77777777" w:rsidR="00413A96" w:rsidRDefault="00413A96" w:rsidP="00413A96">
      <w:r>
        <w:t>ARTÍCULO 170. Formulación de una política de crecimiento verde de largo plazo. El Gobierno Nacional, a través del Departamento Nacional de Planeación en coordinación con el Ministerio de Ambiente y Desarrollo Sostenible, y con participación de los ministerios, formulará una política de crecimiento verde de largo plazo en la cual se definan los objetivos y metas de crecimiento económico sostenible. Dentro de sus estrategias se diseñará un programa de promoción de la investigación, desarrollo tecnológico e innovación para el fortalecimiento de la competitividad nacional y regional a partir de productos y actividades que contribuyan con el desarrollo sostenible y que aporten al crecimiento verde.</w:t>
      </w:r>
    </w:p>
    <w:p w14:paraId="4CD7A8E3" w14:textId="77777777" w:rsidR="00413A96" w:rsidRDefault="00413A96" w:rsidP="00413A96"/>
    <w:p w14:paraId="0876D78D" w14:textId="77777777" w:rsidR="00413A96" w:rsidRDefault="00413A96" w:rsidP="00413A96">
      <w:r>
        <w:t>Asimismo, se revisarán los mecanismos e instrumentos de mercado existentes que puedan tener efectos adversos sobre el medio ambiente, con el fin de proponer su desmonte gradual y nuevos mecanismos e instrumentos de mercado que fomenten el crecimiento verde.</w:t>
      </w:r>
    </w:p>
    <w:p w14:paraId="5237E07D" w14:textId="77777777" w:rsidR="00413A96" w:rsidRDefault="00413A96" w:rsidP="00413A96"/>
    <w:p w14:paraId="44ABF1F4" w14:textId="77777777" w:rsidR="00413A96" w:rsidRDefault="00413A96" w:rsidP="00413A96">
      <w:r>
        <w:t xml:space="preserve">Los Ministerios de Hacienda, Agricultura y Desarrollo Rural, Minas y Energía, Transporte, Salud y Protección Social, Vivienda, Ciudad y Territorio y Comercio, Industria y Turismo, formularán e implementarán planes sectoriales de adaptación al cambio climático y planes de acción sectorial de mitigación de la Estrategia Colombiana de Desarrollo Bajo en Carbono, los cuales contendrán metas sectoriales cuantitativas de </w:t>
      </w:r>
      <w:r>
        <w:lastRenderedPageBreak/>
        <w:t>reducción de emisiones de gases de efecto invernadero a corto (año 2020) y mediano plazo (años 2025 o 2030).</w:t>
      </w:r>
    </w:p>
    <w:p w14:paraId="136DEF9D" w14:textId="77777777" w:rsidR="00413A96" w:rsidRDefault="00413A96" w:rsidP="00413A96"/>
    <w:p w14:paraId="7B8E28EE" w14:textId="77777777" w:rsidR="00413A96" w:rsidRDefault="00413A96" w:rsidP="00413A96">
      <w:r>
        <w:t>El Ministerio de Ambiente y Desarrollo Sostenible y el Departamento Nacional de Planeación realizarán el seguimiento a los planes de adaptación y mitigación del cambio climático.</w:t>
      </w:r>
    </w:p>
    <w:p w14:paraId="17C53CEE" w14:textId="77777777" w:rsidR="00413A96" w:rsidRDefault="00413A96" w:rsidP="00413A96"/>
    <w:p w14:paraId="04BF43B7" w14:textId="77777777" w:rsidR="00413A96" w:rsidRDefault="00413A96" w:rsidP="00413A96">
      <w:r>
        <w:t>El Ministerio de Ambiente y Desarrollo Sostenible o quien haga sus veces, diseñará y orientará la implementación de la Estrategia Nacional de Reducción de Emisiones debidas a la Deforestación y Degradación Forestal, REDD+, en coordinación con otros ministerios y entidades públicas y el sector privado en el marco de la política nacional de cambio climático.</w:t>
      </w:r>
    </w:p>
    <w:p w14:paraId="3895815F" w14:textId="77777777" w:rsidR="00413A96" w:rsidRDefault="00413A96" w:rsidP="00413A96"/>
    <w:p w14:paraId="5A90F4B3" w14:textId="77777777" w:rsidR="00413A96" w:rsidRDefault="00413A96" w:rsidP="00413A96">
      <w:r>
        <w:t>ARTÍCULO 171. Prevención de la deforestación de bosques naturales. El Ministerio de Ambiente y Desarrollo Sostenible elaborará una política nacional de lucha contra la deforestación que contendrá un plan de acción dirigido a evitar la pérdida de bosques naturales para el año 2030. Esta política incluirá previsiones para vincular de manera sustantiva a los sectores que actúan como motores de deforestación, incluyendo las cadenas productivas que aprovechan el bosque y sus derivados.</w:t>
      </w:r>
    </w:p>
    <w:p w14:paraId="0608530B" w14:textId="77777777" w:rsidR="00413A96" w:rsidRDefault="00413A96" w:rsidP="00413A96"/>
    <w:p w14:paraId="08668293" w14:textId="77777777" w:rsidR="00413A96" w:rsidRDefault="00413A96" w:rsidP="00413A96">
      <w:r>
        <w:t>Esta política tendrá metas específicas con la participación de los gremios productivos, bajo la figura de acuerdos para la sostenibilidad, donde se comprometan a recuperar bosques arrasados hasta la fecha, en función de su actividad económica.</w:t>
      </w:r>
    </w:p>
    <w:p w14:paraId="5FABF002" w14:textId="77777777" w:rsidR="00413A96" w:rsidRDefault="00413A96" w:rsidP="00413A96"/>
    <w:p w14:paraId="622355D1" w14:textId="77777777" w:rsidR="00413A96" w:rsidRDefault="00413A96" w:rsidP="00413A96">
      <w:r>
        <w:t>ARTÍCULO 172. Protección de humedales. Con base en la cartografía de humedales que determine el Ministerio de Ambiente y Desarrollo Sostenible, con el aporte de los institutos de investigación adscritos o vinculados, las autoridades ambientales podrán restringir parcial o totalmente, el desarrollo de actividades agropecuarias de alto impacto, de exploración y explotación minera y de hidrocarburos, con base en estudios técnicos, económicos, sociales y ambientales, conforme a los lineamientos definidos por el Ministerio de Ambiente y Desarrollo Sostenible.</w:t>
      </w:r>
    </w:p>
    <w:p w14:paraId="00A00BA5" w14:textId="77777777" w:rsidR="00413A96" w:rsidRDefault="00413A96" w:rsidP="00413A96"/>
    <w:p w14:paraId="16EB6ED1" w14:textId="77777777" w:rsidR="00413A96" w:rsidRDefault="00413A96" w:rsidP="00413A96">
      <w:r>
        <w:t>El Ministerio de Ambiente y Desarrollo Sostenible establecerá un programa de monitoreo de los ecosistemas que evalúe el estado de conservación de los mismos y priorizará las acciones de manejo sobre aquellos que se definan como estratégicos. En la construcción de este plan, concurrirán los institutos de investigación adscritos o vinculados al Ministerio de Ambiente y Desarrollo Sostenible y las autoridades ambientales. Igualmente la implementación de las acciones estará a cargo de las autoridades ambientales y las entidades territoriales.</w:t>
      </w:r>
    </w:p>
    <w:p w14:paraId="61071267" w14:textId="77777777" w:rsidR="00413A96" w:rsidRDefault="00413A96" w:rsidP="00413A96"/>
    <w:p w14:paraId="6759F3E3" w14:textId="77777777" w:rsidR="00413A96" w:rsidRDefault="00413A96" w:rsidP="00413A96">
      <w:r>
        <w:t>PARÁGRAFO. En todo caso, en humedales designados dentro de la lista de importancia internacional</w:t>
      </w:r>
    </w:p>
    <w:p w14:paraId="00EE345E" w14:textId="77777777" w:rsidR="00413A96" w:rsidRDefault="00413A96" w:rsidP="00413A96">
      <w:r>
        <w:t xml:space="preserve"> </w:t>
      </w:r>
    </w:p>
    <w:p w14:paraId="4D5BB903" w14:textId="77777777" w:rsidR="00413A96" w:rsidRDefault="00413A96" w:rsidP="00413A96">
      <w:r>
        <w:t>de la Convención RAMSAR no se podrán adelantar las actividades agropecuarias de alto impacto ambiental ni de exploración y explotación de hidrocarburos y de minerales.</w:t>
      </w:r>
    </w:p>
    <w:p w14:paraId="52D59124" w14:textId="77777777" w:rsidR="00413A96" w:rsidRDefault="00413A96" w:rsidP="00413A96"/>
    <w:p w14:paraId="662DEA57" w14:textId="77777777" w:rsidR="00413A96" w:rsidRDefault="00413A96" w:rsidP="00413A96">
      <w:r>
        <w:t>El Ministerio de Ambiente y Desarrollo Sostenible determinará la cartografía correspondiente en un plazo no mayor de dos años a partir de la promulgación de la presente ley.</w:t>
      </w:r>
    </w:p>
    <w:p w14:paraId="0A840AC3" w14:textId="77777777" w:rsidR="00413A96" w:rsidRDefault="00413A96" w:rsidP="00413A96"/>
    <w:p w14:paraId="069D97AF" w14:textId="77777777" w:rsidR="00413A96" w:rsidRDefault="00413A96" w:rsidP="00413A96">
      <w:r>
        <w:t>ARTÍCULO 173. Protección y delimitación de páramos. En las áreas delimitadas como páramos no se podrán adelantar actividades agropecuarias ni de exploración o explotación de recursos naturales no renovables, ni construcción de refinerías de hidrocarburos.</w:t>
      </w:r>
    </w:p>
    <w:p w14:paraId="66D0DAEE" w14:textId="77777777" w:rsidR="00413A96" w:rsidRDefault="00413A96" w:rsidP="00413A96"/>
    <w:p w14:paraId="756BCBCD" w14:textId="77777777" w:rsidR="00413A96" w:rsidRDefault="00413A96" w:rsidP="00413A96"/>
    <w:p w14:paraId="43767487" w14:textId="77777777" w:rsidR="00413A96" w:rsidRDefault="00413A96" w:rsidP="00413A96">
      <w:r>
        <w:t>El Ministerio de Ambiente y Desarrollo Sostenible hará la delimitación de las áreas de páramos al interior del área de referencia definida en la cartografía generada por el Instituto Alexander Van Humboldt a escala 1:100.000 o 1:25.000, cuando esta última esté disponible. En esta área la autoridad ambiental regional deberá elaborar los estudios técnicos que permitan caracterizar el contexto ambiental, social y económico, de conformidad con los términos de referencia expedidos por el Ministerio de Ambiente y Desarrollo Sostenible. Al interior de dicha área, el Ministerio de Ambiente y Desarrollo Sostenible deberá delimitar el área de páramo, con base en criterios técnicos, ambientales, sociales y económicos.</w:t>
      </w:r>
    </w:p>
    <w:p w14:paraId="32613F07" w14:textId="77777777" w:rsidR="00413A96" w:rsidRDefault="00413A96" w:rsidP="00413A96"/>
    <w:p w14:paraId="57BBBD2B" w14:textId="77777777" w:rsidR="00413A96" w:rsidRDefault="00413A96" w:rsidP="00413A96">
      <w:r>
        <w:t xml:space="preserve">PARÁGRAFO PRIMERO. Al interior del área delimitada como páramo, las actividades para contrato y licencia ambiental con el instrumento de control y manejo ambiental equivalente, que hayan sido otorgados con </w:t>
      </w:r>
      <w:r>
        <w:lastRenderedPageBreak/>
        <w:t>anterioridad al 9 de febrero de 2010 para las actividades de minería, o con anterioridad al 16 de junio de 2011 para la actividad de hidrocarburos, respectivamente, podrán seguir ejecutándose hasta su terminación, sin posibilidad de prórroga. A partir de la entrada en vigencia de la presente ley, las Autoridades Ambientales deberán revisar las Licencias Ambientales otorgadas antes de 1a entrada en vigencia de la prohibición, en las áreas de páramo delimitadas y las mismas estarán sujetas a un control, seguimiento y revisión por parte de las autoridades mineras, de hidrocarburos y ambientales, en el marco de sus competencias y aplicando las directrices que para el efecto defina el Ministerio de Ambiente y Desarrollo Sostenible.</w:t>
      </w:r>
    </w:p>
    <w:p w14:paraId="5854FB5A" w14:textId="77777777" w:rsidR="00413A96" w:rsidRDefault="00413A96" w:rsidP="00413A96"/>
    <w:p w14:paraId="4F3B98A4" w14:textId="77777777" w:rsidR="00413A96" w:rsidRDefault="00413A96" w:rsidP="00413A96">
      <w:r>
        <w:t>En todo caso, el incumplimiento de los términos y condiciones en los cuales se otorgaron las autorizaciones mineras o ambientales, dará lugar a la caducidad del título minero de conformidad con lo dispuesto en el código de minas o la revocatoria directa de la licencia ambiental sin el consentimiento del titular y no habrá lugar a compensación alguna.</w:t>
      </w:r>
    </w:p>
    <w:p w14:paraId="3C5BA977" w14:textId="77777777" w:rsidR="00413A96" w:rsidRDefault="00413A96" w:rsidP="00413A96"/>
    <w:p w14:paraId="23810490" w14:textId="77777777" w:rsidR="00413A96" w:rsidRDefault="00413A96" w:rsidP="00413A96">
      <w:r>
        <w:t>Si a pesar de la existencia de la licencia ambiental no es posible prevenir, mitigar, corregir o compensar los posibles daños ambientales sobre el ecosistema de páramo, la actividad minera no podrá seguir desarrollándose.</w:t>
      </w:r>
    </w:p>
    <w:p w14:paraId="2798C2FC" w14:textId="77777777" w:rsidR="00413A96" w:rsidRDefault="00413A96" w:rsidP="00413A96"/>
    <w:p w14:paraId="2A7CF9A4" w14:textId="77777777" w:rsidR="00413A96" w:rsidRDefault="00413A96" w:rsidP="00413A96">
      <w:r>
        <w:t>El Ministerio de Agricultura y Desarrollo Rural y sus entidades adscritas o vinculadas y las entidades territoriales, en coordinación con las Corporaciones Autónomas Regionales, y bajo las directrices del Ministerio de Ambiente y Desarrollo Sostenible, concurrirán para diseñar, capacitar y poner en marcha programas de sustitución y reconversión de las actividades agropecuarias que se venían desarrollando con anterioridad al 16 de junio de 2011 y que se encuentren al interior del área de páramo delimitada, con el fin de garantizar de manera gradual la aplicación de la prohibición.</w:t>
      </w:r>
    </w:p>
    <w:p w14:paraId="1781D5FB" w14:textId="77777777" w:rsidR="00413A96" w:rsidRDefault="00413A96" w:rsidP="00413A96"/>
    <w:p w14:paraId="6AFACA02" w14:textId="77777777" w:rsidR="00413A96" w:rsidRDefault="00413A96" w:rsidP="00413A96">
      <w:r>
        <w:t>PARÁGRAFO SEGUNDO. En el área de referencia que no sea incluida dentro del área del páramo delimitada, no estará permitido otorgar nuevos títulos mineros o suscribir nuevos contratos para la exploración y explotación de hidrocarburos, ni el desarrollo de nuevas actividades agropecuarias. Esta área será objeto de ordenamiento y manejo integral por parte de las entidades territoriales de conformidad con los lineamientos que establezcan las Corporaciones Autónomas Regionales, con el fin de atenuar y prevenir las perturbaciones sobre el área delimitada como páramo y contribuir con la protección y preservación de estas.</w:t>
      </w:r>
    </w:p>
    <w:p w14:paraId="3224A809" w14:textId="77777777" w:rsidR="00413A96" w:rsidRDefault="00413A96" w:rsidP="00413A96"/>
    <w:p w14:paraId="434F3E1B" w14:textId="77777777" w:rsidR="00413A96" w:rsidRDefault="00413A96" w:rsidP="00413A96">
      <w:r>
        <w:t>PARÁGRAFO TERCERO. Dentro de los tres (3) años siguientes a la delimitación, las autoridades</w:t>
      </w:r>
    </w:p>
    <w:p w14:paraId="520E6DAB" w14:textId="77777777" w:rsidR="00413A96" w:rsidRDefault="00413A96" w:rsidP="00413A96">
      <w:r>
        <w:t xml:space="preserve"> </w:t>
      </w:r>
    </w:p>
    <w:p w14:paraId="0E922D7D" w14:textId="77777777" w:rsidR="00413A96" w:rsidRDefault="00413A96" w:rsidP="00413A96">
      <w:r>
        <w:t>ambientales deberán zonificar y determinar el régimen de usos del área de páramo delimitada, de acuerdo con los lineamientos que para el efecto defina el Ministerio de Ambiente y Desarrollo Sostenible.</w:t>
      </w:r>
    </w:p>
    <w:p w14:paraId="18E7CB43" w14:textId="77777777" w:rsidR="00413A96" w:rsidRDefault="00413A96" w:rsidP="00413A96"/>
    <w:p w14:paraId="0F6D7B52" w14:textId="77777777" w:rsidR="00413A96" w:rsidRDefault="00413A96" w:rsidP="00413A96">
      <w:r>
        <w:t>ARTÍCULO 174. Adquisición por la Nación de Áreas o Ecosistemas de Interés Estratégico para la Conservación de los Recursos Naturales o implementación de esquemas de pago por servicios ambientales u otros incentivos económicos. Modifíquese el artículo 108 de la Ley 99 de 1993, el cual quedará así:</w:t>
      </w:r>
    </w:p>
    <w:p w14:paraId="7620B22E" w14:textId="77777777" w:rsidR="00413A96" w:rsidRDefault="00413A96" w:rsidP="00413A96"/>
    <w:p w14:paraId="5F609428" w14:textId="77777777" w:rsidR="00413A96" w:rsidRDefault="00413A96" w:rsidP="00413A96">
      <w:r>
        <w:t>“ARTÍCULO 108. Adquisición por la Nación de Áreas o Ecosistemas de Interés Estratégico para la Conservación de los Recursos Naturales o implementación de esquemas de pago por servicios ambientales u otros incentivos económicos. Las autoridades ambientales en coordinación y con el apoyo de las entidades territoriales adelantarán los planes de cofinanciación necesarios para adquirir áreas o ecosistemas estratégicos para la conservación, preservación y recuperación de los recursos naturales o implementarán en ellas esquemas de pago por servicios ambientales u otros incentivos económicos para la conservación, con base en la reglamentación expedida por el Gobierno Nacional.</w:t>
      </w:r>
    </w:p>
    <w:p w14:paraId="1720AFB4" w14:textId="77777777" w:rsidR="00413A96" w:rsidRDefault="00413A96" w:rsidP="00413A96"/>
    <w:p w14:paraId="5C0158D1" w14:textId="77777777" w:rsidR="00413A96" w:rsidRDefault="00413A96" w:rsidP="00413A96">
      <w:r>
        <w:t>La definición de estas áreas y los procesos de adquisición, conservación y administración deberán hacerse con la activa participación de la sociedad civil.</w:t>
      </w:r>
    </w:p>
    <w:p w14:paraId="3AB92E41" w14:textId="77777777" w:rsidR="00413A96" w:rsidRDefault="00413A96" w:rsidP="00413A96"/>
    <w:p w14:paraId="6D3055C4" w14:textId="77777777" w:rsidR="00413A96" w:rsidRDefault="00413A96" w:rsidP="00413A96">
      <w:r>
        <w:t>PARÁGRAFO PRIMERO. Los esquemas de pago por servicios ambientales de que trata el presente artículo, además podrán ser financiados con recursos provenientes de los artículos 43 y 45 de la Ley 99 de 1993, de conformidad con el plan de ordenación y manejo de la cuenca respectiva. Así mismo, podrá aplicarse la inversión forzosa de que trata el parágrafo 1° del artículo 43, las compensaciones por pérdida de biodiversidad en el marco de la licencia ambiental y el Certificado de Incentivo Forestal con fines de conservación a que se refiere el parágrafo del artículo 253 del Estatuto Tributario.</w:t>
      </w:r>
    </w:p>
    <w:p w14:paraId="72573E74" w14:textId="77777777" w:rsidR="00413A96" w:rsidRDefault="00413A96" w:rsidP="00413A96"/>
    <w:p w14:paraId="1803EAE5" w14:textId="77777777" w:rsidR="00413A96" w:rsidRDefault="00413A96" w:rsidP="00413A96">
      <w:r>
        <w:lastRenderedPageBreak/>
        <w:t>Dentro del término de un año a partir de la entrada en vigencia de la presente ley el Ministerio de Ambiente y Desarrollo Sostenible presentará al Congreso de la República un proyecto de ley que establezca los términos, condiciones, procedimientos y fuentes de financiación para la implementación de Pagos por Servicios Ambientales (PSA), y otros incentivos a la conservación.</w:t>
      </w:r>
    </w:p>
    <w:p w14:paraId="69570551" w14:textId="77777777" w:rsidR="00413A96" w:rsidRDefault="00413A96" w:rsidP="00413A96"/>
    <w:p w14:paraId="4A73E21F" w14:textId="77777777" w:rsidR="00413A96" w:rsidRDefault="00413A96" w:rsidP="00413A96">
      <w:r>
        <w:t>PARÁGRAFO SEGUNDO. El Ministerio de Ambiente y Desarrollo Sostenible creará el Registro Único de Ecosistemas y Áreas Ambientales, con excepción de las áreas protegidas registradas en el Registro Único Nacional de Áreas Protegidas (RUNAP) como parte de los sistemas de información del Sistema Nacional Ambiental (SINA) en un término de un año a partir de la expedición de la presente ley. Harán parte del Registro Único de Ecosistemas y Áreas Ambientales áreas tales como los ecosistemas estratégicos, páramos, humedales y las demás categorías de protección ambiental que no se encuentren registradas en el RUNAP. El Ministerio de Ambiente y Desarrollo Sostenible reglamentará el funcionamiento del Registro Único de Ecosistemas y Áreas Ambientales, los ecosistemas y áreas que pertenecen al mismo, su administración, actualización anual para efectos de las políticas ambientales de implementación de Pagos por Servicios Ambientales (PSA) y otros incentivos a la conservación para los municipios como reconocimiento a los beneficios generados por las áreas de conservación registradas en su jurisdicción”.</w:t>
      </w:r>
    </w:p>
    <w:p w14:paraId="5AB6961A" w14:textId="77777777" w:rsidR="00413A96" w:rsidRDefault="00413A96" w:rsidP="00413A96"/>
    <w:p w14:paraId="29A9514B" w14:textId="77777777" w:rsidR="00413A96" w:rsidRDefault="00413A96" w:rsidP="00413A96">
      <w:r>
        <w:t>ARTÍCULO 175. Registro Nacional de Reducción de las Emisiones de Gases de Efecto Invernadero. Créase el Registro Nacional de Reducción de las Emisiones de Gases de Efecto Invernadero (GEI), del cual hará parte el Registro Nacional de Programas y Proyectos de acciones para la Reducción de las Emisiones debidas a la Deforestación y la Degradación Forestal de Colombia ­REDD+. Estos serán reglamentados y administrados por el Ministerio de Ambiente y Desarrollo Sostenible.</w:t>
      </w:r>
    </w:p>
    <w:p w14:paraId="5FA068A9" w14:textId="77777777" w:rsidR="00413A96" w:rsidRDefault="00413A96" w:rsidP="00413A96"/>
    <w:p w14:paraId="27DC0100" w14:textId="77777777" w:rsidR="00413A96" w:rsidRDefault="00413A96" w:rsidP="00413A96">
      <w:r>
        <w:t>Toda persona, natural o jurídica, pública o privada que pretenda optar a pagos por resultados o compensaciones similares como consecuencia de acciones que generen reducciones de emisiones</w:t>
      </w:r>
    </w:p>
    <w:p w14:paraId="3E1F1C2A" w14:textId="77777777" w:rsidR="00413A96" w:rsidRDefault="00413A96" w:rsidP="00413A96">
      <w:r>
        <w:t xml:space="preserve"> </w:t>
      </w:r>
    </w:p>
    <w:p w14:paraId="4A8855D1" w14:textId="77777777" w:rsidR="00413A96" w:rsidRDefault="00413A96" w:rsidP="00413A96">
      <w:r>
        <w:t>de GEI, deberá obtener previamente el registro de que trata el inciso anterior, conforme a la reglamentación que para tal efecto expida el Ministerio de Ambiente y Desarrollo Sostenible. Este a su vez reglamentará el sistema de contabilidad de reducción y remoción de emisiones y el sistema de monitoreo, reporte y verificación de las acciones de mitigación a nivel nacional y definirá los niveles de referencia de las emisiones debidas a la deforestación y la degradación forestal.</w:t>
      </w:r>
    </w:p>
    <w:p w14:paraId="6B51159B" w14:textId="77777777" w:rsidR="00413A96" w:rsidRDefault="00413A96" w:rsidP="00413A96"/>
    <w:p w14:paraId="20B6BD9E" w14:textId="77777777" w:rsidR="00413A96" w:rsidRDefault="00413A96" w:rsidP="00413A96">
      <w:r>
        <w:t>PARÁGRAFO. Las emisiones reducidas que acredite el Ministerio de Ambiente y Desarrollo Sostenible en el marco de programas nacionales o subnacionales de reducción de emisiones de GEI, no podrán ser posteriormente ofertadas a través de proyectos en el mercado.</w:t>
      </w:r>
    </w:p>
    <w:p w14:paraId="1D9515DD" w14:textId="77777777" w:rsidR="00413A96" w:rsidRDefault="00413A96" w:rsidP="00413A96"/>
    <w:p w14:paraId="7B74935A" w14:textId="77777777" w:rsidR="00413A96" w:rsidRDefault="00413A96" w:rsidP="00413A96">
      <w:r>
        <w:t>ARTÍCULO 176. Comisiones conjuntas POMCA. Modifíquese el artículo 212 de la Ley 1450 de 2011, el cual quedará así:</w:t>
      </w:r>
    </w:p>
    <w:p w14:paraId="4245DC41" w14:textId="77777777" w:rsidR="00413A96" w:rsidRDefault="00413A96" w:rsidP="00413A96"/>
    <w:p w14:paraId="0D1F8D7F" w14:textId="77777777" w:rsidR="00413A96" w:rsidRDefault="00413A96" w:rsidP="00413A96">
      <w:r>
        <w:t>“ARTÍCULO 212. De las comisiones conjuntas. El Ministerio de Ambiente y Desarrollo Sostenible podrá integrar y presidir las Comisiones Conjuntas de los Planes de Ordenación y Manejo de la Cuenca Hidrográfica de que trata el parágrafo 3° del artículo 33 de la Ley 99 de 1993, cuando por razones de orden ambiental, social o económico así lo justifiquen. Para el efecto, comunicará a la Comisión Conjunta su decisión de integración o retiro en el momento en que corresponda.</w:t>
      </w:r>
    </w:p>
    <w:p w14:paraId="0E83F97C" w14:textId="77777777" w:rsidR="00413A96" w:rsidRDefault="00413A96" w:rsidP="00413A96"/>
    <w:p w14:paraId="7806D44C" w14:textId="77777777" w:rsidR="00413A96" w:rsidRDefault="00413A96" w:rsidP="00413A96">
      <w:r>
        <w:t>En los casos en los que el Ministerio de Ambiente y Desarrollo Sostenible no integre la Comisión Conjunta, las Autoridades Ambientales designarán quién la preside”.</w:t>
      </w:r>
    </w:p>
    <w:p w14:paraId="390B680A" w14:textId="77777777" w:rsidR="00413A96" w:rsidRDefault="00413A96" w:rsidP="00413A96"/>
    <w:p w14:paraId="05A30800" w14:textId="77777777" w:rsidR="00413A96" w:rsidRDefault="00413A96" w:rsidP="00413A96">
      <w:r>
        <w:t>ARTÍCULO 177. Certificado del Incentivo Forestal. Modifíquese el artículo 3° y adiciónese un parágrafo al artículo 6° de la Ley 139 de 1994, los cuales quedarán así:</w:t>
      </w:r>
    </w:p>
    <w:p w14:paraId="5A769C99" w14:textId="77777777" w:rsidR="00413A96" w:rsidRDefault="00413A96" w:rsidP="00413A96"/>
    <w:p w14:paraId="1362870E" w14:textId="77777777" w:rsidR="00413A96" w:rsidRDefault="00413A96" w:rsidP="00413A96">
      <w:r>
        <w:t xml:space="preserve">“ARTÍCULO 3°. Naturaleza. El Certificado de Incentivo Forestal (CIF), es el documento otorgado por la entidad competente para el manejo y administración de los recursos naturales renovables y del medio ambiente que da derecho a la persona beneficiaria a obtener directamente al momento de su presentación, por una sola vez y en las fechas, términos y condiciones que específicamente se determinen, las sumas de dinero que se fijen conforme al artículo siguiente, por parte de la entidad bancaria que haya sido autorizada para el efecto por Finagro. El Certificado es personal y no negociable, excepto cuando el incentivo se constituya como colateral del pago de un crédito para la financiación de proyectos productivos forestales y/o silvopastoriles, de acuerdo </w:t>
      </w:r>
      <w:r>
        <w:lastRenderedPageBreak/>
        <w:t>con la reglamentación que para el efecto expida el Gobierno nacional.</w:t>
      </w:r>
    </w:p>
    <w:p w14:paraId="45E3E606" w14:textId="77777777" w:rsidR="00413A96" w:rsidRDefault="00413A96" w:rsidP="00413A96"/>
    <w:p w14:paraId="52FC4806" w14:textId="77777777" w:rsidR="00413A96" w:rsidRDefault="00413A96" w:rsidP="00413A96">
      <w:r>
        <w:t>PARÁGRAFO. Cuando el objeto del CIF sea la reforestación con fines comerciales, será otorgado por el Ministerio de Agricultura y Desarrollo Rural en concordancia con lo dispuesto en el artículo 75 de la Ley 1328 de 2009”.</w:t>
      </w:r>
    </w:p>
    <w:p w14:paraId="3363F1D6" w14:textId="77777777" w:rsidR="00413A96" w:rsidRDefault="00413A96" w:rsidP="00413A96"/>
    <w:p w14:paraId="1C41688D" w14:textId="77777777" w:rsidR="00413A96" w:rsidRDefault="00413A96" w:rsidP="00413A96">
      <w:r>
        <w:t>“ARTÍCULO 6°. (...)</w:t>
      </w:r>
    </w:p>
    <w:p w14:paraId="1454997B" w14:textId="77777777" w:rsidR="00413A96" w:rsidRDefault="00413A96" w:rsidP="00413A96"/>
    <w:p w14:paraId="0C90B643" w14:textId="77777777" w:rsidR="00413A96" w:rsidRDefault="00413A96" w:rsidP="00413A96">
      <w:r>
        <w:t>PARÁGRAFO. Los recursos del Certificado de Incentivo Forestal (CIF), serán distribuidos regionalmente conforme a lo aprobado por el Consejo Directivo del CIF, que deberá garantizar porcentualmente la adecuada participación del pequeño reforestador en dicha asignación. Esta distribución se efectuará hasta los montos presupuestales disponibles.</w:t>
      </w:r>
    </w:p>
    <w:p w14:paraId="26ACF31F" w14:textId="77777777" w:rsidR="00413A96" w:rsidRDefault="00413A96" w:rsidP="00413A96"/>
    <w:p w14:paraId="53F7AA60" w14:textId="77777777" w:rsidR="00413A96" w:rsidRDefault="00413A96" w:rsidP="00413A96">
      <w:r>
        <w:t>Entiéndase como pequeño reforestador aquel que desarrolle un proyecto de establecimiento y manejo forestal en un área hasta de 500 hectáreas”.</w:t>
      </w:r>
    </w:p>
    <w:p w14:paraId="5F5014F7" w14:textId="77777777" w:rsidR="00413A96" w:rsidRDefault="00413A96" w:rsidP="00413A96"/>
    <w:p w14:paraId="1E413DBF" w14:textId="77777777" w:rsidR="00413A96" w:rsidRDefault="00413A96" w:rsidP="00413A96">
      <w:r>
        <w:t>ARTÍCULO 178. Estudio de impacto ambiental. Modifíquese el artículo 57 de la Ley 99 de 1993, modificado por el artículo 223 de la Ley 1450 de 2011, el cual quedará así:</w:t>
      </w:r>
    </w:p>
    <w:p w14:paraId="47EA7F16" w14:textId="77777777" w:rsidR="00413A96" w:rsidRDefault="00413A96" w:rsidP="00413A96"/>
    <w:p w14:paraId="0A1A3966" w14:textId="77777777" w:rsidR="00413A96" w:rsidRDefault="00413A96" w:rsidP="00413A96">
      <w:r>
        <w:t>“ARTÍCULO 57. Estudio de impacto ambiental. Se entiende por estudio de impacto ambiental, el conjunto de información que debe presentar ante la autoridad ambiental competente el interesado en el otorgamiento de una licencia ambiental.</w:t>
      </w:r>
    </w:p>
    <w:p w14:paraId="2B18BFB2" w14:textId="77777777" w:rsidR="00413A96" w:rsidRDefault="00413A96" w:rsidP="00413A96">
      <w:r>
        <w:t xml:space="preserve"> </w:t>
      </w:r>
    </w:p>
    <w:p w14:paraId="6F7EC7A2" w14:textId="77777777" w:rsidR="00413A96" w:rsidRDefault="00413A96" w:rsidP="00413A96"/>
    <w:p w14:paraId="6DBD85FD" w14:textId="77777777" w:rsidR="00413A96" w:rsidRDefault="00413A96" w:rsidP="00413A96">
      <w:r>
        <w:t>El estudio de impacto ambiental contendrá información sobre la localización del proyecto, los elementos abióticos, bióticos, y socioeconómicos del medio que puedan sufrir deterioro por la respectiva obra o actividad, para cuya ejecución se pide la licencia, y la evaluación de los impactos que puedan producirse. Además, incluirá el diseño de los planes de prevención, mitigación, corrección y compensación de impactos, así como el plan de manejo ambiental de la obra o actividad.</w:t>
      </w:r>
    </w:p>
    <w:p w14:paraId="1ACA29BB" w14:textId="77777777" w:rsidR="00413A96" w:rsidRDefault="00413A96" w:rsidP="00413A96"/>
    <w:p w14:paraId="58AFB749" w14:textId="77777777" w:rsidR="00413A96" w:rsidRDefault="00413A96" w:rsidP="00413A96">
      <w:r>
        <w:t>El Ministerio de Ambiente y Desarrollo Sostenible expedirá los términos de referencia genéricos para la elaboración del estudio de impacto ambiental; sin embargo, las autoridades ambientales los fijarán de forma específica dentro de los quince (15) días hábiles siguientes a la radicación de la solicitud en ausencia de los primeros”.</w:t>
      </w:r>
    </w:p>
    <w:p w14:paraId="681748E1" w14:textId="77777777" w:rsidR="00413A96" w:rsidRDefault="00413A96" w:rsidP="00413A96"/>
    <w:p w14:paraId="6053C604" w14:textId="77777777" w:rsidR="00413A96" w:rsidRDefault="00413A96" w:rsidP="00413A96">
      <w:r>
        <w:t>ARTÍCULO 179. Procedimiento para el otorgamiento de licencias ambientales. Modifíquese el artículo 58 de la Ley 99 de 1993, modificado por el artículo 224 de la Ley 1450 de 2011, el cual quedará así:</w:t>
      </w:r>
    </w:p>
    <w:p w14:paraId="08E05EF9" w14:textId="77777777" w:rsidR="00413A96" w:rsidRDefault="00413A96" w:rsidP="00413A96"/>
    <w:p w14:paraId="22A82FEE" w14:textId="77777777" w:rsidR="00413A96" w:rsidRDefault="00413A96" w:rsidP="00413A96">
      <w:r>
        <w:t>“ARTÍCULO 58. Procedimiento para el otorgamiento de licencias ambientales. El interesado en el otorgamiento de una licencia ambiental presentará ante la autoridad ambiental competente una solicitud que deberá ser acompañada del correspondiente estudio de impacto ambiental para su evaluación.</w:t>
      </w:r>
    </w:p>
    <w:p w14:paraId="29437D27" w14:textId="77777777" w:rsidR="00413A96" w:rsidRDefault="00413A96" w:rsidP="00413A96"/>
    <w:p w14:paraId="1D2503C8" w14:textId="77777777" w:rsidR="00413A96" w:rsidRDefault="00413A96" w:rsidP="00413A96">
      <w:r>
        <w:t>A partir de la fecha de radicación de la solicitud con el lleno de los requisitos exigidos, la autoridad ambiental competente procederá de manera inmediata a expedir el acto administrativo que dé inicio al trámite de licencia ambiental.</w:t>
      </w:r>
    </w:p>
    <w:p w14:paraId="300ED57E" w14:textId="77777777" w:rsidR="00413A96" w:rsidRDefault="00413A96" w:rsidP="00413A96"/>
    <w:p w14:paraId="44210157" w14:textId="77777777" w:rsidR="00413A96" w:rsidRDefault="00413A96" w:rsidP="00413A96">
      <w:r>
        <w:t>Expedido el acto administrativo de inicio trámite y dentro de los veinte (20) días hábiles siguientes, la autoridad ambiental competente evaluará que el estudio ambiental presentado se ajuste a los requisitos mínimos contenidos en el Manual de Evaluación de Estudios Ambientales y realizará visita a los proyectos, cuando la naturaleza de los mismos lo requieran.</w:t>
      </w:r>
    </w:p>
    <w:p w14:paraId="413D33C8" w14:textId="77777777" w:rsidR="00413A96" w:rsidRDefault="00413A96" w:rsidP="00413A96"/>
    <w:p w14:paraId="63F85CF1" w14:textId="77777777" w:rsidR="00413A96" w:rsidRDefault="00413A96" w:rsidP="00413A96">
      <w:r>
        <w:t>Cuando no se requiera visita a los proyectos y agotado el término indicado en el inciso precedente, la autoridad ambiental competente dispondrá de diez (10) días hábiles para convocar mediante oficio una reunión con el fin de solicitar por una única vez la información adicional que se considere pertinente.</w:t>
      </w:r>
    </w:p>
    <w:p w14:paraId="4A1268DC" w14:textId="77777777" w:rsidR="00413A96" w:rsidRDefault="00413A96" w:rsidP="00413A96"/>
    <w:p w14:paraId="3F4D9B8F" w14:textId="77777777" w:rsidR="00413A96" w:rsidRDefault="00413A96" w:rsidP="00413A96">
      <w:r>
        <w:t>Las decisiones tomadas en la reunión de información adicional serán notificadas en la misma, contra estas procederá el recurso de reposición que se resolverá de plano en dicha reunión, de todo lo cual se dejará constancia en el acta respectiva.</w:t>
      </w:r>
    </w:p>
    <w:p w14:paraId="1F559C69" w14:textId="77777777" w:rsidR="00413A96" w:rsidRDefault="00413A96" w:rsidP="00413A96"/>
    <w:p w14:paraId="325E2B5B" w14:textId="77777777" w:rsidR="00413A96" w:rsidRDefault="00413A96" w:rsidP="00413A96">
      <w:r>
        <w:t>Una vez en firme la decisión sobre información adicional, el interesado contará con el término de un</w:t>
      </w:r>
    </w:p>
    <w:p w14:paraId="61B21946" w14:textId="77777777" w:rsidR="00413A96" w:rsidRDefault="00413A96" w:rsidP="00413A96">
      <w:r>
        <w:t>(1) mes para allegar la información requerida. Allegada la información por parte del interesado, la autoridad ambiental competente dispondrá de diez (10) días hábiles adicionales para solicitar a otras entidades o autoridades los conceptos técnicos o informaciones que estime pertinentes para resolver la solicitud, y estos deberán ser remitidos por las entidades o autoridades requeridas en un plazo no mayor a veinte (20) días hábiles.</w:t>
      </w:r>
    </w:p>
    <w:p w14:paraId="08807CC2" w14:textId="77777777" w:rsidR="00413A96" w:rsidRDefault="00413A96" w:rsidP="00413A96"/>
    <w:p w14:paraId="443EC849" w14:textId="77777777" w:rsidR="00413A96" w:rsidRDefault="00413A96" w:rsidP="00413A96">
      <w:r>
        <w:t>Vencido el término anterior la autoridad ambiental contará con treinta (30) días hábiles para expedir el acto administrativo que declare reunida toda la información requerida, así como para expedir la resolución que otorgue o niega la licencia ambiental. Tal decisión deberá ser notificada de conformidad con lo dispuesto en la Ley 1437 de 2011, o aquella que la modifique o sustituya, y publicada en el boletín de la autoridad ambiental en los términos del artículo 71 de la Ley 99 de 1993”.</w:t>
      </w:r>
    </w:p>
    <w:p w14:paraId="37967FFF" w14:textId="77777777" w:rsidR="00413A96" w:rsidRDefault="00413A96" w:rsidP="00413A96"/>
    <w:p w14:paraId="23B92D8F" w14:textId="77777777" w:rsidR="00413A96" w:rsidRDefault="00413A96" w:rsidP="00413A96">
      <w:r>
        <w:t>CAPÍTULO VII</w:t>
      </w:r>
    </w:p>
    <w:p w14:paraId="12158B36" w14:textId="77777777" w:rsidR="00413A96" w:rsidRDefault="00413A96" w:rsidP="00413A96">
      <w:r>
        <w:t xml:space="preserve"> </w:t>
      </w:r>
    </w:p>
    <w:p w14:paraId="5F8A5C4D" w14:textId="77777777" w:rsidR="00413A96" w:rsidRDefault="00413A96" w:rsidP="00413A96">
      <w:r>
        <w:t>ESTRATEGIA TERRITORIAL: EJES ARTICULADORES DEL DESARROLLO Y PRIORIDADES PARA LA GESTIÓN TERRITORIAL</w:t>
      </w:r>
    </w:p>
    <w:p w14:paraId="5A03CCF7" w14:textId="77777777" w:rsidR="00413A96" w:rsidRDefault="00413A96" w:rsidP="00413A96"/>
    <w:p w14:paraId="5EDAF526" w14:textId="77777777" w:rsidR="00413A96" w:rsidRDefault="00413A96" w:rsidP="00413A96">
      <w:r>
        <w:t>ARTÍCULO 180. Programa Nacional de Delegación de Competencias Diferenciadas. Con el propósito de asegurar una prestación más eficiente de los bienes y servicios a cargo del Estado y crear esquemas de distribución de competencias, créase el Programa Nacional de Delegación de Competencias Diferenciadas (PNCD), el cual estará a cargo del Departamento Nacional de Planeación, en coordinación con el Ministerio del Interior, Ministerio de Hacienda y Crédito Público y las entidades sectoriales.</w:t>
      </w:r>
    </w:p>
    <w:p w14:paraId="10FB8F58" w14:textId="77777777" w:rsidR="00413A96" w:rsidRDefault="00413A96" w:rsidP="00413A96"/>
    <w:p w14:paraId="1DB6E2F6" w14:textId="77777777" w:rsidR="00413A96" w:rsidRDefault="00413A96" w:rsidP="00413A96">
      <w:r>
        <w:t>El Programa contendrá el marco de criterios para la delegación de funciones conforme al convenio que para tal efecto se suscriba. Los convenios se suscribirán entre las entidades del orden nacional, en calidad de delegantes, y las entidades territoriales, esquemas asociativos territoriales, la RAPE, áreas metropolitanas, conglomerados urbanos, o autoridades regionales que se constituyan para tal fin, en calidad de delegatarios. El Programa incluirá los parámetros de acreditación de capacidad financiera, técnica, regulatoria e institucional de las entidades o autoridades delegatarias. En el marco del programa, el Gobierno Nacional propondrá a dichas entidades y autoridades esquemas de distribución de competencias, las cuales quedarán plasmadas en los convenios que para tal efecto se suscriban entre entidades delegantes y delegatarias, de acuerdo con lo previsto en la Ley 1454 de 2011.</w:t>
      </w:r>
    </w:p>
    <w:p w14:paraId="0C2DAF7E" w14:textId="77777777" w:rsidR="00413A96" w:rsidRDefault="00413A96" w:rsidP="00413A96"/>
    <w:p w14:paraId="4FB22A1F" w14:textId="77777777" w:rsidR="00413A96" w:rsidRDefault="00413A96" w:rsidP="00413A96">
      <w:r>
        <w:t>El Departamento Nacional de Planeación, en coordinación con los sectores, definirá los mecanismos de seguimiento, control y evaluación de las competencias descentralizadas y/o delegadas por el Gobierno nacional, los cuales obedecerán a criterios técnicos, objetivos, medibles y comprobables.</w:t>
      </w:r>
    </w:p>
    <w:p w14:paraId="0106CDB1" w14:textId="77777777" w:rsidR="00413A96" w:rsidRDefault="00413A96" w:rsidP="00413A96"/>
    <w:p w14:paraId="7D0DBE63" w14:textId="77777777" w:rsidR="00413A96" w:rsidRDefault="00413A96" w:rsidP="00413A96">
      <w:r>
        <w:t>PARÁGRAFO PRIMERO. Dentro del PNCD, se priorizarán las acciones que permitan la implementación de la política pública dirigida a las víctimas del conflicto armado desde lo territorial, las cuales serán diseñadas por el Ministerio del Interior y el Departamento Nacional de Planeación, en coordinación con la Unidad Especial para la Atención y Reparación Integral a las Víctimas.</w:t>
      </w:r>
    </w:p>
    <w:p w14:paraId="134DD9EC" w14:textId="77777777" w:rsidR="00413A96" w:rsidRDefault="00413A96" w:rsidP="00413A96"/>
    <w:p w14:paraId="2CADFECA" w14:textId="77777777" w:rsidR="00413A96" w:rsidRDefault="00413A96" w:rsidP="00413A96">
      <w:r>
        <w:t>PARÁGRAFO SEGUNDO. Serán susceptibles de delegación, conforme a la normatividad vigente, aquellas competencias y funciones de nivel nacional en políticas y estrategias con impacto territorial tendientes al cierre de brechas socioeconómicas, intra e interregionales que promuevan la convergencia regional, como aquellas dirigidas a promover el desarrollo productivo, la competitividad e infraestructura física y social, la generación de ingresos, la planificación y la gestión territorial, incluida la formación, actualización, conservación catastral e implementación de catastros multipropósito descentralizados, de que trata la presente ley, en municipios, distritos y áreas metropolitanas con población superior a 500.000 habitantes.</w:t>
      </w:r>
    </w:p>
    <w:p w14:paraId="2A144CDF" w14:textId="77777777" w:rsidR="00413A96" w:rsidRDefault="00413A96" w:rsidP="00413A96"/>
    <w:p w14:paraId="67D5D768" w14:textId="77777777" w:rsidR="00413A96" w:rsidRDefault="00413A96" w:rsidP="00413A96">
      <w:r>
        <w:t xml:space="preserve">Las entidades territoriales interesadas deberán acreditar, conforme a las disposiciones que el Gobierno nacional establezca para el efecto, el cumplimiento de las capacidades requeridas y se sujetarán en su operación a las disposiciones que sobre la materia adopte la autoridad catastral del orden nacional, entidad que, en todo caso, podrá requerir a las autoridades catastrales descentralizadas que hayan asumido competencias delegadas en materia catastral, para cumplir la normatividad y demás lineamientos técnicos que se adopten en materia catastral, encontrándose facultada para imponer sanciones, reasumir temporal o </w:t>
      </w:r>
      <w:r>
        <w:lastRenderedPageBreak/>
        <w:t>definitivamente las competencias delegadas en los municipios, distritos o áreas metropolitanas respectivas.</w:t>
      </w:r>
    </w:p>
    <w:p w14:paraId="11B5AD2A" w14:textId="77777777" w:rsidR="00413A96" w:rsidRDefault="00413A96" w:rsidP="00413A96"/>
    <w:p w14:paraId="01C0EBD2" w14:textId="77777777" w:rsidR="00413A96" w:rsidRDefault="00413A96" w:rsidP="00413A96">
      <w:r>
        <w:t>ARTÍCULO 181. Mecanismos estratégicos nacionales, binacionales o multilaterales. Como parte del desarrollo de mecanismos nacionales, binacionales o multilaterales que permitan la ejecución de programas, proyectos e iniciativas estratégicas para el desarrollo transfronterizo binacional o multilateral, el Gobierno nacional podrá constituir e implementar fondos públicos de carácter nacional, binacional o multilateral. Para el efecto ambos Estados podrán designar un organismo multilateral.</w:t>
      </w:r>
    </w:p>
    <w:p w14:paraId="6123764F" w14:textId="77777777" w:rsidR="00413A96" w:rsidRDefault="00413A96" w:rsidP="00413A96"/>
    <w:p w14:paraId="287E962F" w14:textId="77777777" w:rsidR="00413A96" w:rsidRDefault="00413A96" w:rsidP="00413A96">
      <w:r>
        <w:t>Estos fondos no corresponderán a los descritos en el artículo 30 del Estatuto Orgánico de</w:t>
      </w:r>
    </w:p>
    <w:p w14:paraId="1B545F9E" w14:textId="77777777" w:rsidR="00413A96" w:rsidRDefault="00413A96" w:rsidP="00413A96">
      <w:r>
        <w:t xml:space="preserve"> </w:t>
      </w:r>
    </w:p>
    <w:p w14:paraId="0EE50260" w14:textId="77777777" w:rsidR="00413A96" w:rsidRDefault="00413A96" w:rsidP="00413A96">
      <w:r>
        <w:t>Presupuesto.</w:t>
      </w:r>
    </w:p>
    <w:p w14:paraId="0298C56A" w14:textId="77777777" w:rsidR="00413A96" w:rsidRDefault="00413A96" w:rsidP="00413A96"/>
    <w:p w14:paraId="39DA3140" w14:textId="77777777" w:rsidR="00413A96" w:rsidRDefault="00413A96" w:rsidP="00413A96">
      <w:r>
        <w:t>PARÁGRAFO. El organismo multilateral quedará facultado para gestionar, recibir y administrar recursos provenientes de diferentes fuentes, incluyendo recursos públicos y privados de origen nacional o internacional.</w:t>
      </w:r>
    </w:p>
    <w:p w14:paraId="02A03182" w14:textId="77777777" w:rsidR="00413A96" w:rsidRDefault="00413A96" w:rsidP="00413A96"/>
    <w:p w14:paraId="5697F6C2" w14:textId="77777777" w:rsidR="00413A96" w:rsidRDefault="00413A96" w:rsidP="00413A96">
      <w:r>
        <w:t>ARTÍCULO 182. Regiones con características especiales de transporte. Con el objeto de formalizar la prestación del servicio público de transporte de pasajeros y garantizar las condiciones de seguridad y accesibilidad del mismo, créanse las Zonas Estratégicas para el Transporte (ZET), constituidas por un municipio y/o grupos de municipios de las zonas de frontera, donde no exista Sistema de Transporte Masivo, Sistema Integrado de Transporte Público o Sistema Estratégico de Transporte Público, cuya extensión geográfica será determinada por el Gobierno nacional. El Gobierno nacional y los Gobiernos locales, en forma coordinada, podrán expedir reglamentos de carácter especial y transitorio en materia de servicio público de transporte con aplicación exclusiva en las ZET tendientes a cumplir las finalidades antes mencionadas.</w:t>
      </w:r>
    </w:p>
    <w:p w14:paraId="1EE2429A" w14:textId="77777777" w:rsidR="00413A96" w:rsidRDefault="00413A96" w:rsidP="00413A96"/>
    <w:p w14:paraId="6921DB6B" w14:textId="77777777" w:rsidR="00413A96" w:rsidRDefault="00413A96" w:rsidP="00413A96">
      <w:r>
        <w:t>PARÁGRAFO. El Ministerio de Transporte con el fin de proteger el medio ambiente, la seguridad de las personas en la vía pública, en espacios terrestres o marinos, la sostenibilidad económica del Archipiélago de San Andrés, Providencia y Santa Catalina y el bienestar de los residentes y turistas que visitan las islas, previo concepto del Ministerio de Ambiente y Desarrollo Sostenible, determinará la cantidad de vehículos y tipo y edad de los mismos, que podrán ingresar, ser matriculados y/o transitar en el Departamento Archipiélago de San Andrés, Providencia y Santa Catalina. El Ministerio de Transporte reglamentará los mecanismos para la asignación de las matrículas de nuevos vehículos o reposición de los actuales, mediante procesos competitivos, tales como subastas, que promuevan la transparencia y permitan capturar la disposición a pagar de los usuarios por dicha matrícula. Dicho mecanismo será administrado por la Gobernación.</w:t>
      </w:r>
    </w:p>
    <w:p w14:paraId="52EB9108" w14:textId="77777777" w:rsidR="00413A96" w:rsidRDefault="00413A96" w:rsidP="00413A96"/>
    <w:p w14:paraId="3227AEBB" w14:textId="77777777" w:rsidR="00413A96" w:rsidRDefault="00413A96" w:rsidP="00413A96">
      <w:r>
        <w:t>En todo caso, las medidas que se adopten en desarrollo de este artículo no podrán ser incompatibles con los compromisos de Colombia de conformidad con los acuerdos comerciales internacionales vigentes.</w:t>
      </w:r>
    </w:p>
    <w:p w14:paraId="37671912" w14:textId="77777777" w:rsidR="00413A96" w:rsidRDefault="00413A96" w:rsidP="00413A96"/>
    <w:p w14:paraId="093998EA" w14:textId="77777777" w:rsidR="00413A96" w:rsidRDefault="00413A96" w:rsidP="00413A96">
      <w:r>
        <w:t>ARTÍCULO 183. Autoridades regionales de transporte. El Gobierno Nacional, a solicitud de las entidades territoriales, podrá crear y fortalecer Autoridades Regionales de Transporte en las aglomeraciones urbanas o en aquellos municipios cuya movilidad urbana se desarrolle más allá de sus propios límites jurisdiccionales.</w:t>
      </w:r>
    </w:p>
    <w:p w14:paraId="01AC0687" w14:textId="77777777" w:rsidR="00413A96" w:rsidRDefault="00413A96" w:rsidP="00413A96"/>
    <w:p w14:paraId="3F832164" w14:textId="77777777" w:rsidR="00413A96" w:rsidRDefault="00413A96" w:rsidP="00413A96">
      <w:r>
        <w:t>Para tal efecto, las entidades territoriales interesadas deberán constituir previamente esquemas asociativos territoriales, en concordancia con el artículo 10 de la Ley 1454 de 2011. La Autoridad Regional de Transporte, será la encargada de regular el servicio de transporte público de pasajeros, otorgar permisos y habilitaciones, integrar operacional y tarifariamente los diferentes modos y modalidades, y garantizar la articulación de planes, programas y proyectos contenidos en los Planes Maestros de Movilidad de cada uno de los municipios, así como los incluidos en sus instrumentos de planeación territorial que influyan en la organización de la movilidad y el transporte, de acuerdo con los lineamientos del Ministerio de Transporte.</w:t>
      </w:r>
    </w:p>
    <w:p w14:paraId="24A4C396" w14:textId="77777777" w:rsidR="00413A96" w:rsidRDefault="00413A96" w:rsidP="00413A96"/>
    <w:p w14:paraId="5FF01C32" w14:textId="77777777" w:rsidR="00413A96" w:rsidRDefault="00413A96" w:rsidP="00413A96">
      <w:r>
        <w:t>PARÁGRAFO. Las entidades territoriales, con el acompañamiento del Ministerio de Vivienda, Ciudad y Territorio, el Departamento Nacional de Planeación y el Ministerio de Transporte definirán las directrices de ordenamiento regional en concordancia con los instrumentos normativos existentes, con el fin de contar con un marco de acción que contemple estrategias regionales integrales que permitan formular, a su vez, las propuestas de movilidad regional que deberán ser desarrolladas por la Autoridad Regional de Transporte.</w:t>
      </w:r>
    </w:p>
    <w:p w14:paraId="197687AD" w14:textId="77777777" w:rsidR="00413A96" w:rsidRDefault="00413A96" w:rsidP="00413A96"/>
    <w:p w14:paraId="733FC5B2" w14:textId="77777777" w:rsidR="00413A96" w:rsidRDefault="00413A96" w:rsidP="00413A96">
      <w:r>
        <w:t>ARTÍCULO 184. Implementación de los Centros Integrados de Servicio (SI) y modelo de operación en Centros Binacionales de Atención en Frontera (CEBAF), Centros Nacionales de Atención de Fronteras (CENAF) y pasos de frontera. El Departamento Nacional de Planeación</w:t>
      </w:r>
    </w:p>
    <w:p w14:paraId="7090334D" w14:textId="77777777" w:rsidR="00413A96" w:rsidRDefault="00413A96" w:rsidP="00413A96">
      <w:r>
        <w:lastRenderedPageBreak/>
        <w:t xml:space="preserve"> </w:t>
      </w:r>
    </w:p>
    <w:p w14:paraId="670CF1B4" w14:textId="77777777" w:rsidR="00413A96" w:rsidRDefault="00413A96" w:rsidP="00413A96">
      <w:r>
        <w:t>implementará los Centros Integrados de Servicio (SI) en los que harán presencia entidades del orden nacional, departamental y municipal, que adoptarán estándares que garanticen al ciudadano un trato amable, digno y eficiente. Así mismo, el modelo de operación y el funcionamiento de los Centros Binacionales de Atención en Frontera (CEBAF) de los Centros Nacionales de Atención de Fronteras (CENAF) será el establecido por el Programa Nacional de Servicio al Ciudadano del Departamento Nacional de Planeación, quien coordinará y articulará a las entidades que presten sus servicios en dichos centros.</w:t>
      </w:r>
    </w:p>
    <w:p w14:paraId="76A17369" w14:textId="77777777" w:rsidR="00413A96" w:rsidRDefault="00413A96" w:rsidP="00413A96"/>
    <w:p w14:paraId="2AD56800" w14:textId="77777777" w:rsidR="00413A96" w:rsidRDefault="00413A96" w:rsidP="00413A96">
      <w:r>
        <w:t>ARTÍCULO 185. Fondo para el desarrollo del Plan Todos Somos PAZcífico. Créase un patrimonio autónomo denominado Fondo para el Desarrollo del Plan Todos Somos PAZcífico, administrado por el Ministerio de Hacienda y Crédito Público o por la entidad o entidades que este defina. Este fondo tendrá por objeto la financiación y/o la inversión en las necesidades más urgentes para promover el desarrollo integral del litoral Pacífico.</w:t>
      </w:r>
    </w:p>
    <w:p w14:paraId="58038E5B" w14:textId="77777777" w:rsidR="00413A96" w:rsidRDefault="00413A96" w:rsidP="00413A96"/>
    <w:p w14:paraId="1B792868" w14:textId="77777777" w:rsidR="00413A96" w:rsidRDefault="00413A96" w:rsidP="00413A96">
      <w:r>
        <w:t>En desarrollo de su propósito el mencionado patrimonio autónomo podrá:</w:t>
      </w:r>
    </w:p>
    <w:p w14:paraId="120FCE1D" w14:textId="77777777" w:rsidR="00413A96" w:rsidRDefault="00413A96" w:rsidP="00413A96"/>
    <w:p w14:paraId="0362E816" w14:textId="77777777" w:rsidR="00413A96" w:rsidRDefault="00413A96" w:rsidP="00413A96">
      <w:r>
        <w:t>1.</w:t>
      </w:r>
      <w:r>
        <w:tab/>
        <w:t>Recibir total o parcialmente aportes del Gobierno nacional para financiar o cofinanciar los proyectos de desarrollo acordes con la finalidad del patrimonio autónomo.</w:t>
      </w:r>
    </w:p>
    <w:p w14:paraId="046E344A" w14:textId="77777777" w:rsidR="00413A96" w:rsidRDefault="00413A96" w:rsidP="00413A96"/>
    <w:p w14:paraId="12D8B960" w14:textId="77777777" w:rsidR="00413A96" w:rsidRDefault="00413A96" w:rsidP="00413A96">
      <w:r>
        <w:t>2.</w:t>
      </w:r>
      <w:r>
        <w:tab/>
        <w:t>Recibir aportes de las Entidades Territoriales beneficiarias directas de las actividades del patrimonio autónomo.</w:t>
      </w:r>
    </w:p>
    <w:p w14:paraId="1F4C5E16" w14:textId="77777777" w:rsidR="00413A96" w:rsidRDefault="00413A96" w:rsidP="00413A96"/>
    <w:p w14:paraId="4FC22D09" w14:textId="77777777" w:rsidR="00413A96" w:rsidRDefault="00413A96" w:rsidP="00413A96">
      <w:r>
        <w:t>3.</w:t>
      </w:r>
      <w:r>
        <w:tab/>
        <w:t>Aceptar donaciones del sector público o privado, nacional e internacional, con el propósito de realizar las actividades del patrimonio.</w:t>
      </w:r>
    </w:p>
    <w:p w14:paraId="67469134" w14:textId="77777777" w:rsidR="00413A96" w:rsidRDefault="00413A96" w:rsidP="00413A96"/>
    <w:p w14:paraId="193D570D" w14:textId="77777777" w:rsidR="00413A96" w:rsidRDefault="00413A96" w:rsidP="00413A96">
      <w:r>
        <w:t>4.</w:t>
      </w:r>
      <w:r>
        <w:tab/>
        <w:t>Suscribir convenios o contratos con entidades públicas para desarrollar el propósito del Fondo para el Desarrollo del Plan Todos SomosPAZcífico.</w:t>
      </w:r>
    </w:p>
    <w:p w14:paraId="61415B6C" w14:textId="77777777" w:rsidR="00413A96" w:rsidRDefault="00413A96" w:rsidP="00413A96"/>
    <w:p w14:paraId="235D25F0" w14:textId="77777777" w:rsidR="00413A96" w:rsidRDefault="00413A96" w:rsidP="00413A96">
      <w:r>
        <w:t>5.</w:t>
      </w:r>
      <w:r>
        <w:tab/>
        <w:t>Celebrar operaciones de financiamiento interno o externo, a nombre de patrimonio autónomo para lo cual la Nación o las Entidades Territoriales podrán otorgar los avales o garantías correspondientes.</w:t>
      </w:r>
    </w:p>
    <w:p w14:paraId="47852AA6" w14:textId="77777777" w:rsidR="00413A96" w:rsidRDefault="00413A96" w:rsidP="00413A96"/>
    <w:p w14:paraId="5AC20090" w14:textId="77777777" w:rsidR="00413A96" w:rsidRDefault="00413A96" w:rsidP="00413A96">
      <w:r>
        <w:t>6.</w:t>
      </w:r>
      <w:r>
        <w:tab/>
        <w:t>El patrimonio autónomo denominado Fondo para el Desarrollo del Plan Todos Somos Pacífico, tendrá una Dirección Ejecutiva y una Junta Administradora integrada por:</w:t>
      </w:r>
    </w:p>
    <w:p w14:paraId="5F9C817B" w14:textId="77777777" w:rsidR="00413A96" w:rsidRDefault="00413A96" w:rsidP="00413A96"/>
    <w:p w14:paraId="12203E7A" w14:textId="77777777" w:rsidR="00413A96" w:rsidRDefault="00413A96" w:rsidP="00413A96">
      <w:r>
        <w:t>a)</w:t>
      </w:r>
      <w:r>
        <w:tab/>
        <w:t>El Ministro de Hacienda y Crédito Público, quien la presidirá.</w:t>
      </w:r>
    </w:p>
    <w:p w14:paraId="7A098C48" w14:textId="77777777" w:rsidR="00413A96" w:rsidRDefault="00413A96" w:rsidP="00413A96"/>
    <w:p w14:paraId="5B57AEAD" w14:textId="77777777" w:rsidR="00413A96" w:rsidRDefault="00413A96" w:rsidP="00413A96">
      <w:r>
        <w:t>b)</w:t>
      </w:r>
      <w:r>
        <w:tab/>
        <w:t>El Director del Departamento Nacional de Planeación.</w:t>
      </w:r>
    </w:p>
    <w:p w14:paraId="4DD4FAE3" w14:textId="77777777" w:rsidR="00413A96" w:rsidRDefault="00413A96" w:rsidP="00413A96"/>
    <w:p w14:paraId="7EA9C0B6" w14:textId="77777777" w:rsidR="00413A96" w:rsidRDefault="00413A96" w:rsidP="00413A96">
      <w:r>
        <w:t>c)</w:t>
      </w:r>
      <w:r>
        <w:tab/>
        <w:t>Dos Gobernadores y dos Alcaldes de la zona de influencia elegidos de conformidad con el reglamento que establezca el Gobierno nacional.</w:t>
      </w:r>
    </w:p>
    <w:p w14:paraId="5152F5AF" w14:textId="77777777" w:rsidR="00413A96" w:rsidRDefault="00413A96" w:rsidP="00413A96"/>
    <w:p w14:paraId="76A8263E" w14:textId="77777777" w:rsidR="00413A96" w:rsidRDefault="00413A96" w:rsidP="00413A96">
      <w:r>
        <w:t>Ningún departamento podrá tener al tiempo más de un representante en la Junta Administradora.</w:t>
      </w:r>
    </w:p>
    <w:p w14:paraId="2BD01967" w14:textId="77777777" w:rsidR="00413A96" w:rsidRDefault="00413A96" w:rsidP="00413A96"/>
    <w:p w14:paraId="696B4813" w14:textId="77777777" w:rsidR="00413A96" w:rsidRDefault="00413A96" w:rsidP="00413A96">
      <w:r>
        <w:t>d)</w:t>
      </w:r>
      <w:r>
        <w:tab/>
        <w:t>Tres delegados del Presidente de la República.</w:t>
      </w:r>
    </w:p>
    <w:p w14:paraId="53B901EE" w14:textId="77777777" w:rsidR="00413A96" w:rsidRDefault="00413A96" w:rsidP="00413A96"/>
    <w:p w14:paraId="7B8BD90E" w14:textId="77777777" w:rsidR="00413A96" w:rsidRDefault="00413A96" w:rsidP="00413A96">
      <w:r>
        <w:t>7.</w:t>
      </w:r>
      <w:r>
        <w:tab/>
        <w:t>El Director Ejecutivo del Fondo para el Desarrollo del Plan Todos Somos PAZcífico, será designado por la Junta Administradora, y renovado por esta quien podrá removerlo cuando lo considere pertinente.</w:t>
      </w:r>
    </w:p>
    <w:p w14:paraId="3F12E6DF" w14:textId="77777777" w:rsidR="00413A96" w:rsidRDefault="00413A96" w:rsidP="00413A96"/>
    <w:p w14:paraId="532FCB5B" w14:textId="77777777" w:rsidR="00413A96" w:rsidRDefault="00413A96" w:rsidP="00413A96">
      <w:r>
        <w:t>8.</w:t>
      </w:r>
      <w:r>
        <w:tab/>
        <w:t>El régimen de contratación y administración de sus recursos será el que define la Junta Administradora, y será regido por el derecho privado, con plena observancia de los principios de transparencia, economía, igualdad, publicidad y, en especial, el de selección objetiva, definidos por la Constitución y la ley, además de aplicar el régimen de inhabilidades e incompatibilidades previsto legalmente.</w:t>
      </w:r>
    </w:p>
    <w:p w14:paraId="6B9953CC" w14:textId="77777777" w:rsidR="00413A96" w:rsidRDefault="00413A96" w:rsidP="00413A96">
      <w:r>
        <w:t xml:space="preserve"> </w:t>
      </w:r>
    </w:p>
    <w:p w14:paraId="7430AEF8" w14:textId="77777777" w:rsidR="00413A96" w:rsidRDefault="00413A96" w:rsidP="00413A96">
      <w:r>
        <w:t>9.</w:t>
      </w:r>
      <w:r>
        <w:tab/>
        <w:t>Cumplido el propósito del Fondo para el Desarrollo del Plan Todos Somos Pacífico, el Ministerio de Hacienda y Crédito Público podrá liquidarlo.</w:t>
      </w:r>
    </w:p>
    <w:p w14:paraId="0AB555A9" w14:textId="77777777" w:rsidR="00413A96" w:rsidRDefault="00413A96" w:rsidP="00413A96"/>
    <w:p w14:paraId="69A3E7B8" w14:textId="77777777" w:rsidR="00413A96" w:rsidRDefault="00413A96" w:rsidP="00413A96">
      <w:r>
        <w:t xml:space="preserve">ARTÍCULO 186. Sistema de Competitividad, Ciencia, Tecnología e Innovación y Comisiones Regionales de Competitividad. Intégrese el Sistema de Competitividad e Innovación con el Sistema de Ciencia, Tecnología e </w:t>
      </w:r>
      <w:r>
        <w:lastRenderedPageBreak/>
        <w:t>Innovación para consolidar un único Sistema de Competitividad, Ciencia, Tecnología e Innovación.</w:t>
      </w:r>
    </w:p>
    <w:p w14:paraId="4FFD67F1" w14:textId="77777777" w:rsidR="00413A96" w:rsidRDefault="00413A96" w:rsidP="00413A96"/>
    <w:p w14:paraId="47896A2F" w14:textId="77777777" w:rsidR="00413A96" w:rsidRDefault="00413A96" w:rsidP="00413A96">
      <w:r>
        <w:t>En el marco de ese Sistema, las distintas instancias departamentales que promueven agendas de competitividad, productividad, ciencia, tecnología e innovación, tales como los Consejos Departamentales de Ciencia, Tecnología e Innovación (CODECTI), Comités Universidad­Empresa­ Estado, Comités de Biodiversidad, Redes Regionales de Emprendimiento, Consejos Regionales de PYME, Consejos Ambientales Regionales, Comités de Seguimiento a los Convenios de Competitividad y las demás que sean promovidas por el Gobierno nacional, deberán integrarse a las Comisiones Regionales de Competitividad en cada departamento, con el propósito de articular sus agendas de trabajo. Corresponderá a cada Comisión Regional de Competitividad ajustar su estructura de manera que garantice la participación de estas instancias. Las Comisiones serán la única instancia de interlocución con el Gobierno nacional para la implementación de la Agenda Nacional de Competitividad, Ciencia, Tecnología e Innovación.</w:t>
      </w:r>
    </w:p>
    <w:p w14:paraId="7DBB5A8C" w14:textId="77777777" w:rsidR="00413A96" w:rsidRDefault="00413A96" w:rsidP="00413A96"/>
    <w:p w14:paraId="178DA605" w14:textId="77777777" w:rsidR="00413A96" w:rsidRDefault="00413A96" w:rsidP="00413A96">
      <w:r>
        <w:t>El Gobierno nacional reglamentará la organización, articulación y funcionamiento de ese Sistema.</w:t>
      </w:r>
    </w:p>
    <w:p w14:paraId="3026DCB8" w14:textId="77777777" w:rsidR="00413A96" w:rsidRDefault="00413A96" w:rsidP="00413A96"/>
    <w:p w14:paraId="5DEE3C95" w14:textId="77777777" w:rsidR="00413A96" w:rsidRDefault="00413A96" w:rsidP="00413A96">
      <w:r>
        <w:t>ARTÍCULO 187. Autoavalúo del impuesto predial unificado. A partir del año gravable de 2017, las ciudades o distritos, conforme al censo realizado por el Departamento Administrativo Nacional de Estadística, podrán establecer, para efectos del impuesto predial unificado, bases presuntas mínimas para la liquidación privada del impuesto, de conformidad con los parámetros técnicos sobre precios por metro cuadrado de construcción o terreno según estrato. En cada año gravable el contribuyente podrá optar por declarar el avalúo catastral vigente o el autoevalúo incrementado, de acuerdo con la normatividad vigente sobre la materia.</w:t>
      </w:r>
    </w:p>
    <w:p w14:paraId="179713BF" w14:textId="77777777" w:rsidR="00413A96" w:rsidRDefault="00413A96" w:rsidP="00413A96"/>
    <w:p w14:paraId="19DD4448" w14:textId="77777777" w:rsidR="00413A96" w:rsidRDefault="00413A96" w:rsidP="00413A96">
      <w:r>
        <w:t>ARTÍCULO 188. Formulario Único Territorial (FUT). Toda la información del orden territorial sobre la ejecución presupuestal de ingresos y gastos, y demás información oficial básica, de naturaleza organizacional, financiera, económica, geográfica, social y ambiental que sea requerida por las entidades del orden nacional para efectos del monitoreo, seguimiento, evaluación y control de las entidades territoriales, será recolectada a través del Formulario Único Territorial (FUT).</w:t>
      </w:r>
    </w:p>
    <w:p w14:paraId="589132FB" w14:textId="77777777" w:rsidR="00413A96" w:rsidRDefault="00413A96" w:rsidP="00413A96"/>
    <w:p w14:paraId="555DA332" w14:textId="77777777" w:rsidR="00413A96" w:rsidRDefault="00413A96" w:rsidP="00413A96">
      <w:r>
        <w:t>Ninguna entidad del orden nacional podrá solicitar por su propia cuenta a las entidades territoriales la información que estas ya estén reportando a través del FUT. La inclusión de cualquier otro tipo de información requerirá la aprobación del Comité Técnico del FUT.</w:t>
      </w:r>
    </w:p>
    <w:p w14:paraId="044A911B" w14:textId="77777777" w:rsidR="00413A96" w:rsidRDefault="00413A96" w:rsidP="00413A96"/>
    <w:p w14:paraId="3BAD676A" w14:textId="77777777" w:rsidR="00413A96" w:rsidRDefault="00413A96" w:rsidP="00413A96">
      <w:r>
        <w:t>El Departamento Nacional de Planeación en coordinación con el Ministerio de Hacienda y Crédito Público definirá las acciones conducentes a consolidar el FUT como único instrumento de reporte de la información territorial con destino a las entidades del nivel nacional, con el propósito de simplificar el número de reportes y lograr mayor calidad y eficiencia en los flujos de información. El FUT buscará contribuir a la automatización de procesos y para su operación y funcionamiento se apoyará en las tecnologías de la información y las comunicaciones.</w:t>
      </w:r>
    </w:p>
    <w:p w14:paraId="0665269A" w14:textId="77777777" w:rsidR="00413A96" w:rsidRDefault="00413A96" w:rsidP="00413A96"/>
    <w:p w14:paraId="7186944B" w14:textId="77777777" w:rsidR="00413A96" w:rsidRDefault="00413A96" w:rsidP="00413A96">
      <w:r>
        <w:t>Lo anterior, sin perjuicio del cumplimiento del deber de reporte de información por las entidades territoriales a través de los sistemas de información dispuestos por el Gobierno Nacional para fines sectoriales y de control administrativo.</w:t>
      </w:r>
    </w:p>
    <w:p w14:paraId="52F403D8" w14:textId="77777777" w:rsidR="00413A96" w:rsidRDefault="00413A96" w:rsidP="00413A96"/>
    <w:p w14:paraId="76446662" w14:textId="77777777" w:rsidR="00413A96" w:rsidRDefault="00413A96" w:rsidP="00413A96">
      <w:r>
        <w:t>ARTÍCULO 189. Planes departamentales para el manejo empresarial de los servicios de agua y saneamiento. Modifíquense los parágrafos 1° y 2° del artículo 21 de la Ley 1450 de 2011, el cual quedará así:</w:t>
      </w:r>
    </w:p>
    <w:p w14:paraId="3918B38A" w14:textId="77777777" w:rsidR="00413A96" w:rsidRDefault="00413A96" w:rsidP="00413A96">
      <w:r>
        <w:t xml:space="preserve"> </w:t>
      </w:r>
    </w:p>
    <w:p w14:paraId="03AC8B61" w14:textId="77777777" w:rsidR="00413A96" w:rsidRDefault="00413A96" w:rsidP="00413A96">
      <w:r>
        <w:t>“PARÁGRAFO 1°. La deuda de municipios y empresas de servicios públicos con INSFOPAL, entregada en administración a Findeter según la Ley 57 de 1989, podrá ser objeto de venta o cesión de su administración y/o recaudo a la Central de Inversiones (CISA), de acuerdo con la normativa aplicable a dicho colector. Los recursos obtenidos por la Nación por concepto de la venta o cesión de la administración y/o recaudo a CISA, se destinarán exclusivamente al pago de pasivos laborales generados por los prestadores de los servicios públicos liquidados y/o transformados, en el marco de los Planes Departamentales para el Manejo Empresarial de los Servicios de Agua y Saneamiento (PDA).</w:t>
      </w:r>
    </w:p>
    <w:p w14:paraId="0D6BBE57" w14:textId="77777777" w:rsidR="00413A96" w:rsidRDefault="00413A96" w:rsidP="00413A96"/>
    <w:p w14:paraId="7971C89F" w14:textId="77777777" w:rsidR="00413A96" w:rsidRDefault="00413A96" w:rsidP="00413A96">
      <w:r>
        <w:t xml:space="preserve">PARÁGRAFO 2°. Por motivos de interés social y cuando las características técnicas y económicas de los servicios de agua potable y saneamiento básico lo requieran, se podrán implementar esquemas regionales eficientes y sostenibles para la prestación de estos servicios en los municipios, incluyendo sus áreas rurales, a través de áreas de servicio exclusivo, de conformidad con la reglamentación que para tal fin defina el Gobierno </w:t>
      </w:r>
      <w:r>
        <w:lastRenderedPageBreak/>
        <w:t>Nacional”.</w:t>
      </w:r>
    </w:p>
    <w:p w14:paraId="1D2A84BC" w14:textId="77777777" w:rsidR="00413A96" w:rsidRDefault="00413A96" w:rsidP="00413A96"/>
    <w:p w14:paraId="0332D546" w14:textId="77777777" w:rsidR="00413A96" w:rsidRDefault="00413A96" w:rsidP="00413A96">
      <w:r>
        <w:t>ARTÍCULO 190. Fondos eléctricos. El Fondo de Apoyo Financiero para la Energización de las Zonas Rurales Interconectadas (FAER) y el programa de Normalización de Redes Eléctricas (PRONE), administrados por el Ministerio de Minas y Energía, recibirá a partir del 1° de enero de 2016 los recursos que recaude el Administrador del Sistema de Intercambios Comerciales (ASIC), correspondientes a dos pesos con diez centavos ($2,10) por kilovatio hora transportado para el caso del FAER, y un peso con noventa centavos ($1,90) por kilovatio hora transportado en el caso del PRONE.</w:t>
      </w:r>
    </w:p>
    <w:p w14:paraId="502CA204" w14:textId="77777777" w:rsidR="00413A96" w:rsidRDefault="00413A96" w:rsidP="00413A96"/>
    <w:p w14:paraId="5B504726" w14:textId="77777777" w:rsidR="00413A96" w:rsidRDefault="00413A96" w:rsidP="00413A96">
      <w:r>
        <w:t>Así mismo, el Fondo de Energía Social (FOES), administrado por el Ministerio de Minas y Energía como un sistema especial de cuentas, a partir del 1° de enero de 2016 cubrirá hasta noventa y dos pesos ($92) por kilovatio hora del valor de la energía eléctrica destinada al consumo de subsistencia de los usuarios residenciales de estratos 1 y 2 en las Áreas Rurales de Menor Desarrollo, Zonas de Difícil Gestión y Barrios Subnormales.</w:t>
      </w:r>
    </w:p>
    <w:p w14:paraId="31C66987" w14:textId="77777777" w:rsidR="00413A96" w:rsidRDefault="00413A96" w:rsidP="00413A96"/>
    <w:p w14:paraId="23CB2906" w14:textId="77777777" w:rsidR="00413A96" w:rsidRDefault="00413A96" w:rsidP="00413A96">
      <w:r>
        <w:t>Al FOES ingresarán los recursos provenientes del ochenta por ciento (80%) de las Rentas de Congestión calculadas por el ASIC, como producto de las exportaciones de energía eléctrica, y recursos del Presupuesto General de la Nación cuando aquellos resulten insuficientes para financiar el 50% del subsidio cubierto por el FOES.</w:t>
      </w:r>
    </w:p>
    <w:p w14:paraId="43F1A1DF" w14:textId="77777777" w:rsidR="00413A96" w:rsidRDefault="00413A96" w:rsidP="00413A96"/>
    <w:p w14:paraId="27DBC7EC" w14:textId="77777777" w:rsidR="00413A96" w:rsidRDefault="00413A96" w:rsidP="00413A96">
      <w:r>
        <w:t>Adicionalmente, a partir del 1° de enero de 2016, al FOES también ingresarán los recursos que recaude el ASIC correspondientes a no más de dos pesos con diez centavos ($2,10) por kilovatio hora transportado, con el fin de financiar el 50% restante.</w:t>
      </w:r>
    </w:p>
    <w:p w14:paraId="35916F65" w14:textId="77777777" w:rsidR="00413A96" w:rsidRDefault="00413A96" w:rsidP="00413A96"/>
    <w:p w14:paraId="276B342F" w14:textId="77777777" w:rsidR="00413A96" w:rsidRDefault="00413A96" w:rsidP="00413A96">
      <w:r>
        <w:t>El consumo de energía total cubierto por el FOES no excederá del ocho por ciento (8%) del consumo total de energía en el Sistema Interconectado Nacional. Este porcentaje dependerá de la cantidad de recursos disponibles.</w:t>
      </w:r>
    </w:p>
    <w:p w14:paraId="56BDB548" w14:textId="77777777" w:rsidR="00413A96" w:rsidRDefault="00413A96" w:rsidP="00413A96"/>
    <w:p w14:paraId="46E06C90" w14:textId="77777777" w:rsidR="00413A96" w:rsidRDefault="00413A96" w:rsidP="00413A96">
      <w:r>
        <w:t>Los comercializadores indicarán el menor valor de la energía subsidiada en la factura de cobro correspondiente al período siguiente a aquel en que reciban efectivamente las sumas giradas por el FOES y en proporción a las mismas. Dichas sumas solo podrán ser aplicadas al consumo corriente de energía de los usuarios y no podrá destinarse para consumos mayores al consumo de subsistencia vigente.</w:t>
      </w:r>
    </w:p>
    <w:p w14:paraId="2AB1AF40" w14:textId="77777777" w:rsidR="00413A96" w:rsidRDefault="00413A96" w:rsidP="00413A96"/>
    <w:p w14:paraId="7D9CE30B" w14:textId="77777777" w:rsidR="00413A96" w:rsidRDefault="00413A96" w:rsidP="00413A96">
      <w:r>
        <w:t>El Fondo de Apoyo Financiero para la Energización de las Zonas No Interconectadas (FAZNI), administrado por el Ministerio de Minas y Energía, a partir del primero de enero de 2016 recibirá los recursos que recaude el Administrador del Sistema de Intercambios Comerciales (ASIC) correspondientes a un peso con noventa centavos ($1,90) por kilovatio hora despachado en la Bolsa de Energía Mayorista, de los cuales cuarenta centavos ($0,40) serán destinados para financiar el Fondo de Energías no Convencionales y Gestión Eficiente de la Energía (FENOGE) de que trata el artículo 10 de la Ley 1715 de 2014.</w:t>
      </w:r>
    </w:p>
    <w:p w14:paraId="06BF1110" w14:textId="77777777" w:rsidR="00413A96" w:rsidRDefault="00413A96" w:rsidP="00413A96">
      <w:r>
        <w:t xml:space="preserve"> </w:t>
      </w:r>
    </w:p>
    <w:p w14:paraId="6AFE5439" w14:textId="77777777" w:rsidR="00413A96" w:rsidRDefault="00413A96" w:rsidP="00413A96"/>
    <w:p w14:paraId="39F1FE80" w14:textId="77777777" w:rsidR="00413A96" w:rsidRDefault="00413A96" w:rsidP="00413A96">
      <w:r>
        <w:t>El manejo de los recursos del FAER, del PRONE, del FOES y del FAZNI será realizado por el Ministerio de Hacienda y Crédito Público y los mismos se considerarán inversión social, en los términos de la Constitución Política y normas orgánicas de presupuesto. El Gobierno dentro de los cuatro (4) meses siguientes a la expedición de esta ley, expedirá los decretos reglamentarios necesarios para ajustar la focalización, adjudicación y seguimiento de los recursos de dichos fondos.</w:t>
      </w:r>
    </w:p>
    <w:p w14:paraId="13BD4EA4" w14:textId="77777777" w:rsidR="00413A96" w:rsidRDefault="00413A96" w:rsidP="00413A96"/>
    <w:p w14:paraId="607EB0C2" w14:textId="77777777" w:rsidR="00413A96" w:rsidRDefault="00413A96" w:rsidP="00413A96">
      <w:r>
        <w:t>Así mismo, el Gobierno determinará el procedimiento para declarar incumplimientos, imponer multas y sanciones de origen contractual y hacer efectivas las garantías que se constituyan en el marco de la ejecución de los recursos a que se refiere el presente artículo, de conformidad con el artículo 39 de la Ley 142 de 1994.</w:t>
      </w:r>
    </w:p>
    <w:p w14:paraId="774FF1BE" w14:textId="77777777" w:rsidR="00413A96" w:rsidRDefault="00413A96" w:rsidP="00413A96"/>
    <w:p w14:paraId="50F9FC1C" w14:textId="77777777" w:rsidR="00413A96" w:rsidRDefault="00413A96" w:rsidP="00413A96">
      <w:r>
        <w:t>PARÁGRAFO PRIMERO. Las tarifas de las contribuciones correspondientes a los Fondos de que trata este artículo se indexarán anualmente con el índice de Precios al Productor (IPP), calculado por el Departamento Administrativo Nacional de Estadística (DANE).</w:t>
      </w:r>
    </w:p>
    <w:p w14:paraId="2149A234" w14:textId="77777777" w:rsidR="00413A96" w:rsidRDefault="00413A96" w:rsidP="00413A96"/>
    <w:p w14:paraId="20E06B2D" w14:textId="77777777" w:rsidR="00413A96" w:rsidRDefault="00413A96" w:rsidP="00413A96"/>
    <w:p w14:paraId="5C7C5F5C" w14:textId="77777777" w:rsidR="00413A96" w:rsidRDefault="00413A96" w:rsidP="00413A96">
      <w:r>
        <w:t xml:space="preserve">PARÁGRAFO SEGUNDO. En el caso del FAER, del PRONE y del FOES, las contribuciones serán pagadas por los propietarios de los activos del Sistema de Transmisión Nacional (STN), y serán incorporadas en los </w:t>
      </w:r>
      <w:r>
        <w:lastRenderedPageBreak/>
        <w:t>cargos por uso del STN, para lo cual la Comisión de Regulación de Energía y Gas (CREG) adoptará los ajustes necesarios en la regulación.</w:t>
      </w:r>
    </w:p>
    <w:p w14:paraId="2A63273D" w14:textId="77777777" w:rsidR="00413A96" w:rsidRDefault="00413A96" w:rsidP="00413A96"/>
    <w:p w14:paraId="38E50855" w14:textId="77777777" w:rsidR="00413A96" w:rsidRDefault="00413A96" w:rsidP="00413A96">
      <w:r>
        <w:t>PARÁGRAFO 3°. En el caso del FAZNI, las contribuciones serán pagadas por los agentes generadores de energía, y serán incorporados en las tarifas de energía eléctrica, para lo cual la CREG adoptará los ajustes necesarios en la regulación.</w:t>
      </w:r>
    </w:p>
    <w:p w14:paraId="457D6F0F" w14:textId="77777777" w:rsidR="00413A96" w:rsidRDefault="00413A96" w:rsidP="00413A96"/>
    <w:p w14:paraId="781A658B" w14:textId="77777777" w:rsidR="00413A96" w:rsidRDefault="00413A96" w:rsidP="00413A96">
      <w:r>
        <w:t>PARÁGRAFO 4°. Los artículos 103, 104 y 115 de la Ley 1450 de 2011 seguirán vigentes hasta el 31 de diciembre de 2015.</w:t>
      </w:r>
    </w:p>
    <w:p w14:paraId="27B67032" w14:textId="77777777" w:rsidR="00413A96" w:rsidRDefault="00413A96" w:rsidP="00413A96"/>
    <w:p w14:paraId="1CFAFAD1" w14:textId="77777777" w:rsidR="00413A96" w:rsidRDefault="00413A96" w:rsidP="00413A96">
      <w:r>
        <w:t>ARTÍCULO 191. Alumbrado Público. Es un servicio público esencial, regido por los artículos 56 y 365 de la Constitución Política. El Gobierno nacional, a través del Ministerio de Minas y Energía, reglamentará su prestación para que se asegure por parte de autoridades municipales y distritales lo siguiente:</w:t>
      </w:r>
    </w:p>
    <w:p w14:paraId="6374F6CB" w14:textId="77777777" w:rsidR="00413A96" w:rsidRDefault="00413A96" w:rsidP="00413A96"/>
    <w:p w14:paraId="192CC5E8" w14:textId="77777777" w:rsidR="00413A96" w:rsidRDefault="00413A96" w:rsidP="00413A96">
      <w:r>
        <w:t>1.</w:t>
      </w:r>
      <w:r>
        <w:tab/>
        <w:t>El mejoramiento de la calidad de vida y de seguridad de los habitantes en el nivel nacional y territorial.</w:t>
      </w:r>
    </w:p>
    <w:p w14:paraId="65B107EE" w14:textId="77777777" w:rsidR="00413A96" w:rsidRDefault="00413A96" w:rsidP="00413A96"/>
    <w:p w14:paraId="538A2D92" w14:textId="77777777" w:rsidR="00413A96" w:rsidRDefault="00413A96" w:rsidP="00413A96">
      <w:r>
        <w:t>2.</w:t>
      </w:r>
      <w:r>
        <w:tab/>
        <w:t>El financiamiento del servicio de alumbrado público dentro del marco de sostenibilidad fiscal de la entidad territorial. En ningún caso podrá cobrarse por este servicio sin que se haya realizado la prestación del mismo en su área de influencia.</w:t>
      </w:r>
    </w:p>
    <w:p w14:paraId="77031A65" w14:textId="77777777" w:rsidR="00413A96" w:rsidRDefault="00413A96" w:rsidP="00413A96"/>
    <w:p w14:paraId="4D188529" w14:textId="77777777" w:rsidR="00413A96" w:rsidRDefault="00413A96" w:rsidP="00413A96">
      <w:r>
        <w:t>3.</w:t>
      </w:r>
      <w:r>
        <w:tab/>
        <w:t>Una prestación eficiente y continua del servicio de alumbrado público.</w:t>
      </w:r>
    </w:p>
    <w:p w14:paraId="40B94219" w14:textId="77777777" w:rsidR="00413A96" w:rsidRDefault="00413A96" w:rsidP="00413A96"/>
    <w:p w14:paraId="1E298882" w14:textId="77777777" w:rsidR="00413A96" w:rsidRDefault="00413A96" w:rsidP="00413A96">
      <w:r>
        <w:t>4.</w:t>
      </w:r>
      <w:r>
        <w:tab/>
        <w:t>Se amplíe la cobertura en la prestación del servicio de alumbrado público.</w:t>
      </w:r>
    </w:p>
    <w:p w14:paraId="3A66AB62" w14:textId="77777777" w:rsidR="00413A96" w:rsidRDefault="00413A96" w:rsidP="00413A96"/>
    <w:p w14:paraId="0FC9A55F" w14:textId="77777777" w:rsidR="00413A96" w:rsidRDefault="00413A96" w:rsidP="00413A96">
      <w:r>
        <w:t>La prestación del servicio de alumbrado público, inherente al servicio público de energía eléctrica, se regirá por los siguientes principios:</w:t>
      </w:r>
    </w:p>
    <w:p w14:paraId="45D9EE06" w14:textId="77777777" w:rsidR="00413A96" w:rsidRDefault="00413A96" w:rsidP="00413A96"/>
    <w:p w14:paraId="548D4514" w14:textId="77777777" w:rsidR="00413A96" w:rsidRDefault="00413A96" w:rsidP="00413A96">
      <w:r>
        <w:t>a.</w:t>
      </w:r>
      <w:r>
        <w:tab/>
        <w:t>El principio de cobertura buscará garantizar una cobertura plena de todas las áreas urbanas de los municipios y distritos, y en centros poblados de las zonas rurales donde técnica y financieramente resulte viable su prestación, en concordancia con la planificación local y con los demás principios enunciados en el presente artículo.</w:t>
      </w:r>
    </w:p>
    <w:p w14:paraId="4A9FF57E" w14:textId="77777777" w:rsidR="00413A96" w:rsidRDefault="00413A96" w:rsidP="00413A96"/>
    <w:p w14:paraId="7599CBD2" w14:textId="77777777" w:rsidR="00413A96" w:rsidRDefault="00413A96" w:rsidP="00413A96">
      <w:r>
        <w:t>b.</w:t>
      </w:r>
      <w:r>
        <w:tab/>
        <w:t>En virtud del principio de calidad el servicio prestado debe cumplir con los requisitos técnicos que se establezcan para él.</w:t>
      </w:r>
    </w:p>
    <w:p w14:paraId="282D2A75" w14:textId="77777777" w:rsidR="00413A96" w:rsidRDefault="00413A96" w:rsidP="00413A96">
      <w:r>
        <w:t xml:space="preserve"> </w:t>
      </w:r>
    </w:p>
    <w:p w14:paraId="67C28505" w14:textId="77777777" w:rsidR="00413A96" w:rsidRDefault="00413A96" w:rsidP="00413A96">
      <w:r>
        <w:t>c.</w:t>
      </w:r>
      <w:r>
        <w:tab/>
        <w:t>Para efectos del presente artículo, el principio de eficiencia energética se define como la relación entre la energía aprovechada y la total utilizada, en cualquier proceso de la cadena energética que busca ser maximizada a través de buenas prácticas de reconversión tecnológica.</w:t>
      </w:r>
    </w:p>
    <w:p w14:paraId="2C760BB3" w14:textId="77777777" w:rsidR="00413A96" w:rsidRDefault="00413A96" w:rsidP="00413A96"/>
    <w:p w14:paraId="47ABA7AC" w14:textId="77777777" w:rsidR="00413A96" w:rsidRDefault="00413A96" w:rsidP="00413A96">
      <w:r>
        <w:t>d.</w:t>
      </w:r>
      <w:r>
        <w:tab/>
        <w:t>El principio de eficiencia económica implica, entre otros aspectos, la correcta asignación y utilización de los recursos de tal forma que se busque la garantía de la prestación del servicio de alumbrado público al menor costo económico y bajo criterios técnicos de calidad.</w:t>
      </w:r>
    </w:p>
    <w:p w14:paraId="1F4C3C91" w14:textId="77777777" w:rsidR="00413A96" w:rsidRDefault="00413A96" w:rsidP="00413A96"/>
    <w:p w14:paraId="4ABC3A4D" w14:textId="77777777" w:rsidR="00413A96" w:rsidRDefault="00413A96" w:rsidP="00413A96">
      <w:r>
        <w:t>e.</w:t>
      </w:r>
      <w:r>
        <w:tab/>
        <w:t>En virtud del principio de homogeneidad se buscará que la metodología para determinar los costos totales máximos eficientes de prestación del servicio de alumbrado público tengan una misma estructura para todos los municipios y distritos del país, y que los costos resultantes respondan a la realidad de cada municipio o distrito.</w:t>
      </w:r>
    </w:p>
    <w:p w14:paraId="32157B95" w14:textId="77777777" w:rsidR="00413A96" w:rsidRDefault="00413A96" w:rsidP="00413A96"/>
    <w:p w14:paraId="7D32D446" w14:textId="77777777" w:rsidR="00413A96" w:rsidRDefault="00413A96" w:rsidP="00413A96">
      <w:r>
        <w:t>f.</w:t>
      </w:r>
      <w:r>
        <w:tab/>
        <w:t>En virtud del principio de suficiencia financiera se promoverá que los prestadores del servicio de alumbrado público tengan una recuperación eficiente de los costos y gastos de todas las actividades asociadas a la prestación del servicio y obtener una rentabilidad razonable.</w:t>
      </w:r>
    </w:p>
    <w:p w14:paraId="220676C5" w14:textId="77777777" w:rsidR="00413A96" w:rsidRDefault="00413A96" w:rsidP="00413A96"/>
    <w:p w14:paraId="6D07286C" w14:textId="77777777" w:rsidR="00413A96" w:rsidRDefault="00413A96" w:rsidP="00413A96">
      <w:r>
        <w:t>Los costos y gastos eficientes de todas las actividades asociadas a la prestación del servicio de alumbrado público serán recuperados por el municipio o distrito que tiene a cargo su prestación a través de una contribución especial con destinación específica para la financiación de este servicio. Dichos costos y gastos se determinarán de conformidad con la metodología que para tales efectos establezca el Ministerio de Minas y Energía o la autoridad que delegue.</w:t>
      </w:r>
    </w:p>
    <w:p w14:paraId="46A6B4AA" w14:textId="77777777" w:rsidR="00413A96" w:rsidRDefault="00413A96" w:rsidP="00413A96"/>
    <w:p w14:paraId="046DBA4C" w14:textId="77777777" w:rsidR="00413A96" w:rsidRDefault="00413A96" w:rsidP="00413A96">
      <w:r>
        <w:lastRenderedPageBreak/>
        <w:t>Serán sujetos pasivos de la contribución del servicio de alumbrado público quienes realicen consumos de energía eléctrica, bien sea como usuarios del servicio público domiciliario de energía eléctrica o como auto generadores y, en los casos en que no se realicen consumos de energía eléctrica, los propietarios de los predios y demás sujetos pasivos del impuesto predial que se encuentren dentro de la jurisdicción del respectivo municipio o distrito. Lo anterior, teniendo en cuenta los criterios de equidad y progresividad.</w:t>
      </w:r>
    </w:p>
    <w:p w14:paraId="0090B59A" w14:textId="77777777" w:rsidR="00413A96" w:rsidRDefault="00413A96" w:rsidP="00413A96"/>
    <w:p w14:paraId="4A938D11" w14:textId="77777777" w:rsidR="00413A96" w:rsidRDefault="00413A96" w:rsidP="00413A96">
      <w:r>
        <w:t>El Ministerio de Minas y Energía o la autoridad que delegue determinará la metodología que contenga los criterios técnicos a considerar por parte de los concejos municipales y distritales para realizar la distribución del costo a recuperar entre los sujetos pasivos, para lo cual deberá tener en cuenta los principios definidos en este artículo.</w:t>
      </w:r>
    </w:p>
    <w:p w14:paraId="1997A0E4" w14:textId="77777777" w:rsidR="00413A96" w:rsidRDefault="00413A96" w:rsidP="00413A96"/>
    <w:p w14:paraId="6904165B" w14:textId="77777777" w:rsidR="00413A96" w:rsidRDefault="00413A96" w:rsidP="00413A96">
      <w:r>
        <w:t>Cuando el sujeto pasivo sea el usuario de energía eléctrica, para la liquidación de la contribución se deberá considerar el volumen de energía consumida. Cuando el sujeto pasivo sea el propietario de los predios y demás sujetos pasivos del impuesto predial, para la fijación de la contribución se deberá considerar los elementos del avalúo catastral del respectivo predio, teniendo en cuenta el área de influencia del servicio de alumbrado público. El valor de la contribución en ningún caso sobrepasará el valor máximo que se determine de conformidad con los criterios de distribución contenidos en la metodología mencionada.</w:t>
      </w:r>
    </w:p>
    <w:p w14:paraId="5CDA7E7E" w14:textId="77777777" w:rsidR="00413A96" w:rsidRDefault="00413A96" w:rsidP="00413A96"/>
    <w:p w14:paraId="45339505" w14:textId="77777777" w:rsidR="00413A96" w:rsidRDefault="00413A96" w:rsidP="00413A96">
      <w:r>
        <w:t>Los alcaldes municipales o distritales definirán los procedimientos de recaudo, y este podrá realizarse, entre otros, a través de la facturación propia del municipio o distrito, o de las empresas de servicios públicos domiciliarios de su jurisdicción. En este caso, la remuneración del servicio de facturación y recaudo se realizará de conformidad con la regulación aplicable a la facturación conjunta.</w:t>
      </w:r>
    </w:p>
    <w:p w14:paraId="66E8B436" w14:textId="77777777" w:rsidR="00413A96" w:rsidRDefault="00413A96" w:rsidP="00413A96"/>
    <w:p w14:paraId="08565BD4" w14:textId="77777777" w:rsidR="00413A96" w:rsidRDefault="00413A96" w:rsidP="00413A96">
      <w:r>
        <w:t>A partir de la vigencia de la presente ley, el suministro de energía eléctrica con destino al servicio de alumbrado público deberá realizarse a través de contratos soportados en los mecanismos de cubrimiento que para el efecto determine el Ministerio de Minas y Energía o la autoridad que delegue dentro de los seis meses siguientes. En todo caso, el pago por el suministro de la energía, la facturación y el recaudo se podrán realizar mediante apropiación sin situación de fondos por parte de la entidad respectiva y a favor del comercializador de energía eléctrica.</w:t>
      </w:r>
    </w:p>
    <w:p w14:paraId="740D902E" w14:textId="77777777" w:rsidR="00413A96" w:rsidRDefault="00413A96" w:rsidP="00413A96">
      <w:r>
        <w:t xml:space="preserve"> </w:t>
      </w:r>
    </w:p>
    <w:p w14:paraId="47612F72" w14:textId="77777777" w:rsidR="00413A96" w:rsidRDefault="00413A96" w:rsidP="00413A96">
      <w:r>
        <w:t>Las personas prestadoras del servicio de alumbrado público serán sujetos del control y vigilancia de la Superintendencia de Servicios Públicos Domiciliarios, en aspectos relacionados con la calidad y prestación del servicio. La Superintendencia de Servicios Públicos Domiciliarios realizará la vigilancia y control sobre el cumplimiento de los reglamentos técnicos expedidos para regular el servicio de alumbrado público.</w:t>
      </w:r>
    </w:p>
    <w:p w14:paraId="7665F044" w14:textId="77777777" w:rsidR="00413A96" w:rsidRDefault="00413A96" w:rsidP="00413A96"/>
    <w:p w14:paraId="3FBF6853" w14:textId="77777777" w:rsidR="00413A96" w:rsidRDefault="00413A96" w:rsidP="00413A96">
      <w:r>
        <w:t>PARÁGRAFO PRIMERO. Sustitúyase el impuesto de alumbrado público, y en particular, el literal d) del artículo 10 de la Ley 97 del 1913, en lo que se refiera a dicho impuesto y demás leyes que lo complementan.</w:t>
      </w:r>
    </w:p>
    <w:p w14:paraId="2D12094D" w14:textId="77777777" w:rsidR="00413A96" w:rsidRDefault="00413A96" w:rsidP="00413A96"/>
    <w:p w14:paraId="27FB9DF3" w14:textId="77777777" w:rsidR="00413A96" w:rsidRDefault="00413A96" w:rsidP="00413A96">
      <w:r>
        <w:t>PARÁGRAFO SEGUNDO. Los contratos suscritos mantendrán su vigencia, pero las prórrogas o adiciones que se pacten con posterioridad a la vigencia de la presente ley se regirán por lo previsto en esta ley; en todo caso, el recaudo de la contribución de alumbrado se destinará a sufragar el costo de prestación del servicio a partir de la expedición de la presente ley. Los contratos que se celebren durante el período al que se refiere el parágrafo transitorio y en todo caso antes de la reglamentación de este artículo, se regirán por las normas vigentes antes de la expedición de esta ley.</w:t>
      </w:r>
    </w:p>
    <w:p w14:paraId="7AE737FC" w14:textId="77777777" w:rsidR="00413A96" w:rsidRDefault="00413A96" w:rsidP="00413A96"/>
    <w:p w14:paraId="135BAE0B" w14:textId="77777777" w:rsidR="00413A96" w:rsidRDefault="00413A96" w:rsidP="00413A96">
      <w:r>
        <w:t>PARÁGRAFO TRANSITORIO. La sustitución de que trata el parágrafo 1° del presente artículo se aplicará respecto de las entidades territoriales que hayan expedido acuerdos adoptando el tributo de alumbrado público autorizado por las Leyes 97 de 1913 y 84 de 1915. Contarán con un (1) año a partir de la entrada en vigencia de la presente ley para adoptar la contribución en los términos establecidos por este artículo. Una vez cumplido este plazo operará la sustitución. Los alcaldes de los municipios y distritos que a la fecha de expedición de esta ley tengan incorporado en los acuerdos de impuesto de alumbrado público la actividad de semaforización, deberán establecer la fuente con la cual se financiarán los costos y gastos de la actividad de semaforización a partir de la terminación del período de un (1) año al que se refiere este parágrafo transitorio.</w:t>
      </w:r>
    </w:p>
    <w:p w14:paraId="3F309A43" w14:textId="77777777" w:rsidR="00413A96" w:rsidRDefault="00413A96" w:rsidP="00413A96"/>
    <w:p w14:paraId="469AD402" w14:textId="77777777" w:rsidR="00413A96" w:rsidRDefault="00413A96" w:rsidP="00413A96">
      <w:r>
        <w:t>Sin perjuicio de lo anterior, los municipios o distritos podrán optar por no cobrar por la prestación del servicio de alumbrado público.</w:t>
      </w:r>
    </w:p>
    <w:p w14:paraId="3CC41822" w14:textId="77777777" w:rsidR="00413A96" w:rsidRDefault="00413A96" w:rsidP="00413A96">
      <w:r>
        <w:t>NOTA: Artículo declarado INEXEQUIBLE por la Corte Constitucional mediante Sentencia C­272 de 2016.</w:t>
      </w:r>
    </w:p>
    <w:p w14:paraId="49DEAE29" w14:textId="77777777" w:rsidR="00413A96" w:rsidRDefault="00413A96" w:rsidP="00413A96">
      <w:r>
        <w:t xml:space="preserve">ARTÍCULO 192. Acuerdos con entidades territoriales. El Gobierno nacional establecerá el procedimiento para </w:t>
      </w:r>
      <w:r>
        <w:lastRenderedPageBreak/>
        <w:t>que las entidades territoriales puedan proponer al Ministerio de Minas y Energía, con fundamento en estudios técnicos, sociales y ambientales; medidas de protección del ambiente sano, las cuencas hídricas, el desarrollo económico, social, cultural de sus comunidades y la salubridad de la población, frente a las posibles afectaciones que pueden derivarse de la actividad minera.</w:t>
      </w:r>
    </w:p>
    <w:p w14:paraId="7ECC449D" w14:textId="77777777" w:rsidR="00413A96" w:rsidRDefault="00413A96" w:rsidP="00413A96"/>
    <w:p w14:paraId="7D71468C" w14:textId="77777777" w:rsidR="00413A96" w:rsidRDefault="00413A96" w:rsidP="00413A96">
      <w:r>
        <w:t>Los estudios antes referidos podrán basarse en los realizados para fundamentar la expedición de los Planes de Ordenamiento Territorial, Esquemas de Ordenamiento Territorial o en los estudios que hayan sido elaborados por las Corporaciones Autónomas Regionales en el ejercicio de sus funciones.</w:t>
      </w:r>
    </w:p>
    <w:p w14:paraId="7DAC7173" w14:textId="77777777" w:rsidR="00413A96" w:rsidRDefault="00413A96" w:rsidP="00413A96"/>
    <w:p w14:paraId="5B894E13" w14:textId="77777777" w:rsidR="00413A96" w:rsidRDefault="00413A96" w:rsidP="00413A96">
      <w:r>
        <w:t>ARTÍCULO 193. Acceso a las TIC y despliegue de infraestructura. Con el propósito de garantizar el ejercicio y goce efectivo de los derechos constitucionales a la comunicación, la vida en situaciones de emergencia, la educación, la salud, la seguridad personal, y, el acceso a la información, al conocimiento, la ciencia y a la cultura, así como el de contribuir a la masificación del Gobierno en Línea, de conformidad con la Ley 1341 de 2009, es deber de la Nación asegurar la prestación continua, oportuna y de calidad de los servicios públicos de comunicaciones para lo cual velará por el despliegue de la infraestructura de redes de telecomunicaciones en las entidades territoriales.</w:t>
      </w:r>
    </w:p>
    <w:p w14:paraId="3D850E23" w14:textId="77777777" w:rsidR="00413A96" w:rsidRDefault="00413A96" w:rsidP="00413A96"/>
    <w:p w14:paraId="347C2963" w14:textId="77777777" w:rsidR="00413A96" w:rsidRDefault="00413A96" w:rsidP="00413A96">
      <w:r>
        <w:t>Para este efecto, las autoridades de todos los órdenes territoriales identificarán los obstáculos que restrinjan, limiten o impidan el despliegue de infraestructura de telecomunicaciones necesaria para el ejercicio y goce de los derechos constitucionales y procederá a adoptar las medidas y acciones que considere idóneas para removerlos.</w:t>
      </w:r>
    </w:p>
    <w:p w14:paraId="1A4C782F" w14:textId="77777777" w:rsidR="00413A96" w:rsidRDefault="00413A96" w:rsidP="00413A96">
      <w:r>
        <w:t xml:space="preserve"> </w:t>
      </w:r>
    </w:p>
    <w:p w14:paraId="02AB65EA" w14:textId="77777777" w:rsidR="00413A96" w:rsidRDefault="00413A96" w:rsidP="00413A96"/>
    <w:p w14:paraId="04717663" w14:textId="77777777" w:rsidR="00413A96" w:rsidRDefault="00413A96" w:rsidP="00413A96">
      <w:r>
        <w:t>Cualquier autoridad territorial o cualquier persona podrá comunicarle a la Comisión de Regulación de Comunicaciones (CRC) la persistencia de alguno de estos obstáculos. Recibida la comunicación, la CRC deberá constatar la existencia de barreras, prohibiciones o restricciones que transitoria o permanentemente obstruyan el despliegue de infraestructura en un área determinada de la respectiva entidad territorial. Una vez efectuada la constatación por parte de la CRC y en un término no mayor de treinta (30) días, esta emitirá un concepto, en el cual informará a las autoridades territoriales responsables la necesidad de garantizar el despliegue de infraestructura de telecomunicaciones para la realización de los derechos constitucionales en los términos del primer inciso del presente artículo.</w:t>
      </w:r>
    </w:p>
    <w:p w14:paraId="0FD7662C" w14:textId="77777777" w:rsidR="00413A96" w:rsidRDefault="00413A96" w:rsidP="00413A96"/>
    <w:p w14:paraId="557764EA" w14:textId="77777777" w:rsidR="00413A96" w:rsidRDefault="00413A96" w:rsidP="00413A96">
      <w:r>
        <w:t>Comunicado el concepto, la autoridad respectiva dispondrá de un plazo máximo de treinta (30) días para informar a la CRC las acciones que ha decidido implementar en el término de seis (6) meses para remover el obstáculo o barrera identificado por la CRC, así como las alternativas que permitirán el despliegue de infraestructura de telecomunicaciones en el área determinada, incluidas, entre estas, las recomendaciones contenidas en el concepto de la CRC.</w:t>
      </w:r>
    </w:p>
    <w:p w14:paraId="606745C7" w14:textId="77777777" w:rsidR="00413A96" w:rsidRDefault="00413A96" w:rsidP="00413A96"/>
    <w:p w14:paraId="74ECC080" w14:textId="77777777" w:rsidR="00413A96" w:rsidRDefault="00413A96" w:rsidP="00413A96">
      <w:r>
        <w:t>Antes del vencimiento de este plazo, la autoridad de la entidad territorial podrá acordar con la CRC la mejor forma de implementar las condiciones técnicas en las cuales se asegurará el despliegue.</w:t>
      </w:r>
    </w:p>
    <w:p w14:paraId="39A1ED34" w14:textId="77777777" w:rsidR="00413A96" w:rsidRDefault="00413A96" w:rsidP="00413A96"/>
    <w:p w14:paraId="1415C3BA" w14:textId="77777777" w:rsidR="00413A96" w:rsidRDefault="00413A96" w:rsidP="00413A96">
      <w:r>
        <w:t>PARÁGRAFO PRIMERO. Cuando el plan de ordenamiento territorial no permita realizar las acciones necesarias que requieran las autoridades territoriales para permitir el despliegue de infraestructura para telecomunicaciones, el alcalde podrá promover las acciones necesarias para implementar su modificación.</w:t>
      </w:r>
    </w:p>
    <w:p w14:paraId="22027643" w14:textId="77777777" w:rsidR="00413A96" w:rsidRDefault="00413A96" w:rsidP="00413A96"/>
    <w:p w14:paraId="537FAAF3" w14:textId="77777777" w:rsidR="00413A96" w:rsidRDefault="00413A96" w:rsidP="00413A96">
      <w:r>
        <w:t>PARÁGRAFO SEGUNDO. A partir de la radicación de la solicitud de licencia para la construcción, instalación, modificación u operación de cualquier equipamiento para la prestación de servicios de telecomunicaciones, la autoridad competente para decidir tendrá un plazo de dos (2) meses para el otorgamiento o no de dicho permiso. Transcurrido ese plazo sin que se haya notificado decisión que resuelva la petición, se entenderá concedida la licencia en favor del peticionario en los términos solicitados en razón a que ha operado el silencio administrativo positivo, salvo en los casos señalados por la Corte Constitucional. Dentro de las setenta y dos (72) horas siguientes al vencimiento del término de los (2) meses, la autoridad competente para la ordenación del territorio, deberá reconocer al peticionario los efectos del silencio administrativo positivo, sin perjuicio de la responsabilidad patrimonial y disciplinaria que tal abstención genere para el funcionario encargado de resolver.</w:t>
      </w:r>
    </w:p>
    <w:p w14:paraId="63CE1879" w14:textId="77777777" w:rsidR="00413A96" w:rsidRDefault="00413A96" w:rsidP="00413A96"/>
    <w:p w14:paraId="748DBEE2" w14:textId="77777777" w:rsidR="00413A96" w:rsidRDefault="00413A96" w:rsidP="00413A96">
      <w:r>
        <w:t xml:space="preserve">PARÁGRAFO TERCERO. Los elementos de transmisión y recepción que hacen parte de la infraestructura de los proveedores de las redes y servicios de telecomunicaciones, tales como picoceldas o microceldas, que por sus características en dimensión y peso puedan ser instaladas sin la necesidad de obra civil para su soporte </w:t>
      </w:r>
      <w:r>
        <w:lastRenderedPageBreak/>
        <w:t>estarán autorizadas para ser instaladas sin mediar licencia de autorización de uso del suelo, siempre y cuando respeten la reglamentación en la materia expedida por la Agencia Nacional del Espectro (ANE) y la Comisión de Regulación de Comunicaciones (CRC).</w:t>
      </w:r>
    </w:p>
    <w:p w14:paraId="7CE0D7A3" w14:textId="77777777" w:rsidR="00413A96" w:rsidRDefault="00413A96" w:rsidP="00413A96"/>
    <w:p w14:paraId="58BD8C03" w14:textId="77777777" w:rsidR="00413A96" w:rsidRDefault="00413A96" w:rsidP="00413A96">
      <w:r>
        <w:t>ARTÍCULO 194. Expansión de las telecomunicaciones sociales y mejoramiento de la calidad de los servicios TIC. El Gobierno nacional, a través del Ministerio de las Tecnologías de la Información y las Comunicaciones (MinTIC), diseñará e implementará planes, programas y proyectos que promuevan en forma prioritaria el acceso y el servicio universal a las Tecnologías de la Información, y las Comunicaciones (TIC) a las zonas apartadas del país. Para el efecto, se tendrán en cuenta los siguientes lineamientos:</w:t>
      </w:r>
    </w:p>
    <w:p w14:paraId="7AB13C68" w14:textId="77777777" w:rsidR="00413A96" w:rsidRDefault="00413A96" w:rsidP="00413A96"/>
    <w:p w14:paraId="7C676281" w14:textId="77777777" w:rsidR="00413A96" w:rsidRDefault="00413A96" w:rsidP="00413A96">
      <w:r>
        <w:t>a)</w:t>
      </w:r>
      <w:r>
        <w:tab/>
        <w:t>Acceso a las TIC en zonas rurales y urbanas. El MinTIC podrá apoyar la conectividad de los centros de acceso comunitarios a Internet rurales y urbanos desplegados en territorio nacional con cargo a los recursos del sector, teniendo en cuenta criterios de focalización, y promoverá que las entidades del Estado hagan uso y apoyen dichos centros.</w:t>
      </w:r>
    </w:p>
    <w:p w14:paraId="253AF177" w14:textId="77777777" w:rsidR="00413A96" w:rsidRDefault="00413A96" w:rsidP="00413A96">
      <w:r>
        <w:t xml:space="preserve"> </w:t>
      </w:r>
    </w:p>
    <w:p w14:paraId="614E2CC8" w14:textId="77777777" w:rsidR="00413A96" w:rsidRDefault="00413A96" w:rsidP="00413A96">
      <w:r>
        <w:t>b)</w:t>
      </w:r>
      <w:r>
        <w:tab/>
        <w:t>Masificación de servicios de telecomunicaciones y aplicaciones. El MinTIC podrá establecer planes de masificación del acceso a las tecnologías de la información y las comunicaciones para la población de menores recursos.</w:t>
      </w:r>
    </w:p>
    <w:p w14:paraId="0F18EA99" w14:textId="77777777" w:rsidR="00413A96" w:rsidRDefault="00413A96" w:rsidP="00413A96"/>
    <w:p w14:paraId="49EC9F50" w14:textId="77777777" w:rsidR="00413A96" w:rsidRDefault="00413A96" w:rsidP="00413A96">
      <w:r>
        <w:t>Dichos planes podrán incorporar subsidios a grupos específicos de población de menores ingresos o en condiciones socioeconómicas y geográficas menos favorables, para el suministro de los servicios de telecomunicaciones, los equipos terminales, los paneles solares las aplicaciones y los servicios de capacitación para la apropiación de dicha tecnología.</w:t>
      </w:r>
    </w:p>
    <w:p w14:paraId="15A88E97" w14:textId="77777777" w:rsidR="00413A96" w:rsidRDefault="00413A96" w:rsidP="00413A96"/>
    <w:p w14:paraId="7E72F81D" w14:textId="77777777" w:rsidR="00413A96" w:rsidRDefault="00413A96" w:rsidP="00413A96">
      <w:r>
        <w:t>El MinTIC, con el apoyo técnico de la Comisión de Regulación de Comunicaciones (CRC), definirá las características de los planes, los montos de los subsidios, las condiciones de provisión de servicios, aplicaciones y terminales, así como los mecanismos y procedimientos para la verificación y control en la inversión de estos recursos por parte de los operadores.</w:t>
      </w:r>
    </w:p>
    <w:p w14:paraId="1BA578C2" w14:textId="77777777" w:rsidR="00413A96" w:rsidRDefault="00413A96" w:rsidP="00413A96"/>
    <w:p w14:paraId="361666A5" w14:textId="77777777" w:rsidR="00413A96" w:rsidRDefault="00413A96" w:rsidP="00413A96">
      <w:r>
        <w:t>Para este efecto, el Ministerio podrá asignar recursos del Fondo de las Tecnologías de la Información y las Comunicaciones (FONTIC), y en el caso de desarrollar dichos planes a través de proveedores de redes y servicios de comunicaciones, podrá autorizar que estos destinen directamente para ello los recursos de la contraprestación de que trata el artículo 36 de la Ley 1341 de 2009.</w:t>
      </w:r>
    </w:p>
    <w:p w14:paraId="146C9C50" w14:textId="77777777" w:rsidR="00413A96" w:rsidRDefault="00413A96" w:rsidP="00413A96"/>
    <w:p w14:paraId="25B570C5" w14:textId="77777777" w:rsidR="00413A96" w:rsidRDefault="00413A96" w:rsidP="00413A96">
      <w:r>
        <w:t>Dentro de este programa de masificación, en poblaciones con menos de 50.000 habitantes, el FONTIC también podrá subsidiar la prestación del servicio de acceso a internet a nuevos usuarios que reúnan las mismas características del inciso primero de este literal, a través de los operadores de televisión comunitaria y televisión por suscripción, para lo cual los operadores de televisión comunitaria podrán prestar servicios de Internet y telefonía sin afectar su licencia de televisión, previo cumplimiento de inscripción en el Registro de TIC de que trata la Ley 1341 de 2009.</w:t>
      </w:r>
    </w:p>
    <w:p w14:paraId="3CB408E3" w14:textId="77777777" w:rsidR="00413A96" w:rsidRDefault="00413A96" w:rsidP="00413A96"/>
    <w:p w14:paraId="61C5C5B4" w14:textId="77777777" w:rsidR="00413A96" w:rsidRDefault="00413A96" w:rsidP="00413A96">
      <w:r>
        <w:t>c)</w:t>
      </w:r>
      <w:r>
        <w:tab/>
        <w:t>Despliegue de la Televisión Digital. La Autoridad Nacional de Televisión (ANTV) promoverá el desarrollo de la Televisión Digital Terrestre (TDT) y Direct to Home (DTH) para que esta llegue a todo el territorio nacional. Para esto, el Fondo de Desarrollo de la Televisión y los Contenidos podrán subsidiar equipos terminales, televisores, y paneles solares dirigidos a centros comunitarios y escuelas públicas en zonas apartadas del país.</w:t>
      </w:r>
    </w:p>
    <w:p w14:paraId="7B3E710A" w14:textId="77777777" w:rsidR="00413A96" w:rsidRDefault="00413A96" w:rsidP="00413A96"/>
    <w:p w14:paraId="258386FE" w14:textId="77777777" w:rsidR="00413A96" w:rsidRDefault="00413A96" w:rsidP="00413A96">
      <w:r>
        <w:t>d)</w:t>
      </w:r>
      <w:r>
        <w:tab/>
        <w:t>Obligaciones de hacer como forma de pago por el uso del espectro radioeléctrico. El MinTIC podrá establecer obligaciones de hacer como forma de pago de la contra prestación por el otorgamiento o renovación de los permisos de uso del espectro radioeléctrico para beneficiar con TIC a habitantes de bajos ingresos, zonas apartadas y escuelas públicas. Así mismo podrá imponer obligaciones para prestar redes para emergencias. Las inversiones a reconocer serán determinadas por la Comisión de Regulación de Comunicaciones, de acuerdo con la reglamentación que se defina al respecto.</w:t>
      </w:r>
    </w:p>
    <w:p w14:paraId="41DE8994" w14:textId="77777777" w:rsidR="00413A96" w:rsidRDefault="00413A96" w:rsidP="00413A96"/>
    <w:p w14:paraId="1150BB4D" w14:textId="77777777" w:rsidR="00413A96" w:rsidRDefault="00413A96" w:rsidP="00413A96">
      <w:r>
        <w:t>PARÁGRAFO. Los subsidios de que trata el presente artículo se otorgarán por el término de cuatro</w:t>
      </w:r>
    </w:p>
    <w:p w14:paraId="612E25DA" w14:textId="77777777" w:rsidR="00413A96" w:rsidRDefault="00413A96" w:rsidP="00413A96">
      <w:r>
        <w:t>(4) años contados a partir de la expedición de la presente ley, siempre que guarden consistencia con el marco de gasto de mediano plazo y con el Marco Fiscal de Mediano Plazo</w:t>
      </w:r>
    </w:p>
    <w:p w14:paraId="426F14D4" w14:textId="77777777" w:rsidR="00413A96" w:rsidRDefault="00413A96" w:rsidP="00413A96"/>
    <w:p w14:paraId="3A7EF3CA" w14:textId="77777777" w:rsidR="00413A96" w:rsidRDefault="00413A96" w:rsidP="00413A96">
      <w:r>
        <w:lastRenderedPageBreak/>
        <w:t>ARTÍCULO 195. Planes regionales de tecnologías de la información y las comunicaciones. El Ministerio de las Tecnologías de la Información y las Comunicaciones (MinTIC) incluirá programas regionales de Tecnologías de la Información y las Comunicaciones (TIC), en coordinación con Colciencias y otras entidades del Estado. Dichos planes estarán alineados con los objetivos del Plan Nacional de Desarrollo.</w:t>
      </w:r>
    </w:p>
    <w:p w14:paraId="335B6001" w14:textId="77777777" w:rsidR="00413A96" w:rsidRDefault="00413A96" w:rsidP="00413A96"/>
    <w:p w14:paraId="537ED51D" w14:textId="77777777" w:rsidR="00413A96" w:rsidRDefault="00413A96" w:rsidP="00413A96">
      <w:r>
        <w:t>PARÁGRAFO. El MinTIC apoyará el desarrollo de los planes de TIC diseñados por los municipios que incorporen la aplicación del “Código de Buenas Prácticas para el despliegue de infraestructura de redes de comunicaciones” emitido por la Comisión de Regulación de las Comunicaciones (CRC), la cual evaluará la efectiva incorporación de los elementos de dicho código a sus planes de ordenamiento territorial o al instrumento que haga sus veces.</w:t>
      </w:r>
    </w:p>
    <w:p w14:paraId="43C28FB4" w14:textId="77777777" w:rsidR="00413A96" w:rsidRDefault="00413A96" w:rsidP="00413A96">
      <w:r>
        <w:t xml:space="preserve"> </w:t>
      </w:r>
    </w:p>
    <w:p w14:paraId="1A0FC1E3" w14:textId="77777777" w:rsidR="00413A96" w:rsidRDefault="00413A96" w:rsidP="00413A96">
      <w:r>
        <w:t>ARTÍCULO 196. Presentación de proyectos en beneficio de las regiones. El Gobierno nacional a través del Departamento Nacional de Planeación podrá presentar a los Órganos Colegiados de Administración y Decisión (OCAD) proyectos de impacto regional, en beneficio del desarrollo de las regiones en los que concurran distintas fuentes de financiación públicas o privadas y con cargo a las asignaciones de los fondos de desarrollo regional y de compensación regional del Sistema General de Regalías. Estos proyectos en todos los casos deberán cumplir con los criterios de selección, evaluación, viabilidad, priorización y aprobación que establezca el sistema de evaluación basado en puntajes de que trata el artículo 40 de la Ley1744 de 2014.</w:t>
      </w:r>
    </w:p>
    <w:p w14:paraId="698DDE9B" w14:textId="77777777" w:rsidR="00413A96" w:rsidRDefault="00413A96" w:rsidP="00413A96"/>
    <w:p w14:paraId="02A1C28B" w14:textId="77777777" w:rsidR="00413A96" w:rsidRDefault="00413A96" w:rsidP="00413A96">
      <w:r>
        <w:t>ARTÍCULO 197. Destinación de recursos del Sistema General de Regalías para la estructuración de proyectos. Los recursos provenientes del Sistema General de Regalías, a petición de los entes territoriales podrán destinarse a reconocer los costos derivados de la estructuración técnica, legal y financiera de proyectos por parte de entidades financieras del orden nacional con participación estatal. Para el caso de los recursos del Fondo de Ciencia, Tecnología e Innovación, dicho reconocimiento procederá también para las instituciones de educación superior, debidamente acreditadas institucionalmente en los términos del artículo 53 de la Ley 30 de 1992 o la norma que la modifique, aclare, adicione o sustituya, y de acuerdo con los criterios que establezca el Gobierno nacional.</w:t>
      </w:r>
    </w:p>
    <w:p w14:paraId="12B106FF" w14:textId="77777777" w:rsidR="00413A96" w:rsidRDefault="00413A96" w:rsidP="00413A96"/>
    <w:p w14:paraId="2C661678" w14:textId="77777777" w:rsidR="00413A96" w:rsidRDefault="00413A96" w:rsidP="00413A96">
      <w:r>
        <w:t>Las entidades territoriales deberán presentar ante los Órganos Colegiados de Administración y Decisión los soportes que acrediten los costos de la estructuración de los proyectos, integrados a los costos de inversión del proyecto. Una vez aprobado el proyecto y apropiados los recursos, las entidades territoriales deberán transferir a la entidad estructuradora el reconocimiento correspondiente, quien deberá reinvertirlo en la estructuración de otros nuevos proyectos, en beneficio de las regiones, a financiarse con cargo a los recursos del Sistema General de Regalías.</w:t>
      </w:r>
    </w:p>
    <w:p w14:paraId="6378BC0E" w14:textId="77777777" w:rsidR="00413A96" w:rsidRDefault="00413A96" w:rsidP="00413A96"/>
    <w:p w14:paraId="29D34359" w14:textId="77777777" w:rsidR="00413A96" w:rsidRDefault="00413A96" w:rsidP="00413A96">
      <w:r>
        <w:t>ARTÍCULO 198. Contratos Plan. Modifíquese el artículo 8° de la Ley 1450 de 2011, el cual quedará así:</w:t>
      </w:r>
    </w:p>
    <w:p w14:paraId="28CB7424" w14:textId="77777777" w:rsidR="00413A96" w:rsidRDefault="00413A96" w:rsidP="00413A96"/>
    <w:p w14:paraId="20335582" w14:textId="77777777" w:rsidR="00413A96" w:rsidRDefault="00413A96" w:rsidP="00413A96">
      <w:r>
        <w:t>“ARTÍCULO 8°. Contratos Plan. El Contrato Plan es un acuerdo marco de voluntades de carácter estratégico entre la Nación y las entidades territoriales plasmado en un documento que contiene los arreglos programáticos y de desempeño definido entre estas para la ejecución asociada de proyectos de desarrollo territorial que contemplen la concurrencia de esfuerzos de inversión nacional y territorial.</w:t>
      </w:r>
    </w:p>
    <w:p w14:paraId="6C641A31" w14:textId="77777777" w:rsidR="00413A96" w:rsidRDefault="00413A96" w:rsidP="00413A96"/>
    <w:p w14:paraId="574DABF5" w14:textId="77777777" w:rsidR="00413A96" w:rsidRDefault="00413A96" w:rsidP="00413A96">
      <w:r>
        <w:t>En desarrollo de este acuerdo marco se suscribirán contratos específicos en los cuales se señalará el objeto, las metas, los plazos, el responsable de la ejecución y se comprometerán los recursos de fuente nacional y territorial que se destinen para su ejecución, así como las vigencias futuras que se requieran. Adicionalmente, se acordarán los mecanismos de seguimiento y control de los recursos y todos los demás aspectos necesarios para garantizar la rápida y eficiente ejecución de los proyectos, atendiendo las prioridades y particularidades de cada sector y cada región”.</w:t>
      </w:r>
    </w:p>
    <w:p w14:paraId="59CAAE0B" w14:textId="77777777" w:rsidR="00413A96" w:rsidRDefault="00413A96" w:rsidP="00413A96"/>
    <w:p w14:paraId="4F83C63E" w14:textId="77777777" w:rsidR="00413A96" w:rsidRDefault="00413A96" w:rsidP="00413A96">
      <w:r>
        <w:t>Los contratos Plan constituyen un instrumento para el planeamiento y la promoción del desarrollo regional. En tal sentido son un punto de articulación del Plan Nacional de Desarrollo y los Planes Departamentales y Municipales.</w:t>
      </w:r>
    </w:p>
    <w:p w14:paraId="0D592818" w14:textId="77777777" w:rsidR="00413A96" w:rsidRDefault="00413A96" w:rsidP="00413A96"/>
    <w:p w14:paraId="3063E5F4" w14:textId="77777777" w:rsidR="00413A96" w:rsidRDefault="00413A96" w:rsidP="00413A96">
      <w:r>
        <w:t>El Gobierno Nacional buscará que, en los casos que corresponda, sus acciones en materia de inversión pública operen bajo este esquema. El Departamento Nacional de Planeación (DNP) promoverá la aplicación de esta herramienta, así como establecerá los mecanismos de seguimiento y evaluación de los Contratos Plan acordados por el Gobierno Nacional.</w:t>
      </w:r>
    </w:p>
    <w:p w14:paraId="03799531" w14:textId="77777777" w:rsidR="00413A96" w:rsidRDefault="00413A96" w:rsidP="00413A96"/>
    <w:p w14:paraId="6A5D1A37" w14:textId="77777777" w:rsidR="00413A96" w:rsidRDefault="00413A96" w:rsidP="00413A96">
      <w:r>
        <w:lastRenderedPageBreak/>
        <w:t>ARTÍCULO 199. Mecanismos para la ejecución de los Contratos Plan. Créase el Fondo Regional para los Contratos Plan como un instrumento de gestión para facilitar la ejecución de estos contratos. Este Fondo de naturaleza especial, será una cuenta sin personería jurídica, adscrita al Departamento Nacional de Planeación que podrá ser administrada por una entidad financiera del orden nacional, con</w:t>
      </w:r>
    </w:p>
    <w:p w14:paraId="10C3B0A3" w14:textId="77777777" w:rsidR="00413A96" w:rsidRDefault="00413A96" w:rsidP="00413A96">
      <w:r>
        <w:t xml:space="preserve"> </w:t>
      </w:r>
    </w:p>
    <w:p w14:paraId="3E5C0BF8" w14:textId="77777777" w:rsidR="00413A96" w:rsidRDefault="00413A96" w:rsidP="00413A96">
      <w:r>
        <w:t>participación estatal. Estará constituido con los recursos provenientes de las diferentes fuentes de financiación que en él concurran y sus recursos se destinarán al cumplimiento de los acuerdos, objetivos, metas y resultados convenidos en cada Contrato Plan.</w:t>
      </w:r>
    </w:p>
    <w:p w14:paraId="6C44101E" w14:textId="77777777" w:rsidR="00413A96" w:rsidRDefault="00413A96" w:rsidP="00413A96"/>
    <w:p w14:paraId="0A2B45BD" w14:textId="77777777" w:rsidR="00413A96" w:rsidRDefault="00413A96" w:rsidP="00413A96">
      <w:r>
        <w:t>Los recursos diferentes a aquellos provenientes del Presupuesto General de la Nación que concurran a este Fondo, ingresarán en calidad de depósito y se ejecutarán conforme a los mecanismos que se acuerden para cada caso, en subcuentas separadas por cada Contrato Plan.</w:t>
      </w:r>
    </w:p>
    <w:p w14:paraId="391F1A6F" w14:textId="77777777" w:rsidR="00413A96" w:rsidRDefault="00413A96" w:rsidP="00413A96"/>
    <w:p w14:paraId="7945E5B1" w14:textId="77777777" w:rsidR="00413A96" w:rsidRDefault="00413A96" w:rsidP="00413A96">
      <w:r>
        <w:t>En desarrollo del principio de especialización los proyectos que se ejecuten en el marco de los contratos Plan deberán contar con el concepto técnico previo del Ministerio o del Departamento Administrativo del ramo o sector.</w:t>
      </w:r>
    </w:p>
    <w:p w14:paraId="0989C18C" w14:textId="77777777" w:rsidR="00413A96" w:rsidRDefault="00413A96" w:rsidP="00413A96"/>
    <w:p w14:paraId="04D2D049" w14:textId="77777777" w:rsidR="00413A96" w:rsidRDefault="00413A96" w:rsidP="00413A96">
      <w:r>
        <w:t>Lo anterior, sin perjuicio de otros mecanismos que puedan acordar las partes para la administración y ejecución de los Contratos Plan.</w:t>
      </w:r>
    </w:p>
    <w:p w14:paraId="268D2B61" w14:textId="77777777" w:rsidR="00413A96" w:rsidRDefault="00413A96" w:rsidP="00413A96"/>
    <w:p w14:paraId="10C5FE2F" w14:textId="77777777" w:rsidR="00413A96" w:rsidRDefault="00413A96" w:rsidP="00413A96">
      <w:r>
        <w:t>PARÁGRAFO. El Gobierno nacional establecerá una bolsa de recursos para incentivar a las entidades territoriales para que concurran con sus recursos propios y obtengan los mejores resultados en el desarrollo y ejecución de los Contratos Plan.</w:t>
      </w:r>
    </w:p>
    <w:p w14:paraId="16B511AA" w14:textId="77777777" w:rsidR="00413A96" w:rsidRDefault="00413A96" w:rsidP="00413A96"/>
    <w:p w14:paraId="3B737043" w14:textId="77777777" w:rsidR="00413A96" w:rsidRDefault="00413A96" w:rsidP="00413A96">
      <w:r>
        <w:t>ARTÍCULO 200. Planeación y políticas públicas orientadas al cierre de brechas intra e interregionales. El Gobierno Nacional, y los gobiernos departamentales municipales enfocarán sus planes de desarrollo y articularán sus políticas, estrategias e inversiones dando prioridad al cierre de brechas socioeconómicas intra e interregionales, de acuerdo con su identificación objetiva a partir de la información estadística oficial disponible. El Departamento Nacional de Planeación definirá con cada sector la forma como se implementará dicha priorización mediante el rediseño de programas, el redireccionamiento de recursos o el desarrollo de nuevas intervenciones. Lo anterior con el fin de promover la convergencia regional y la igualdad de oportunidades en cuanto a las condiciones de acceso a los servicios del Estado y al beneficio equitativo de los frutos del desarrollo por parte de todas las entidades territoriales y sus pobladores.</w:t>
      </w:r>
    </w:p>
    <w:p w14:paraId="56A69B72" w14:textId="77777777" w:rsidR="00413A96" w:rsidRDefault="00413A96" w:rsidP="00413A96"/>
    <w:p w14:paraId="50A64DD6" w14:textId="77777777" w:rsidR="00413A96" w:rsidRDefault="00413A96" w:rsidP="00413A96">
      <w:r>
        <w:t>En la implementación de este enfoque, las entidades nacionales y los gobiernos subnacionales darán prioridad a las zonas más rezagadas, con especial atención en las zonas de frontera.</w:t>
      </w:r>
    </w:p>
    <w:p w14:paraId="1704FA63" w14:textId="77777777" w:rsidR="00413A96" w:rsidRDefault="00413A96" w:rsidP="00413A96"/>
    <w:p w14:paraId="3506742B" w14:textId="77777777" w:rsidR="00413A96" w:rsidRDefault="00413A96" w:rsidP="00413A96">
      <w:r>
        <w:t>PARÁGRAFO. El Gobierno nacional, a través del Departamento Nacional de Planeación, establecerá los mecanismos y criterios con los cuales se evaluará la articulación de los planes de desarrollo departamentales y municipales frente a la estrategia de brechas del Plan Nacional de Desarrollo. El Gobierno Nacional establecerá indicadores diferenciales y metas que permitan medir la inclusión social en diversos sectores relacionados con las políticas orientadas al cierre de brechas.</w:t>
      </w:r>
    </w:p>
    <w:p w14:paraId="53A3650B" w14:textId="77777777" w:rsidR="00413A96" w:rsidRDefault="00413A96" w:rsidP="00413A96"/>
    <w:p w14:paraId="3E684584" w14:textId="77777777" w:rsidR="00413A96" w:rsidRDefault="00413A96" w:rsidP="00413A96">
      <w:r>
        <w:t>ARTÍCULO 201. Programas y proyectos para el desarrollo y la integración fronteriza. A partir del año 2016, cada Ministerio, departamento administrativo y demás entidades del orden nacional, identificarán en el marco de sus competencias, los programas y proyectos específicos encaminados al desarrollo e integración de las regiones de fronteras. Dichos programas serán concertados con las entidades territoriales fronterizas del país.</w:t>
      </w:r>
    </w:p>
    <w:p w14:paraId="413FAFB8" w14:textId="77777777" w:rsidR="00413A96" w:rsidRDefault="00413A96" w:rsidP="00413A96"/>
    <w:p w14:paraId="43450CB8" w14:textId="77777777" w:rsidR="00413A96" w:rsidRDefault="00413A96" w:rsidP="00413A96">
      <w:r>
        <w:t>ARTÍCULO 202. Del Comité Directivo del Fondo Promoción Turística. Modifíquese el artículo 11 de la Ley 1101 de 2006, modificatorio del artículo 46 de la Ley 300 de 1996, el cual quedará así:</w:t>
      </w:r>
    </w:p>
    <w:p w14:paraId="4B05D7BE" w14:textId="77777777" w:rsidR="00413A96" w:rsidRDefault="00413A96" w:rsidP="00413A96"/>
    <w:p w14:paraId="3A327941" w14:textId="77777777" w:rsidR="00413A96" w:rsidRDefault="00413A96" w:rsidP="00413A96">
      <w:r>
        <w:t>“ARTÍCULO 11. Del Comité Directivo del Fondo Promoción Turística. El Fondo de Promoción Turística tendrá un Comité Directivo, cuya integración será definida por el Gobierno nacional mediante decreto, para lo cual deberá garantizar la participación en el mismo del sector privado, las organizaciones gremiales de aportantes y las entidades territoriales.</w:t>
      </w:r>
    </w:p>
    <w:p w14:paraId="3D62754D" w14:textId="77777777" w:rsidR="00413A96" w:rsidRDefault="00413A96" w:rsidP="00413A96"/>
    <w:p w14:paraId="053AD7C7" w14:textId="77777777" w:rsidR="00413A96" w:rsidRDefault="00413A96" w:rsidP="00413A96">
      <w:r>
        <w:t>PARÁGRAFO 1°. La adopción de las decisiones del comité directivo, requerirá el voto favorable del Ministerio de Comercio Industria y Turismo.</w:t>
      </w:r>
    </w:p>
    <w:p w14:paraId="3D74A7BD" w14:textId="77777777" w:rsidR="00413A96" w:rsidRDefault="00413A96" w:rsidP="00413A96">
      <w:r>
        <w:lastRenderedPageBreak/>
        <w:t xml:space="preserve"> </w:t>
      </w:r>
    </w:p>
    <w:p w14:paraId="3F53CB36" w14:textId="77777777" w:rsidR="00413A96" w:rsidRDefault="00413A96" w:rsidP="00413A96"/>
    <w:p w14:paraId="0CA7B062" w14:textId="77777777" w:rsidR="00413A96" w:rsidRDefault="00413A96" w:rsidP="00413A96">
      <w:r>
        <w:t>PARÁGRAFO TRANSITORIO. El Comité Directivo del Fondo Nacional de Turismo a que se refiere el artículo 20 de la Ley 1558 de 2012, continuará ejerciendo sus funciones hasta que se integre el nuevo comité de que trata este artículo, que no podrá exceder el término de seis (6) meses contados a partir de la promulgación de esta ley”.</w:t>
      </w:r>
    </w:p>
    <w:p w14:paraId="18266A4F" w14:textId="77777777" w:rsidR="00413A96" w:rsidRDefault="00413A96" w:rsidP="00413A96"/>
    <w:p w14:paraId="14C90FD9" w14:textId="77777777" w:rsidR="00413A96" w:rsidRDefault="00413A96" w:rsidP="00413A96">
      <w:r>
        <w:t>ARTÍCULO 203. Recursos de FONTUR. Los recursos del Presupuesto Nacional a los que se refiere el artículo 21 de la Ley 1558 de 2012, serán ejecutados por el Ministerio de Comercio, Industria y Turismo, quien podrá delegar dicha ejecución en el Fondo Nacional de Turismo (FONTUR) y para tal efecto los transferirá al patrimonio autónomo.</w:t>
      </w:r>
    </w:p>
    <w:p w14:paraId="0071C5B0" w14:textId="77777777" w:rsidR="00413A96" w:rsidRDefault="00413A96" w:rsidP="00413A96"/>
    <w:p w14:paraId="27B999DA" w14:textId="77777777" w:rsidR="00413A96" w:rsidRDefault="00413A96" w:rsidP="00413A96">
      <w:r>
        <w:t>ARTÍCULO 204. Estímulos para el uso de la bicicleta y los tricimóviles no motorizados. El Gobierno Nacional, a través del Ministerio de Transporte, realizará acciones tendientes a promover el uso de modos no motorizados y tecnologías limpias, tales como bicicleta, tricimóviles y transporte peatonal en todo el territorio nacional.</w:t>
      </w:r>
    </w:p>
    <w:p w14:paraId="164FFA6B" w14:textId="77777777" w:rsidR="00413A96" w:rsidRDefault="00413A96" w:rsidP="00413A96"/>
    <w:p w14:paraId="15469F05" w14:textId="77777777" w:rsidR="00413A96" w:rsidRDefault="00413A96" w:rsidP="00413A96">
      <w:r>
        <w:t>PARÁGRAFO PRIMERO. En un plazo no mayor a dos (2) años el Ministerio de Transporte reglamentará la prestación del servicio de transporte público en tricimóviles no motorizados y la posibilidad de alimentación de los mismos a los SITM, SETP, SITP y SITR de acuerdo con las necesidades propias de cada sistema.</w:t>
      </w:r>
    </w:p>
    <w:p w14:paraId="514F513A" w14:textId="77777777" w:rsidR="00413A96" w:rsidRDefault="00413A96" w:rsidP="00413A96"/>
    <w:p w14:paraId="6AEC0E6C" w14:textId="77777777" w:rsidR="00413A96" w:rsidRDefault="00413A96" w:rsidP="00413A96">
      <w:r>
        <w:t>PARÁGRAFO SEGUNDO. En un plazo no mayor a dos (2) años el Ministerio de Transporte diseñará una metodología para incluir en los futuros proyectos de interconexión vial las condiciones en las que debe incluirse infraestructura segregada (ciclorrutas o carril­bici) en zonas de alto flujo de ciclistas en entornos intermunicipales, ingresos a grandes ciudades, contornos o variantes urbanas, zonas de alta velocidad o de alto volumen de tráfico.</w:t>
      </w:r>
    </w:p>
    <w:p w14:paraId="7CF2406A" w14:textId="77777777" w:rsidR="00413A96" w:rsidRDefault="00413A96" w:rsidP="00413A96"/>
    <w:p w14:paraId="749E1405" w14:textId="77777777" w:rsidR="00413A96" w:rsidRDefault="00413A96" w:rsidP="00413A96">
      <w:r>
        <w:t>ARTÍCULO 205. Celebración de contratos de obra pública en infraestructura concesionada. El Instituto Nacional de Vías (Invías) podrá, excepcionalmente, celebrar y ejecutar contratos de obra pública para realizar obras complementarias sobre infraestructura concesionada, sin que sea necesaria la desafectación de la infraestructura a intervenir. El objeto de dichos contratos de obra pública no podrá comprender obras o inversiones que cambien sustancialmente el alcance del proyecto. La realización de la obra pública deberá ser pactada mediante convenio a celebrarse entre el Invías y la entidad pública a cargo del contrato de concesión. En estos convenios se definirá la fuente de financiación y entidad responsable de la ejecución y mantenimiento de la obra, así como las demás condiciones necesarias para el efecto. Previamente, la entidad estatal concedente de la infraestructura y el concesionario, deberán acordar los términos en que este colaborará y apoyará la realización de dichas obras.</w:t>
      </w:r>
    </w:p>
    <w:p w14:paraId="6F730B36" w14:textId="77777777" w:rsidR="00413A96" w:rsidRDefault="00413A96" w:rsidP="00413A96"/>
    <w:p w14:paraId="2B81F926" w14:textId="77777777" w:rsidR="00413A96" w:rsidRDefault="00413A96" w:rsidP="00413A96">
      <w:r>
        <w:t>ARTÍCULO 206. Evaluación y priorización de proyectos de asociación público privada. En proyectos de asociación público privada distintos de proyectos nacionales de infraestructura de transporte, la entidad competente deberá verificar si el proyecto se ajusta a las políticas sectoriales y a la priorización de proyectos a ser desarrollados. Resultado de esta verificación, la entidad estatal competente solicitará al Departamento Nacional de Planeación o a la entidad de planeación de la respectiva entidad territorial, según corresponda, su concepto o recomendaciones sobre el proyecto con fundamento en la información suministrada por la entidad pública, en particular, si el proyecto se ajusta a los planes de mediano y largo plazo del sector, y reúne las condiciones que permitan inferir que podría ser desarrollado bajo el esquema de asociación público privada. Para facilitar dicha evaluación, el Departamento Nacional de Planeación expedirá metodologías y documentos de apoyo que permitan conocer con anticipación, los requisitos y parámetros que deberá cumplir la entidad competente para solicitar dicho concepto.</w:t>
      </w:r>
    </w:p>
    <w:p w14:paraId="343FFB40" w14:textId="77777777" w:rsidR="00413A96" w:rsidRDefault="00413A96" w:rsidP="00413A96"/>
    <w:p w14:paraId="159694ED" w14:textId="77777777" w:rsidR="00413A96" w:rsidRDefault="00413A96" w:rsidP="00413A96">
      <w:r>
        <w:t>Este concepto deberá ser solicitado previamente a la aceptación de la prefactibilidad en el caso de iniciativas privadas o en una etapa similar en el caso de iniciativas públicas. La entidad competente deberá considerar en sus estructuraciones la posibilidad y los mecanismos de terminación anticipada</w:t>
      </w:r>
    </w:p>
    <w:p w14:paraId="4CDC174C" w14:textId="77777777" w:rsidR="00413A96" w:rsidRDefault="00413A96" w:rsidP="00413A96">
      <w:r>
        <w:t xml:space="preserve"> </w:t>
      </w:r>
    </w:p>
    <w:p w14:paraId="3276983A" w14:textId="77777777" w:rsidR="00413A96" w:rsidRDefault="00413A96" w:rsidP="00413A96">
      <w:r>
        <w:t>en caso de que el concepto al cual se ha hecho referencia, sea desfavorable y considere acogerlo.</w:t>
      </w:r>
    </w:p>
    <w:p w14:paraId="0ABAA5D7" w14:textId="77777777" w:rsidR="00413A96" w:rsidRDefault="00413A96" w:rsidP="00413A96"/>
    <w:p w14:paraId="3578E87F" w14:textId="77777777" w:rsidR="00413A96" w:rsidRDefault="00413A96" w:rsidP="00413A96">
      <w:r>
        <w:t xml:space="preserve">En todo caso, este concepto no implica una aprobación del proyecto, ni exceptúa a la entidad pública competente de justificar una vez se encuentre estructurado el proyecto, la utilización del mecanismo de asociación público privada como una modalidad eficiente para el desarrollo del proyecto, de conformidad con </w:t>
      </w:r>
      <w:r>
        <w:lastRenderedPageBreak/>
        <w:t>los parámetros definidos por el Departamento Nacional de Planeación.</w:t>
      </w:r>
    </w:p>
    <w:p w14:paraId="7A7C1D3C" w14:textId="77777777" w:rsidR="00413A96" w:rsidRDefault="00413A96" w:rsidP="00413A96"/>
    <w:p w14:paraId="067A837B" w14:textId="77777777" w:rsidR="00413A96" w:rsidRDefault="00413A96" w:rsidP="00413A96">
      <w:r>
        <w:t>ARTÍCULO 207. Ajuste del marco regulatorio de la Comisión de Regulación de Comunicaciones. Modifíquese el artículo 20 de la Ley 1341 de 2009, el cual quedará así:</w:t>
      </w:r>
    </w:p>
    <w:p w14:paraId="2512C2C1" w14:textId="77777777" w:rsidR="00413A96" w:rsidRDefault="00413A96" w:rsidP="00413A96"/>
    <w:p w14:paraId="5BC61B03" w14:textId="77777777" w:rsidR="00413A96" w:rsidRDefault="00413A96" w:rsidP="00413A96">
      <w:r>
        <w:t>“ARTÍCULO 20. Composición de la Comisión de Regulación de Comunicaciones (CRC).</w:t>
      </w:r>
    </w:p>
    <w:p w14:paraId="5A072512" w14:textId="77777777" w:rsidR="00413A96" w:rsidRDefault="00413A96" w:rsidP="00413A96"/>
    <w:p w14:paraId="5F25FB5A" w14:textId="77777777" w:rsidR="00413A96" w:rsidRDefault="00413A96" w:rsidP="00413A96">
      <w:r>
        <w:t>Para el cumplimiento de sus funciones, la Comisión de Regulación de Comunicaciones tendrá la siguiente composición:</w:t>
      </w:r>
    </w:p>
    <w:p w14:paraId="4F28A767" w14:textId="77777777" w:rsidR="00413A96" w:rsidRDefault="00413A96" w:rsidP="00413A96"/>
    <w:p w14:paraId="65AAEFFC" w14:textId="77777777" w:rsidR="00413A96" w:rsidRDefault="00413A96" w:rsidP="00413A96">
      <w:r>
        <w:t>El Ministro de Tecnologías de la Información y las Comunicaciones, o el Viceministro general como su delegado, el Director del Departamento Nacional de Planeación o el Subdirector como su delegado, y tres (3) comisionados de dedicación exclusiva para períodos de cuatro (4) años, no sujetos a las disposiciones que regulan la carrera administrativa. Los comisionados serán designados por el Presidente de la República los cuales podrán ser abogados, ingenieros electrónicos o de telecomunicaciones o economistas. En todo caso, al menos un comisionado deberá ser ingeniero.</w:t>
      </w:r>
    </w:p>
    <w:p w14:paraId="69C58105" w14:textId="77777777" w:rsidR="00413A96" w:rsidRDefault="00413A96" w:rsidP="00413A96"/>
    <w:p w14:paraId="58F37AED" w14:textId="77777777" w:rsidR="00413A96" w:rsidRDefault="00413A96" w:rsidP="00413A96">
      <w:r>
        <w:t>Los comisionados deben ser ciudadanos colombianos mayores de 30 años, con título de pregrado y maestría o doctorado afines, y con experiencia mínima relacionada de ocho (8) años en el ejercicio profesional.</w:t>
      </w:r>
    </w:p>
    <w:p w14:paraId="0FBFB556" w14:textId="77777777" w:rsidR="00413A96" w:rsidRDefault="00413A96" w:rsidP="00413A96"/>
    <w:p w14:paraId="489C528C" w14:textId="77777777" w:rsidR="00413A96" w:rsidRDefault="00413A96" w:rsidP="00413A96">
      <w:r>
        <w:t>Uno de los comisionados, en forma rotatoria, ejercerá las funciones de Director Ejecutivo de acuerdo con el reglamento interno, adoptado por la misma Comisión.</w:t>
      </w:r>
    </w:p>
    <w:p w14:paraId="3017A871" w14:textId="77777777" w:rsidR="00413A96" w:rsidRDefault="00413A96" w:rsidP="00413A96"/>
    <w:p w14:paraId="16A5B9E4" w14:textId="77777777" w:rsidR="00413A96" w:rsidRDefault="00413A96" w:rsidP="00413A96">
      <w:r>
        <w:t>PARÁGRAFO 1°. La Presidencia de la Sesión de CRC será ejercida por quien los miembros de la Comisión designen, y la misma podrá sesionar y decidir con la mayoría simple de sus miembros.</w:t>
      </w:r>
    </w:p>
    <w:p w14:paraId="6ED91433" w14:textId="77777777" w:rsidR="00413A96" w:rsidRDefault="00413A96" w:rsidP="00413A96"/>
    <w:p w14:paraId="18E8E775" w14:textId="77777777" w:rsidR="00413A96" w:rsidRDefault="00413A96" w:rsidP="00413A96">
      <w:r>
        <w:t>PARÁGRAFO 2°. La CRC contará adicionalmente con una Coordinación Ejecutiva. La Dirección Ejecutiva y la Coordinación Ejecutiva, cumplirán sus funciones con el apoyo de grupos internos de trabajo, definidos en su reglamento interno.</w:t>
      </w:r>
    </w:p>
    <w:p w14:paraId="3A0441F4" w14:textId="77777777" w:rsidR="00413A96" w:rsidRDefault="00413A96" w:rsidP="00413A96"/>
    <w:p w14:paraId="50630E4C" w14:textId="77777777" w:rsidR="00413A96" w:rsidRDefault="00413A96" w:rsidP="00413A96">
      <w:r>
        <w:t>ARTÍCULO 208. Sanciones de la Superservicios. Modifíquese el numeral 81.2 y adiciónense dos parágrafos al artículo 81 de la Ley 142 de 1994, los cuales quedarán así:</w:t>
      </w:r>
    </w:p>
    <w:p w14:paraId="03285F97" w14:textId="77777777" w:rsidR="00413A96" w:rsidRDefault="00413A96" w:rsidP="00413A96"/>
    <w:p w14:paraId="3EE7DF80" w14:textId="77777777" w:rsidR="00413A96" w:rsidRDefault="00413A96" w:rsidP="00413A96">
      <w:r>
        <w:t>“81.2. Multas hasta por el equivalente a dos mil (2.000) salarios mínimos legales mensuales para personas naturales y hasta por el equivalente a cien mil (100.000) salarios mínimos legales mensuales para personas jurídicas. Si el infractor no proporciona información suficiente para determinar el monto, dentro de los treinta días siguientes al requerimiento que se le formule, se le aplicarán las otras sanciones que aquí se prevén. Los recursos producto de las multas que imponga esta Superintendencia ingresarán al Fondo Empresarial creado por la Ley 812 de 2003. Las empresas a las que se multe podrán repetir contra quienes hubieran realizado los actos u omisiones que dieron lugar a la sanción. La repetición será obligatoria cuando se trate de servidores públicos, de conformidad con el artículo 90 de la Constitución”.</w:t>
      </w:r>
    </w:p>
    <w:p w14:paraId="6075FB74" w14:textId="77777777" w:rsidR="00413A96" w:rsidRDefault="00413A96" w:rsidP="00413A96"/>
    <w:p w14:paraId="293C8CB3" w14:textId="77777777" w:rsidR="00413A96" w:rsidRDefault="00413A96" w:rsidP="00413A96">
      <w:r>
        <w:t>“PARÁGRAFO 1°. Sobre las multas a las que hace referencia el numeral 81.2 del presente artículo, el Gobierno Nacional dentro de los seis (6) meses siguientes a la entrada en vigencia de la presente ley reglamentará los criterios y la metodología para graduar y calcular las multas. En todo caso la reglamentación del Gobierno Nacional tendrá en cuenta criterios como el impacto de la infracción sobre la prestación del servicio público, el tiempo durante el cual se presentó la infracción, el número de usuarios afectados, el beneficio obtenido por el infractor, la cuota del mercado o el</w:t>
      </w:r>
    </w:p>
    <w:p w14:paraId="12EE76A9" w14:textId="77777777" w:rsidR="00413A96" w:rsidRDefault="00413A96" w:rsidP="00413A96">
      <w:r>
        <w:t xml:space="preserve"> </w:t>
      </w:r>
    </w:p>
    <w:p w14:paraId="614AFDBF" w14:textId="77777777" w:rsidR="00413A96" w:rsidRDefault="00413A96" w:rsidP="00413A96">
      <w:r>
        <w:t>beneficio económico que se hubiere obtenido producto de la infracción.</w:t>
      </w:r>
    </w:p>
    <w:p w14:paraId="14F565C0" w14:textId="77777777" w:rsidR="00413A96" w:rsidRDefault="00413A96" w:rsidP="00413A96"/>
    <w:p w14:paraId="254D36AA" w14:textId="77777777" w:rsidR="00413A96" w:rsidRDefault="00413A96" w:rsidP="00413A96">
      <w:r>
        <w:t>La reglamentación también incorporará circunstancias de agravación y atenuación como el factor de reincidencia, la existencia de antecedentes en relación con incumplimiento de compromisos adquiridos o de órdenes de la Superintendencia de Servicios Públicos Domiciliarios y la colaboración con las autoridades en el conocimiento o en la investigación de la conducta.</w:t>
      </w:r>
    </w:p>
    <w:p w14:paraId="1E36EF47" w14:textId="77777777" w:rsidR="00413A96" w:rsidRDefault="00413A96" w:rsidP="00413A96"/>
    <w:p w14:paraId="3C863043" w14:textId="77777777" w:rsidR="00413A96" w:rsidRDefault="00413A96" w:rsidP="00413A96">
      <w:r>
        <w:t xml:space="preserve">PARÁGRAFO 2°. La facultad que tiene la Superintendencia de Servicios Públicos Domiciliarios para imponer una sanción por la violación del régimen de prestación de los servicios públicos caducará transcurridos cinco </w:t>
      </w:r>
      <w:r>
        <w:lastRenderedPageBreak/>
        <w:t>(5) años de haberse ejecutado la conducta violatoria o del último hecho constitutivo de la misma en los casos de conductas de tracto sucesivo, sin que el acto administrativo sancionatorio haya sido notificado”.</w:t>
      </w:r>
    </w:p>
    <w:p w14:paraId="02F66065" w14:textId="77777777" w:rsidR="00413A96" w:rsidRDefault="00413A96" w:rsidP="00413A96"/>
    <w:p w14:paraId="40DCC54E" w14:textId="77777777" w:rsidR="00413A96" w:rsidRDefault="00413A96" w:rsidP="00413A96">
      <w:r>
        <w:t>ARTÍCULO 209. Guía única de transporte de gas licuado de petróleo. Con el fin de combatir el transporte ilegal de gas licuado de petróleo (GLP), el Ministerio de Minas y Energía reglamentará el uso de la Guía Única de Transporte de Gas Licuado de Petróleo de acuerdo con lo previsto en el Capítulo X del Decreto número 4299 de 2005; esta guía se constituye en requisito indispensable para el transporte de este combustible por parte de los agentes de la cadena.</w:t>
      </w:r>
    </w:p>
    <w:p w14:paraId="708A072B" w14:textId="77777777" w:rsidR="00413A96" w:rsidRDefault="00413A96" w:rsidP="00413A96"/>
    <w:p w14:paraId="7A41F88D" w14:textId="77777777" w:rsidR="00413A96" w:rsidRDefault="00413A96" w:rsidP="00413A96">
      <w:r>
        <w:t>ARTÍCULO 210. Sistema de información de combustibles. El Sistema de Información creado mediante el artículo 61 de la Ley 1151 del 2007 y modificado por el artículo 100 de la Ley 1450 del 2011, denominado Sistema de Información de Combustibles, seguirá funcionando para realizar un eficiente control sobre los agentes de la cadena de distribución de combustibles líquidos, biocombustibles, gas natural vehicular (GNV) y gas licuado de petróleo (GLP) para uso vehicular.</w:t>
      </w:r>
    </w:p>
    <w:p w14:paraId="4FE923D8" w14:textId="77777777" w:rsidR="00413A96" w:rsidRDefault="00413A96" w:rsidP="00413A96"/>
    <w:p w14:paraId="3E110197" w14:textId="77777777" w:rsidR="00413A96" w:rsidRDefault="00413A96" w:rsidP="00413A96">
      <w:r>
        <w:t>El Ministerio de Minas y Energía dará continuidad directamente o por intermedio de terceros a la operación de este sistema en el cual se deberán registrar, como requisito para operar, los mencionados agentes. El Ministerio de Minas y Energía continuará reglamentando los procedimientos, términos y condiciones operativas del sistema, para lo cual aplicará las medidas necesarias para su cumplimiento.</w:t>
      </w:r>
    </w:p>
    <w:p w14:paraId="2D76DBD1" w14:textId="77777777" w:rsidR="00413A96" w:rsidRDefault="00413A96" w:rsidP="00413A96"/>
    <w:p w14:paraId="43DBB239" w14:textId="77777777" w:rsidR="00413A96" w:rsidRDefault="00413A96" w:rsidP="00413A96">
      <w:r>
        <w:t>El SICOM será la única fuente de información oficial a la cual deben dirigirse todas las autoridades administrativas de cualquier orden que requieran de información de los agentes de la cadena de distribución de combustibles en el país.</w:t>
      </w:r>
    </w:p>
    <w:p w14:paraId="5E51119E" w14:textId="77777777" w:rsidR="00413A96" w:rsidRDefault="00413A96" w:rsidP="00413A96"/>
    <w:p w14:paraId="671DBD3A" w14:textId="77777777" w:rsidR="00413A96" w:rsidRDefault="00413A96" w:rsidP="00413A96">
      <w:r>
        <w:t>PARÁGRAFO PRIMERO. Autorícese el uso de gas licuado de petróleo (GLP) como carburante en motores de combustión interna, como carburante en transporte automotor (autogás) y demás usos alternativos del GLP en todo el territorio nacional.</w:t>
      </w:r>
    </w:p>
    <w:p w14:paraId="7AF14A4F" w14:textId="77777777" w:rsidR="00413A96" w:rsidRDefault="00413A96" w:rsidP="00413A96"/>
    <w:p w14:paraId="15BCBCA7" w14:textId="77777777" w:rsidR="00413A96" w:rsidRDefault="00413A96" w:rsidP="00413A96">
      <w:r>
        <w:t>El Ministerio de Minas y Energía expedirá los reglamentos necesarios para tal fin, así como las condiciones de priorización en la utilización del GLP en situaciones de escasez, y en general la política energética aplicable al GLP en todo el territorio nacional.</w:t>
      </w:r>
    </w:p>
    <w:p w14:paraId="049E0134" w14:textId="77777777" w:rsidR="00413A96" w:rsidRDefault="00413A96" w:rsidP="00413A96"/>
    <w:p w14:paraId="3CA0D3A6" w14:textId="77777777" w:rsidR="00413A96" w:rsidRDefault="00413A96" w:rsidP="00413A96">
      <w:r>
        <w:t>Cuando la oferta de gas licuado de petróleo sea insuficiente para garantizar el abastecimiento de la demanda, el Gobierno Nacional, de acuerdo con los ordenamientos y parámetros establecidos en la Ley 142 de 1994, fijará el orden de atención prioritaria en la región o regiones afectadas.</w:t>
      </w:r>
    </w:p>
    <w:p w14:paraId="00E46425" w14:textId="77777777" w:rsidR="00413A96" w:rsidRDefault="00413A96" w:rsidP="00413A96"/>
    <w:p w14:paraId="54E294F0" w14:textId="77777777" w:rsidR="00413A96" w:rsidRDefault="00413A96" w:rsidP="00413A96">
      <w:r>
        <w:t>PARÁGRAFO SEGUNDO. Garantía de Abastecimiento Seguro y Confiable de Combustibles. El Gobierno Nacional a través de las autoridades competentes garantizará las condiciones para asegurar la disponibilidad y suministro de combustibles líquidos en el mercado nacional, de manera confiable, continua y eficiente con producto nacional e importado.</w:t>
      </w:r>
    </w:p>
    <w:p w14:paraId="1378AF8E" w14:textId="77777777" w:rsidR="00413A96" w:rsidRDefault="00413A96" w:rsidP="00413A96"/>
    <w:p w14:paraId="17F39CE6" w14:textId="77777777" w:rsidR="00413A96" w:rsidRDefault="00413A96" w:rsidP="00413A96">
      <w:r>
        <w:t>El Gobierno Nacional garantizará el desarrollo normal de las actividades de refinación, transporte y distribución de combustibles del país, frente a situaciones de hecho o decisiones normativas de carácter local, regional, departamental, nacional que impidan o restrinjan la prestación de este servicio</w:t>
      </w:r>
    </w:p>
    <w:p w14:paraId="77D6F3E0" w14:textId="77777777" w:rsidR="00413A96" w:rsidRDefault="00413A96" w:rsidP="00413A96">
      <w:r>
        <w:t xml:space="preserve"> </w:t>
      </w:r>
    </w:p>
    <w:p w14:paraId="0C56CDCB" w14:textId="77777777" w:rsidR="00413A96" w:rsidRDefault="00413A96" w:rsidP="00413A96">
      <w:r>
        <w:t>público.</w:t>
      </w:r>
    </w:p>
    <w:p w14:paraId="79218A22" w14:textId="77777777" w:rsidR="00413A96" w:rsidRDefault="00413A96" w:rsidP="00413A96"/>
    <w:p w14:paraId="16BD2CB2" w14:textId="77777777" w:rsidR="00413A96" w:rsidRDefault="00413A96" w:rsidP="00413A96">
      <w:r>
        <w:t>ARTÍCULO 211. Masificación del uso del gas combustible. Sin perjuicio de lo establecido en el artículo 98 de la Ley 1450 del 2011, podrán financiarse con recursos del Sistema General de Regalías o con rentas propias de los municipios o departamentos, proyectos de masificación del uso del gas combustible, mediante el otorgamiento de subsidios a los costos de conexión domiciliaria, a las redes internas y a otros gastos asociados a la conexión del servicios a cargos de los usuarios de los estratos 1, y 2, y de la población del sector rural que cumpla con las condiciones para recibir el subsidio de vivienda de interés social rural. Con cargo a sus rentas propias, los municipios y departamentos también podrán otorgar subsidios al consumo de gas combustible.</w:t>
      </w:r>
    </w:p>
    <w:p w14:paraId="72686355" w14:textId="77777777" w:rsidR="00413A96" w:rsidRDefault="00413A96" w:rsidP="00413A96"/>
    <w:p w14:paraId="29B79656" w14:textId="77777777" w:rsidR="00413A96" w:rsidRDefault="00413A96" w:rsidP="00413A96">
      <w:r>
        <w:t xml:space="preserve">ARTÍCULO 212. Programa Subsidio Aporte a la Pensión. Las personas que fueron beneficiarias del programa Subsidio Aporte a la Pensión podrán vincularse al servicio complementario de Beneficios Económicos </w:t>
      </w:r>
      <w:r>
        <w:lastRenderedPageBreak/>
        <w:t>Periódicos (BEPS) y trasladar un porcentaje de dicho subsidio en la proporción y condiciones que reglamente el Gobierno Nacional. En todo caso será prioritario el reconocimiento de la pensión si se logra cumplir los requisitos para ello. Las madres comunitarias, sustitutas y FAMI también podrán beneficiarse de lo dispuesto en este artículo.</w:t>
      </w:r>
    </w:p>
    <w:p w14:paraId="030F2ECC" w14:textId="77777777" w:rsidR="00413A96" w:rsidRDefault="00413A96" w:rsidP="00413A96"/>
    <w:p w14:paraId="7882FB82" w14:textId="77777777" w:rsidR="00413A96" w:rsidRDefault="00413A96" w:rsidP="00413A96">
      <w:r>
        <w:t>El Gobierno Nacional reglamentará las condiciones para el traslado entre el sistema general de pensiones y BEPS, y la forma como el Programa Subsidio Aporte a la Pensión se cerrará gradualmente, manteniendo una alternativa para quien quiera obtener pensión.</w:t>
      </w:r>
    </w:p>
    <w:p w14:paraId="53F79B4B" w14:textId="77777777" w:rsidR="00413A96" w:rsidRDefault="00413A96" w:rsidP="00413A96"/>
    <w:p w14:paraId="5D0D80C2" w14:textId="77777777" w:rsidR="00413A96" w:rsidRDefault="00413A96" w:rsidP="00413A96">
      <w:r>
        <w:t>ARTÍCULO 213. Reconocimiento del valor actuarial de madres comunitarias y Sustitutas. Modifíquese el artículo 166 de la Ley 1450 de 2011, el cual quedará así:</w:t>
      </w:r>
    </w:p>
    <w:p w14:paraId="6A117D9F" w14:textId="77777777" w:rsidR="00413A96" w:rsidRDefault="00413A96" w:rsidP="00413A96"/>
    <w:p w14:paraId="3C0D3339" w14:textId="77777777" w:rsidR="00413A96" w:rsidRDefault="00413A96" w:rsidP="00413A96">
      <w:r>
        <w:t>“Las Madres Comunitarias, FAMI y Sustitutas que ostentaron esta condición entre el 29 de enero de 2003 y el 14 de abril de 2008 y no tuvieron acceso al Fondo de Solidaridad Pensional durante este periodo, podrán beneficiarse del pago del valor actuarial de las cotizaciones para el citado periodo”.</w:t>
      </w:r>
    </w:p>
    <w:p w14:paraId="6172F237" w14:textId="77777777" w:rsidR="00413A96" w:rsidRDefault="00413A96" w:rsidP="00413A96"/>
    <w:p w14:paraId="11C30006" w14:textId="77777777" w:rsidR="00413A96" w:rsidRDefault="00413A96" w:rsidP="00413A96">
      <w:r>
        <w:t>ARTÍCULO 214. Tarifas de servicios públicos para servicios de primera infancia y hogares sustitutos. Modifíquese el artículo 127 de la Ley 1450 de 2011 el cual quedará así:</w:t>
      </w:r>
    </w:p>
    <w:p w14:paraId="00E4AA12" w14:textId="77777777" w:rsidR="00413A96" w:rsidRDefault="00413A96" w:rsidP="00413A96"/>
    <w:p w14:paraId="5F5D1761" w14:textId="77777777" w:rsidR="00413A96" w:rsidRDefault="00413A96" w:rsidP="00413A96">
      <w:r>
        <w:t>“Artículo 127. Tarifas de servicios públicos para servicios de primera infancia y hogares sustitutos. Para efecto del cálculo de las tarifas de acueducto, alcantarillado, aseo, energía eléctrica y gas domiciliario, los inmuebles de uso residencial donde operan hogares sustitutos y donde se prestan servicios públicos de atención a primera infancia (hogares comunitarios de bienestar, centros de desarrollo infantil, hogares FAMI y hogares infantiles) serán considerados estrato uno (1), previa certificación del Instituto Colombiano de Bienestar Familiar (ICBF)”.</w:t>
      </w:r>
    </w:p>
    <w:p w14:paraId="1156CFD7" w14:textId="77777777" w:rsidR="00413A96" w:rsidRDefault="00413A96" w:rsidP="00413A96"/>
    <w:p w14:paraId="4A7023C0" w14:textId="77777777" w:rsidR="00413A96" w:rsidRDefault="00413A96" w:rsidP="00413A96">
      <w:r>
        <w:t>ARTÍCULO 215. Estrategia para la reducción de la mortalidad materna. El Gobierno Nacional, bajo la coordinación del Ministerio de Salud y Protección Social, Instituto Colombiano de Bienestar Familiar (ICBF) y la Comisión Nacional Intersectorial para la Promoción y Garantía de los Derechos Sexuales y Reproductivos, adelantará, en unión con los entes territoriales, acciones integrales y de control exhaustivo para la identificación temprana del embarazo y atención de las embarazadas con enfoque de derecho humano.</w:t>
      </w:r>
    </w:p>
    <w:p w14:paraId="4B1862E0" w14:textId="77777777" w:rsidR="00413A96" w:rsidRDefault="00413A96" w:rsidP="00413A96"/>
    <w:p w14:paraId="01961B52" w14:textId="77777777" w:rsidR="00413A96" w:rsidRDefault="00413A96" w:rsidP="00413A96">
      <w:r>
        <w:t>El Gobierno Nacional incentivará la creación e implementación de programas para la reducción de mortalidad materna en las entidades territoriales.</w:t>
      </w:r>
    </w:p>
    <w:p w14:paraId="76A2DA80" w14:textId="77777777" w:rsidR="00413A96" w:rsidRDefault="00413A96" w:rsidP="00413A96"/>
    <w:p w14:paraId="60A545CD" w14:textId="77777777" w:rsidR="00413A96" w:rsidRDefault="00413A96" w:rsidP="00413A96">
      <w:r>
        <w:t>ARTÍCULO 216. Regulación de los costos de administración de información. Con base en estudios técnicos se podrán definir mecanismos que optimicen el sistema de recaudo del Sistema General de Seguridad Social, incluyendo la remuneración de los servicios relacionados con este proceso, lo cual en ningún caso podrá ser igual o mayor al valor de la cotización mensual que realice el afiliado al Sistema General de Seguridad Social. Para tal efecto, quien se encuentre prestando los servicios relacionados con los procesos de recaudo de aportes deberá remitir la información de</w:t>
      </w:r>
    </w:p>
    <w:p w14:paraId="3F73C508" w14:textId="77777777" w:rsidR="00413A96" w:rsidRDefault="00413A96" w:rsidP="00413A96">
      <w:r>
        <w:t xml:space="preserve"> </w:t>
      </w:r>
    </w:p>
    <w:p w14:paraId="575A8B89" w14:textId="77777777" w:rsidR="00413A96" w:rsidRDefault="00413A96" w:rsidP="00413A96">
      <w:r>
        <w:t>estructura de costos que soporta esta actividad, en las condiciones que para tal fin defina el Gobierno nacional.</w:t>
      </w:r>
    </w:p>
    <w:p w14:paraId="47A7F97C" w14:textId="77777777" w:rsidR="00413A96" w:rsidRDefault="00413A96" w:rsidP="00413A96"/>
    <w:p w14:paraId="121AE769" w14:textId="77777777" w:rsidR="00413A96" w:rsidRDefault="00413A96" w:rsidP="00413A96">
      <w:r>
        <w:t>ARTÍCULO 217. Ubicación en medio familiar. Modifíquese el artículo 56 de la Ley 1098 de 2005, el cual quedará así:</w:t>
      </w:r>
    </w:p>
    <w:p w14:paraId="2D2C670F" w14:textId="77777777" w:rsidR="00413A96" w:rsidRDefault="00413A96" w:rsidP="00413A96"/>
    <w:p w14:paraId="1B7A81F8" w14:textId="77777777" w:rsidR="00413A96" w:rsidRDefault="00413A96" w:rsidP="00413A96">
      <w:r>
        <w:t>“ARTÍCULO 56. Ubicación en medio familiar. Es la ubicación del niño, niña o adolescente con sus padres, o parientes cuando estos ofrezcan las condiciones para garantizarles el ejercicio de sus derechos y atendiendo su interés superior.</w:t>
      </w:r>
    </w:p>
    <w:p w14:paraId="45D8C090" w14:textId="77777777" w:rsidR="00413A96" w:rsidRDefault="00413A96" w:rsidP="00413A96"/>
    <w:p w14:paraId="27603A5E" w14:textId="77777777" w:rsidR="00413A96" w:rsidRDefault="00413A96" w:rsidP="00413A96">
      <w:r>
        <w:t>La búsqueda de parientes para la ubicación en medio familiar, cuando a ello hubiere lugar, se realizará en el marco de la actuación administrativa, esto es, durante los cuatro meses que dura la misma, o de la prórroga si fuere concedida, y no será excusa para mantener al niño, niña o adolescente en situación de declaratoria de vulneración. Los entes públicos y privados brindarán acceso a las solicitudes de información que en dicho sentido eleven las Defensorías de Familia, las cuales deberán ser atendidas en un término de diez (10) días. El incumplimiento de este término constituirá causal de mala conducta.</w:t>
      </w:r>
    </w:p>
    <w:p w14:paraId="31ABEAC3" w14:textId="77777777" w:rsidR="00413A96" w:rsidRDefault="00413A96" w:rsidP="00413A96"/>
    <w:p w14:paraId="2B5A00AD" w14:textId="77777777" w:rsidR="00413A96" w:rsidRDefault="00413A96" w:rsidP="00413A96">
      <w:r>
        <w:t>Si de la verificación del estado de sus derechos se desprende que la familia carece de recursos económicos necesarios para garantizarle el nivel de vida adecuado, la autoridad competente informará a las entidades del Sistema Nacional de Bienestar Familiar para que le brinden a la familia los recursos adecuados mientras ella puede garantizarlos.</w:t>
      </w:r>
    </w:p>
    <w:p w14:paraId="36D8AB6A" w14:textId="77777777" w:rsidR="00413A96" w:rsidRDefault="00413A96" w:rsidP="00413A96"/>
    <w:p w14:paraId="3134CEAF" w14:textId="77777777" w:rsidR="00413A96" w:rsidRDefault="00413A96" w:rsidP="00413A96">
      <w:r>
        <w:t>ARTÍCULO 218. Composición del núcleo familiar para el acceso a la seguridad social. Modifíquese el artículo 163 de la Ley 100 de 1993, el cual quedará así:</w:t>
      </w:r>
    </w:p>
    <w:p w14:paraId="51E9ECDC" w14:textId="77777777" w:rsidR="00413A96" w:rsidRDefault="00413A96" w:rsidP="00413A96"/>
    <w:p w14:paraId="1630933C" w14:textId="77777777" w:rsidR="00413A96" w:rsidRDefault="00413A96" w:rsidP="00413A96">
      <w:r>
        <w:t>“ARTÍCULO 163. Beneficiarios del régimen contributivo de salud. El núcleo familiar del afiliado cotizante, estará constituido por:</w:t>
      </w:r>
    </w:p>
    <w:p w14:paraId="608D1A12" w14:textId="77777777" w:rsidR="00413A96" w:rsidRDefault="00413A96" w:rsidP="00413A96"/>
    <w:p w14:paraId="202E0400" w14:textId="77777777" w:rsidR="00413A96" w:rsidRDefault="00413A96" w:rsidP="00413A96">
      <w:r>
        <w:t>a)</w:t>
      </w:r>
      <w:r>
        <w:tab/>
        <w:t>El cónyuge.</w:t>
      </w:r>
    </w:p>
    <w:p w14:paraId="205C3737" w14:textId="77777777" w:rsidR="00413A96" w:rsidRDefault="00413A96" w:rsidP="00413A96"/>
    <w:p w14:paraId="0CBEE9D6" w14:textId="77777777" w:rsidR="00413A96" w:rsidRDefault="00413A96" w:rsidP="00413A96">
      <w:r>
        <w:t>b)</w:t>
      </w:r>
      <w:r>
        <w:tab/>
        <w:t>A falta de cónyuge la compañera o compañero permanente.</w:t>
      </w:r>
    </w:p>
    <w:p w14:paraId="131D7AB5" w14:textId="77777777" w:rsidR="00413A96" w:rsidRDefault="00413A96" w:rsidP="00413A96"/>
    <w:p w14:paraId="6CF91B90" w14:textId="77777777" w:rsidR="00413A96" w:rsidRDefault="00413A96" w:rsidP="00413A96">
      <w:r>
        <w:t>c)</w:t>
      </w:r>
      <w:r>
        <w:tab/>
        <w:t>Los hijos hasta que cumplan los veinticinco (25) años de edad que dependen económicamente del afiliado.</w:t>
      </w:r>
    </w:p>
    <w:p w14:paraId="2BA34ACA" w14:textId="77777777" w:rsidR="00413A96" w:rsidRDefault="00413A96" w:rsidP="00413A96"/>
    <w:p w14:paraId="3278FB61" w14:textId="77777777" w:rsidR="00413A96" w:rsidRDefault="00413A96" w:rsidP="00413A96">
      <w:r>
        <w:t>d)</w:t>
      </w:r>
      <w:r>
        <w:tab/>
        <w:t>Los hijos de cualquier edad si tienen incapacidad permanente y dependen económicamente del afiliado.</w:t>
      </w:r>
    </w:p>
    <w:p w14:paraId="66508377" w14:textId="77777777" w:rsidR="00413A96" w:rsidRDefault="00413A96" w:rsidP="00413A96"/>
    <w:p w14:paraId="39D05428" w14:textId="77777777" w:rsidR="00413A96" w:rsidRDefault="00413A96" w:rsidP="00413A96">
      <w:r>
        <w:t>e)</w:t>
      </w:r>
      <w:r>
        <w:tab/>
        <w:t>Los hijos del cónyuge o compañero permanente del afiliado que se encuentren en las situaciones definidas en los numerales e) y d) del presente artículo.</w:t>
      </w:r>
    </w:p>
    <w:p w14:paraId="083959E7" w14:textId="77777777" w:rsidR="00413A96" w:rsidRDefault="00413A96" w:rsidP="00413A96"/>
    <w:p w14:paraId="1B3A9E74" w14:textId="77777777" w:rsidR="00413A96" w:rsidRDefault="00413A96" w:rsidP="00413A96">
      <w:r>
        <w:t>f)</w:t>
      </w:r>
      <w:r>
        <w:tab/>
        <w:t>Los hijos de beneficiarios y hasta que dichos beneficiarios conserven su condición.</w:t>
      </w:r>
    </w:p>
    <w:p w14:paraId="32DD9013" w14:textId="77777777" w:rsidR="00413A96" w:rsidRDefault="00413A96" w:rsidP="00413A96"/>
    <w:p w14:paraId="78ECEAC3" w14:textId="77777777" w:rsidR="00413A96" w:rsidRDefault="00413A96" w:rsidP="00413A96">
      <w:r>
        <w:t>g)</w:t>
      </w:r>
      <w:r>
        <w:tab/>
        <w:t>Las personas identificadas en los literales e), d) y e) del presente artículo que están a cargo del afiliado familiar hasta el tercer grado de consanguinidad como consecuencia del fallecimiento o la ausencia de sus padres o la pérdida de la patria potestad por parte de los mismos.</w:t>
      </w:r>
    </w:p>
    <w:p w14:paraId="33F72E15" w14:textId="77777777" w:rsidR="00413A96" w:rsidRDefault="00413A96" w:rsidP="00413A96"/>
    <w:p w14:paraId="2CAF9D31" w14:textId="77777777" w:rsidR="00413A96" w:rsidRDefault="00413A96" w:rsidP="00413A96">
      <w:r>
        <w:t>h)</w:t>
      </w:r>
      <w:r>
        <w:tab/>
        <w:t>A falta de cónyuge o compañera o compañero permanente y de hijos, los padres del afiliado que no estén pensionados y dependan económicamente de este.</w:t>
      </w:r>
    </w:p>
    <w:p w14:paraId="682E382A" w14:textId="77777777" w:rsidR="00413A96" w:rsidRDefault="00413A96" w:rsidP="00413A96"/>
    <w:p w14:paraId="502D9B84" w14:textId="77777777" w:rsidR="00413A96" w:rsidRDefault="00413A96" w:rsidP="00413A96">
      <w:r>
        <w:t>i)</w:t>
      </w:r>
      <w:r>
        <w:tab/>
        <w:t>Los menores entregados en custodia legal por la autoridad competente.</w:t>
      </w:r>
    </w:p>
    <w:p w14:paraId="00B40540" w14:textId="77777777" w:rsidR="00413A96" w:rsidRDefault="00413A96" w:rsidP="00413A96"/>
    <w:p w14:paraId="153A2A1D" w14:textId="77777777" w:rsidR="00413A96" w:rsidRDefault="00413A96" w:rsidP="00413A96">
      <w:r>
        <w:t>PARÁGRAFO 1°. Se entiende que existe dependencia económica cuando una persona recibe de otra los medios necesarios para su subsistencia. En el caso de los hijos entre los 18 y 25 años se</w:t>
      </w:r>
    </w:p>
    <w:p w14:paraId="736E6769" w14:textId="77777777" w:rsidR="00413A96" w:rsidRDefault="00413A96" w:rsidP="00413A96">
      <w:r>
        <w:t xml:space="preserve"> </w:t>
      </w:r>
    </w:p>
    <w:p w14:paraId="6D821A6B" w14:textId="77777777" w:rsidR="00413A96" w:rsidRDefault="00413A96" w:rsidP="00413A96">
      <w:r>
        <w:t>presumirá su incapacidad económica sino se encuentran cotizando directamente como dependientes o independientes.</w:t>
      </w:r>
    </w:p>
    <w:p w14:paraId="333C796D" w14:textId="77777777" w:rsidR="00413A96" w:rsidRDefault="00413A96" w:rsidP="00413A96"/>
    <w:p w14:paraId="320B1C7F" w14:textId="77777777" w:rsidR="00413A96" w:rsidRDefault="00413A96" w:rsidP="00413A96">
      <w:r>
        <w:t>PARÁGRAFO 2°. Con el fin de garantizar la debida identificación de los recién nacidos, la Superintendencia de Notariado y Registro y las notarías implementarán medidas que permitan la expedición del registro civil de nacimiento en la institución prestadora de servicios de salud ­IPS que atienda el parto.</w:t>
      </w:r>
    </w:p>
    <w:p w14:paraId="6F50FC11" w14:textId="77777777" w:rsidR="00413A96" w:rsidRDefault="00413A96" w:rsidP="00413A96"/>
    <w:p w14:paraId="10E30067" w14:textId="77777777" w:rsidR="00413A96" w:rsidRDefault="00413A96" w:rsidP="00413A96">
      <w:r>
        <w:t>La Registraduría Nacional del Estado Civil, la Superintendencia de Notariado y Registro y las notarías suministrarán la información y las bases de datos que administren, con la oportunidad que las requieran el Ministerio de Salud y Protección Social para su procesamiento e integración con el Sistema de información del Sistema General de Seguridad Social en Salud”.</w:t>
      </w:r>
    </w:p>
    <w:p w14:paraId="6F933C5E" w14:textId="77777777" w:rsidR="00413A96" w:rsidRDefault="00413A96" w:rsidP="00413A96"/>
    <w:p w14:paraId="7E7FD0E4" w14:textId="77777777" w:rsidR="00413A96" w:rsidRDefault="00413A96" w:rsidP="00413A96">
      <w:r>
        <w:t>ARTÍCULO 219. Saneamiento fiscal y financiero en salud. Las fundaciones de que trata el artículo 68 de la Ley 1438 de 2011 que hayan sido caracterizadas en riesgo fiscal y financiero medio o alto por el Ministerio de Salud y Protección Social podrán acceder a recursos del programa de saneamiento fiscal y financiero de que trata la referida ley y demás disposiciones vigentes. Dichas instituciones podrán presentar a consideración del Ministerio de Hacienda y Crédito Público sus programas de saneamiento fiscal y financiero hasta el 31 de julio de 2015.</w:t>
      </w:r>
    </w:p>
    <w:p w14:paraId="087DA6A7" w14:textId="77777777" w:rsidR="00413A96" w:rsidRDefault="00413A96" w:rsidP="00413A96"/>
    <w:p w14:paraId="576F16D4" w14:textId="77777777" w:rsidR="00413A96" w:rsidRDefault="00413A96" w:rsidP="00413A96">
      <w:r>
        <w:lastRenderedPageBreak/>
        <w:t>El Ministerio de Salud y de Protección Social ­MSPS evaluará el riesgo fiscal y financiero que las Empresas Sociales del Estado – ESE ­ que fueron remitidas a la Superintendencia Nacional de Salud en la vigencia 2013 y 2014. Las ESE que el MSPS categorice en riesgo medio y alto y que no hayan remitido la información a tiempo, por causas no imputables a las ESE, podrán volver a presentar, por una única vez y durante los 60 días después de expedida la resolución del MSPS que las declare en riesgo, los programas de saneamiento fiscal y financiero ante el Ministerio de Hacienda y Crédito Público. Lo anterior, según el artículo 8° de la Ley 1608 de 2013 y bajo las condiciones y términos que establezca el reglamento.</w:t>
      </w:r>
    </w:p>
    <w:p w14:paraId="5BCBABC4" w14:textId="77777777" w:rsidR="00413A96" w:rsidRDefault="00413A96" w:rsidP="00413A96"/>
    <w:p w14:paraId="2F89557F" w14:textId="77777777" w:rsidR="00413A96" w:rsidRDefault="00413A96" w:rsidP="00413A96">
      <w:r>
        <w:t>ARTÍCULO 220. Promoción y Fomento de las Empresas Mipyme Cooperativas y de la Economía Solidaria. Adiciónese el siguiente parágrafo al artículo 7° de la Ley 590 de 2000.</w:t>
      </w:r>
    </w:p>
    <w:p w14:paraId="42A1B411" w14:textId="77777777" w:rsidR="00413A96" w:rsidRDefault="00413A96" w:rsidP="00413A96"/>
    <w:p w14:paraId="5085BC3A" w14:textId="77777777" w:rsidR="00413A96" w:rsidRDefault="00413A96" w:rsidP="00413A96">
      <w:r>
        <w:t>“Parágrafo 2°. Las empresas cooperativas y de la economía solidaria, que sean clasificadas como Mipymes de acuerdo con el artículo 2° de la presente ley, serán atendidas en igualdad de condiciones por parte de las entidades estatales”.</w:t>
      </w:r>
    </w:p>
    <w:p w14:paraId="3592E4EC" w14:textId="77777777" w:rsidR="00413A96" w:rsidRDefault="00413A96" w:rsidP="00413A96"/>
    <w:p w14:paraId="5F650221" w14:textId="77777777" w:rsidR="00413A96" w:rsidRDefault="00413A96" w:rsidP="00413A96">
      <w:r>
        <w:t>ARTÍCULO 221. Cobro de multas impuestas por el Ministerio de Trabajo. El cobro de las multas impuestas por la Dirección de Inspección, Vigilancia y Control del Ministerio de Trabajo en favor del SENA, podrá ser tercerizado con una entidad pública del orden nacional, sin variar la destinación de los recursos establecidos en el artículo 30 de la Ley 119 de 1994.</w:t>
      </w:r>
    </w:p>
    <w:p w14:paraId="410FA85F" w14:textId="77777777" w:rsidR="00413A96" w:rsidRDefault="00413A96" w:rsidP="00413A96"/>
    <w:p w14:paraId="10BB0C12" w14:textId="77777777" w:rsidR="00413A96" w:rsidRDefault="00413A96" w:rsidP="00413A96">
      <w:r>
        <w:t>ARTÍCULO 222. Acreditación de alta calidad a licenciaturas. Los programas académicos de licenciaturas a nivel de pregrado que tengan como mínimo cuatro (4) cohortes de egresados y que no se encuentren acreditados en alta calidad, deberán obtener dicho reconocimiento en un plazo de dos</w:t>
      </w:r>
    </w:p>
    <w:p w14:paraId="72CAD3EB" w14:textId="77777777" w:rsidR="00413A96" w:rsidRDefault="00413A96" w:rsidP="00413A96">
      <w:r>
        <w:t>(2) años contados a partir de la entrada en vigencia de la presente ley.</w:t>
      </w:r>
    </w:p>
    <w:p w14:paraId="6A30E637" w14:textId="77777777" w:rsidR="00413A96" w:rsidRDefault="00413A96" w:rsidP="00413A96"/>
    <w:p w14:paraId="70FCB1F5" w14:textId="77777777" w:rsidR="00413A96" w:rsidRDefault="00413A96" w:rsidP="00413A96">
      <w:r>
        <w:t>Los programas de licenciaturas a nivel de pregrado que no cuenten con el requisito de cohortes antes mencionado deberán adelantar el trámite de acreditación en alta calidad en un plazo de dos (2) años, una vez cumplido el mismo.</w:t>
      </w:r>
    </w:p>
    <w:p w14:paraId="2943E603" w14:textId="77777777" w:rsidR="00413A96" w:rsidRDefault="00413A96" w:rsidP="00413A96"/>
    <w:p w14:paraId="2CDBCB0C" w14:textId="77777777" w:rsidR="00413A96" w:rsidRDefault="00413A96" w:rsidP="00413A96">
      <w:r>
        <w:t>La no obtención de dicha acreditación en los términos anteriormente descritos, traerá consigo la pérdida de vigencia del registro calificado otorgado para el funcionamiento del mismo.</w:t>
      </w:r>
    </w:p>
    <w:p w14:paraId="0709498E" w14:textId="77777777" w:rsidR="00413A96" w:rsidRDefault="00413A96" w:rsidP="00413A96"/>
    <w:p w14:paraId="0A5776ED" w14:textId="77777777" w:rsidR="00413A96" w:rsidRDefault="00413A96" w:rsidP="00413A96">
      <w:r>
        <w:t>PARÁGRAFO. El otorgamiento del registro calificado para licenciaturas y programas académicos enfocados a la educación, deberá cumplir unos parámetros mínimos de calidad establecidos por el</w:t>
      </w:r>
    </w:p>
    <w:p w14:paraId="587A0743" w14:textId="77777777" w:rsidR="00413A96" w:rsidRDefault="00413A96" w:rsidP="00413A96">
      <w:r>
        <w:t xml:space="preserve"> </w:t>
      </w:r>
    </w:p>
    <w:p w14:paraId="5C7572C6" w14:textId="77777777" w:rsidR="00413A96" w:rsidRDefault="00413A96" w:rsidP="00413A96">
      <w:r>
        <w:t>Ministerio de Educación Nacional mediante estudios técnicos, sin perjuicio de la autonomía universitaria. Para ello, el Gobierno nacional deberá nivelar los criterios del registro calificado a los de alta calidad establecidos para estos programas, en un plazo de dos (2) años contados a partir de la entrada en vigencia de la presente ley.</w:t>
      </w:r>
    </w:p>
    <w:p w14:paraId="20C1032D" w14:textId="77777777" w:rsidR="00413A96" w:rsidRDefault="00413A96" w:rsidP="00413A96"/>
    <w:p w14:paraId="27A3A8BF" w14:textId="77777777" w:rsidR="00413A96" w:rsidRDefault="00413A96" w:rsidP="00413A96">
      <w:r>
        <w:t>ARTÍCULO 223. Recursos para la infraestructura en educación superior. Modifíquese el artículo 86 de la Ley 30 de 1992, el cual quedará así:</w:t>
      </w:r>
    </w:p>
    <w:p w14:paraId="4C8D613B" w14:textId="77777777" w:rsidR="00413A96" w:rsidRDefault="00413A96" w:rsidP="00413A96"/>
    <w:p w14:paraId="66D7F6F6" w14:textId="77777777" w:rsidR="00413A96" w:rsidRDefault="00413A96" w:rsidP="00413A96">
      <w:r>
        <w:t>“ARTÍCULO 86. Los presupuestos de las universidades nacionales, departamentales y municipales estarán constituidos por aportes del presupuesto nacional para funcionamiento e inversión, por los aportes de los entes territoriales, por los recursos y rentas propias de cada institución.</w:t>
      </w:r>
    </w:p>
    <w:p w14:paraId="062A361B" w14:textId="77777777" w:rsidR="00413A96" w:rsidRDefault="00413A96" w:rsidP="00413A96"/>
    <w:p w14:paraId="1C6A4B27" w14:textId="77777777" w:rsidR="00413A96" w:rsidRDefault="00413A96" w:rsidP="00413A96">
      <w:r>
        <w:t>Las universidades estatales u oficiales recibirán anualmente aportes de los presupuestos nacionales y de las entidades territoriales, que signifiquen siempre un incremento en pesos constantes, tomando como base los presupuestos de rentas y gastos, vigentes a partir de 1993.</w:t>
      </w:r>
    </w:p>
    <w:p w14:paraId="34D1EA7D" w14:textId="77777777" w:rsidR="00413A96" w:rsidRDefault="00413A96" w:rsidP="00413A96"/>
    <w:p w14:paraId="741D96A6" w14:textId="77777777" w:rsidR="00413A96" w:rsidRDefault="00413A96" w:rsidP="00413A96">
      <w:r>
        <w:t>PARÁGRAFO. En todo caso la Nación y las entidades territoriales podrán realizar de manera excepcional frente a situaciones específicas que lo requieran, aportes adicionales que se destinen para el financiamiento de infraestructura de universidades públicas, los cuales no harán parte de la base presupuestal para el cálculo de los aportes señalados en el presente artículo”.</w:t>
      </w:r>
    </w:p>
    <w:p w14:paraId="2E2944F5" w14:textId="77777777" w:rsidR="00413A96" w:rsidRDefault="00413A96" w:rsidP="00413A96"/>
    <w:p w14:paraId="00473F27" w14:textId="77777777" w:rsidR="00413A96" w:rsidRDefault="00413A96" w:rsidP="00413A96">
      <w:r>
        <w:t>ARTÍCULO 224. Fomento de libros digitales. Adiciónese el literal k al artículo 1° de la Ley 98 de 1993, el cual quedará así:</w:t>
      </w:r>
    </w:p>
    <w:p w14:paraId="484E6DF8" w14:textId="77777777" w:rsidR="00413A96" w:rsidRDefault="00413A96" w:rsidP="00413A96"/>
    <w:p w14:paraId="03DDA2C8" w14:textId="77777777" w:rsidR="00413A96" w:rsidRDefault="00413A96" w:rsidP="00413A96">
      <w:r>
        <w:t>“k) Fomentar y apoyar la digitalización y producción de libros, mediante el estímulo a su edición y comercialización, facilitando el acceso a esta herramienta tecnológica tanto en zonas urbanas como en rurales”.</w:t>
      </w:r>
    </w:p>
    <w:p w14:paraId="68BA92CB" w14:textId="77777777" w:rsidR="00413A96" w:rsidRDefault="00413A96" w:rsidP="00413A96"/>
    <w:p w14:paraId="589E622B" w14:textId="77777777" w:rsidR="00413A96" w:rsidRDefault="00413A96" w:rsidP="00413A96">
      <w:r>
        <w:t>ARTÍCULO 225. Promoción de artes escénicas. Los contribuyentes que paguen o suscriban acuerdos de pago en relación con los impuestos derogados por la Ley 1493 de 2011 no podrán ser objeto del cobro o ejecución de intereses o sanciones.</w:t>
      </w:r>
    </w:p>
    <w:p w14:paraId="4F28DF17" w14:textId="77777777" w:rsidR="00413A96" w:rsidRDefault="00413A96" w:rsidP="00413A96"/>
    <w:p w14:paraId="6E035C87" w14:textId="77777777" w:rsidR="00413A96" w:rsidRDefault="00413A96" w:rsidP="00413A96">
      <w:r>
        <w:t>Los acuerdos de pago podrán contemplar la posibilidad de cumplir con la obligación mediante la asignación de entradas gratuitas a la población objetivo que determine la entidad territorial interesada. Igualmente, los montos que no se pacten a través de la compensación antes descrita podrán ser descontados de la contribución parafiscal cultural a la boletería de los espectáculos públicos de las artes escénicas que a partir de la expedición de la presente ley se genere a cargo del contribuyente que suscriba el acuerdo de pago respectivo. En ambos casos, el plazo máximo de los acuerdos de pago será de veinte (20) años.</w:t>
      </w:r>
    </w:p>
    <w:p w14:paraId="1201ABD2" w14:textId="77777777" w:rsidR="00413A96" w:rsidRDefault="00413A96" w:rsidP="00413A96"/>
    <w:p w14:paraId="652945AB" w14:textId="77777777" w:rsidR="00413A96" w:rsidRDefault="00413A96" w:rsidP="00413A96">
      <w:r>
        <w:t>ARTÍCULO 226. Funciones del Fondo Nacional del Ahorro (FNA). Adiciónese los literales k) y l) al artículo 3° de la Ley 432 de 1998, los cuales quedarán así:</w:t>
      </w:r>
    </w:p>
    <w:p w14:paraId="7B629BAA" w14:textId="77777777" w:rsidR="00413A96" w:rsidRDefault="00413A96" w:rsidP="00413A96"/>
    <w:p w14:paraId="10FAD434" w14:textId="77777777" w:rsidR="00413A96" w:rsidRDefault="00413A96" w:rsidP="00413A96">
      <w:r>
        <w:t>“k) Brindar asesoría y asistencia técnica en lo referente al diseño, ejecución, administración, evaluación y gestión de proyectos o programas depreinversión e inversión, relacionados con el sector de vivienda, el hábitat y equipamiento urbano, dirigidos a los afiliados del FNA.</w:t>
      </w:r>
    </w:p>
    <w:p w14:paraId="01AB83B8" w14:textId="77777777" w:rsidR="00413A96" w:rsidRDefault="00413A96" w:rsidP="00413A96"/>
    <w:p w14:paraId="2BE8DF7E" w14:textId="77777777" w:rsidR="00413A96" w:rsidRDefault="00413A96" w:rsidP="00413A96">
      <w:r>
        <w:t>l) Celebrar contratos de fiducia para administrar recursos que le transfiera otras entidades públicas para financiar la ejecución de programas especiales relacionados con el sector vivienda, el hábitat y equipamiento urbano”.</w:t>
      </w:r>
    </w:p>
    <w:p w14:paraId="1FD2C0B7" w14:textId="77777777" w:rsidR="00413A96" w:rsidRDefault="00413A96" w:rsidP="00413A96"/>
    <w:p w14:paraId="7337F216" w14:textId="77777777" w:rsidR="00413A96" w:rsidRDefault="00413A96" w:rsidP="00413A96">
      <w:r>
        <w:t>ARTÍCULO 227. Fortalecimiento del ejercicio de las funciones de la Superintendencia de Servicios Públicos Domiciliarios. Modifíquese el artículo 247 de la Ley 1450 del 2011, el cual quedará así:</w:t>
      </w:r>
    </w:p>
    <w:p w14:paraId="444F2C61" w14:textId="77777777" w:rsidR="00413A96" w:rsidRDefault="00413A96" w:rsidP="00413A96">
      <w:r>
        <w:t xml:space="preserve"> </w:t>
      </w:r>
    </w:p>
    <w:p w14:paraId="2C665EC7" w14:textId="77777777" w:rsidR="00413A96" w:rsidRDefault="00413A96" w:rsidP="00413A96">
      <w:r>
        <w:t>“ARTÍCULO 247. Fortalecimiento del ejercicio de las funciones de la Superintendencia de Servicios Públicos Domiciliarios. En la Superintendencia de Servicios Públicos Domiciliarios seguirá funcionando el Fondo Empresarial creado por la Ley 812 del 2003, a través de un patrimonio autónomo cuyo ordenador del gasto será el superintendente de servicios públicos domiciliarios.</w:t>
      </w:r>
    </w:p>
    <w:p w14:paraId="6E4ED474" w14:textId="77777777" w:rsidR="00413A96" w:rsidRDefault="00413A96" w:rsidP="00413A96"/>
    <w:p w14:paraId="61395003" w14:textId="77777777" w:rsidR="00413A96" w:rsidRDefault="00413A96" w:rsidP="00413A96">
      <w:r>
        <w:t>Este Fondo podrá financiar a las empresas en toma de posesión para: i) Pagos para la satisfacción de los derechos de los trabajadores que se acojan a los planes de retiro voluntario y en general para el pago de las obligaciones laborales y, ii) apoyo para salvaguardar la prestación del servicio a cargo de la empresa en toma de posesión.</w:t>
      </w:r>
    </w:p>
    <w:p w14:paraId="6EBF7641" w14:textId="77777777" w:rsidR="00413A96" w:rsidRDefault="00413A96" w:rsidP="00413A96"/>
    <w:p w14:paraId="42287C6C" w14:textId="77777777" w:rsidR="00413A96" w:rsidRDefault="00413A96" w:rsidP="00413A96">
      <w:r>
        <w:t>Igualmente podrá contratar y/o apoyar el pago de las actividades profesionales requeridas en áreas financieras, técnicas, legales y logísticas a la Superintendencia de Servicios Públicos Domiciliarios y a la empresa objeto de toma de posesión, así como los estudios necesarios para determinar la procedencia de la medida de toma de posesión y las medidas preventivas de acuerdo con lo establecido en la Ley 142 de 1994.</w:t>
      </w:r>
    </w:p>
    <w:p w14:paraId="263A08C9" w14:textId="77777777" w:rsidR="00413A96" w:rsidRDefault="00413A96" w:rsidP="00413A96"/>
    <w:p w14:paraId="1B6FE0C9" w14:textId="77777777" w:rsidR="00413A96" w:rsidRDefault="00413A96" w:rsidP="00413A96">
      <w:r>
        <w:t>Así mismo, de forma excepcional y por una sola vez, el Fondo podrá apoyar con recursos a la empresa en toma de posesión para asegurar la viabilidad del esquema de solución a largo plazo en los servicios de agua potable y saneamiento básico, acorde con la reglamentación que para tal efecto expida el Gobierno nacional. Lo dispuesto en el presente inciso también será aplicable a las empresas que a la entrada en vigencia de la presente ley se encuentren en toma de posesión.</w:t>
      </w:r>
    </w:p>
    <w:p w14:paraId="2E0F49B9" w14:textId="77777777" w:rsidR="00413A96" w:rsidRDefault="00413A96" w:rsidP="00413A96"/>
    <w:p w14:paraId="1B8C1BB8" w14:textId="77777777" w:rsidR="00413A96" w:rsidRDefault="00413A96" w:rsidP="00413A96">
      <w:r>
        <w:t>A este Fondo ingresarán los recursos de los excedentes de la Superintendencia de Servicios Públicos Domiciliarios, de la Comisión de Regulación de Agua Potable y Saneamiento Básico (CRA), de la Comisión de Regulación de Energía y Gas (CREG), y el producto de las multas que imponga esta superintendencia”.</w:t>
      </w:r>
    </w:p>
    <w:p w14:paraId="69102FB1" w14:textId="77777777" w:rsidR="00413A96" w:rsidRDefault="00413A96" w:rsidP="00413A96"/>
    <w:p w14:paraId="2D028EF1" w14:textId="77777777" w:rsidR="00413A96" w:rsidRDefault="00413A96" w:rsidP="00413A96">
      <w:r>
        <w:t xml:space="preserve">ARTÍCULO 228. Ajuste de la tasa retributiva. Los Planes de Saneamiento y Manejo de Vertimientos (PSMV) y el cálculo de factor regional de tasas retributivas se ajustarán a 1 de manera inmediata cuando quiera que existan retrasos en las obras por razones no imputables al prestador del servicio público de alcantarillado. El </w:t>
      </w:r>
      <w:r>
        <w:lastRenderedPageBreak/>
        <w:t>Gobierno nacional a través de los Ministerios de Ambiente y Desarrollo Sostenible y de Vivienda, Ciudad y Territorio reglamentará las condiciones bajos las cuales las Corporaciones Autónomas Regionales y demás autoridades ambientales verificarán los motivos que dieron lugar al incumplimiento de los PSMV.</w:t>
      </w:r>
    </w:p>
    <w:p w14:paraId="56326DC5" w14:textId="77777777" w:rsidR="00413A96" w:rsidRDefault="00413A96" w:rsidP="00413A96"/>
    <w:p w14:paraId="67A9FD93" w14:textId="77777777" w:rsidR="00413A96" w:rsidRDefault="00413A96" w:rsidP="00413A96">
      <w:r>
        <w:t>ARTÍCULO 229. Enfoque diferencial para vivienda de interés prioritario. Adiciónese el siguiente parágrafo al artículo 6° de la Ley 1537 de 2012:</w:t>
      </w:r>
    </w:p>
    <w:p w14:paraId="7F71D687" w14:textId="77777777" w:rsidR="00413A96" w:rsidRDefault="00413A96" w:rsidP="00413A96"/>
    <w:p w14:paraId="4D3FE8FC" w14:textId="77777777" w:rsidR="00413A96" w:rsidRDefault="00413A96" w:rsidP="00413A96">
      <w:r>
        <w:t>“Parágrafo 5°. En la convocatoria para el desarrollo de proyectos de vivienda de interés prioritario en zonas o departamentos de difícil acceso, se exigirá como mínimo dos años y medio (2,5) como experiencia específica en ejecución de proyectos de vivienda”.</w:t>
      </w:r>
    </w:p>
    <w:p w14:paraId="27D9F3C6" w14:textId="77777777" w:rsidR="00413A96" w:rsidRDefault="00413A96" w:rsidP="00413A96"/>
    <w:p w14:paraId="6F69BFCE" w14:textId="77777777" w:rsidR="00413A96" w:rsidRDefault="00413A96" w:rsidP="00413A96">
      <w:r>
        <w:t>ARTÍCULO 230. Organizaciones Populares de Vivienda. Modifíquese el parágrafo 2° del artículo 8° de la Ley 1537 de 2012, el cual quedará así:</w:t>
      </w:r>
    </w:p>
    <w:p w14:paraId="46F0299D" w14:textId="77777777" w:rsidR="00413A96" w:rsidRDefault="00413A96" w:rsidP="00413A96"/>
    <w:p w14:paraId="0679358B" w14:textId="77777777" w:rsidR="00413A96" w:rsidRDefault="00413A96" w:rsidP="00413A96">
      <w:r>
        <w:t>“PARÁGRAFO 2°. Los patrimonios autónomos constituidos de conformidad con la presente ley, podrán adquirir directamente las viviendas ejecutadas en proyectos promovidos, gestionados o construidos por las entidades territoriales, en predios propios o de Organizaciones Populares de Vivienda (OPV) de que trata el artículo 62 de la Ley 9ª de 1989, con el fin de ser asignadas a hogares miembros de dichas organizaciones, en las condiciones de focalización en población pobre, según defina el reglamento.</w:t>
      </w:r>
    </w:p>
    <w:p w14:paraId="7307D03D" w14:textId="77777777" w:rsidR="00413A96" w:rsidRDefault="00413A96" w:rsidP="00413A96"/>
    <w:p w14:paraId="0DCC9D96" w14:textId="77777777" w:rsidR="00413A96" w:rsidRDefault="00413A96" w:rsidP="00413A96">
      <w:r>
        <w:t>Adicionalmente, se requerirá que las entidades territoriales que promuevan, gestionen o construyan los proyectos, aporten un porcentaje del valor de las viviendas, el cual podrá ser aportado a título de subsidio en los términos y condiciones que defina el Gobierno Nacional.</w:t>
      </w:r>
    </w:p>
    <w:p w14:paraId="7DC64CD8" w14:textId="77777777" w:rsidR="00413A96" w:rsidRDefault="00413A96" w:rsidP="00413A96">
      <w:r>
        <w:t xml:space="preserve"> </w:t>
      </w:r>
    </w:p>
    <w:p w14:paraId="3B7EF401" w14:textId="77777777" w:rsidR="00413A96" w:rsidRDefault="00413A96" w:rsidP="00413A96"/>
    <w:p w14:paraId="106395D2" w14:textId="77777777" w:rsidR="00413A96" w:rsidRDefault="00413A96" w:rsidP="00413A96">
      <w:r>
        <w:t>El Departamento Administrativo para la Prosperidad Social identificará si los hogares miembros de las OPV son potenciales beneficiarios del Subsidio Familiar de Vivienda en Especie y procederá a su selección, previo proceso de postulación ante el Fondo Nacional de Vivienda (Fonvivienda), el cual verificará que los hogares cumplan las condiciones para acceder al subsidio. Lo anterior, de acuerdo con el reglamento que expida el Gobierno Nacional”.</w:t>
      </w:r>
    </w:p>
    <w:p w14:paraId="57774964" w14:textId="77777777" w:rsidR="00413A96" w:rsidRDefault="00413A96" w:rsidP="00413A96"/>
    <w:p w14:paraId="164772B3" w14:textId="77777777" w:rsidR="00413A96" w:rsidRDefault="00413A96" w:rsidP="00413A96">
      <w:r>
        <w:t>ARTÍCULO 231. Aclaración de competencias. En aquellos casos en que los planes de ordenamiento territorial (POT) contengan disposiciones sobre materias cuya reglamentación sea competencia de la Nación, e impidan la ejecución de los planes y programas de interés nacional establecidos en la presente ley, la entidad nacional cabeza del sector correspondiente podrá promover conflicto de competencia administrativa, de conformidad con el Código de Procedimiento Administrativo y de lo Contencioso Administrativo, a fin de que se decida quién es competente para reglamentar el respectivo asunto. En el evento de que el Consejo de Estado conceptúe que las competencias de la Nación fueron invadidas, las autoridades territoriales deberán aplicar las normas de carácter nacional vigentes sobre la materia.</w:t>
      </w:r>
    </w:p>
    <w:p w14:paraId="4E07E9AF" w14:textId="77777777" w:rsidR="00413A96" w:rsidRDefault="00413A96" w:rsidP="00413A96"/>
    <w:p w14:paraId="209CC24E" w14:textId="77777777" w:rsidR="00413A96" w:rsidRDefault="00413A96" w:rsidP="00413A96">
      <w:r>
        <w:t>ARTÍCULO 232. Política de mujer rural. Para la protección y garantía de los derechos de las mujeres rurales, el Gobierno nacional formulará una política pública integral de mujer rural de forma participativa, coordinada por el Ministerio de Agricultura y Desarrollo Rural y la Consejería Presidencial para la Equidad de la Mujer, que tendrá en cuenta el enfoque étnico, etario y territorial. Esta política pública estará orientada a superar las brechas urbano–rurales. En todo caso y con el fin de avanzar en la garantía de los derechos de las mujeres rurales, el Gobierno nacional implementará las medidas necesarias para dar pleno cumplimiento a lo preceptuado en la Ley 731 de 2002.</w:t>
      </w:r>
    </w:p>
    <w:p w14:paraId="38D6FB1C" w14:textId="77777777" w:rsidR="00413A96" w:rsidRDefault="00413A96" w:rsidP="00413A96"/>
    <w:p w14:paraId="2A6C33AB" w14:textId="77777777" w:rsidR="00413A96" w:rsidRDefault="00413A96" w:rsidP="00413A96">
      <w:r>
        <w:t>ARTÍCULO 233. Sistemas de trazabilidad. Con el fin de mejorar la sanidad agropecuaria e inocuidad de los alimentos, prevenir prácticas ilegales en el comercio de los mismos, mejorar la información disponible para el consumidor y responder a los requerimientos del comercio internacional, el Gobierno nacional, en coordinación con el Instituto Colombiano Agropecuario (ICA), reglamentará de acuerdo a su competencia, la implementación de sistemas de trazabilidad tanto en el sector primario como en la distribución de alimentos, y realizará el control de dichos sistemas. Su implementación la podrán realizar entidades de reconocida idoneidad en identificación o desarrollo de plataformas tecnológicas de trazabilidad de productos.</w:t>
      </w:r>
    </w:p>
    <w:p w14:paraId="14070070" w14:textId="77777777" w:rsidR="00413A96" w:rsidRDefault="00413A96" w:rsidP="00413A96"/>
    <w:p w14:paraId="6BA88FF1" w14:textId="77777777" w:rsidR="00413A96" w:rsidRDefault="00413A96" w:rsidP="00413A96">
      <w:r>
        <w:t>PARÁGRAFO. Las autoridades competentes tendrán acceso a la información de los sistemas de trazabilidad implementados para cumplir con sus funciones de inspección, vigilancia y control.</w:t>
      </w:r>
    </w:p>
    <w:p w14:paraId="3CA706CA" w14:textId="77777777" w:rsidR="00413A96" w:rsidRDefault="00413A96" w:rsidP="00413A96"/>
    <w:p w14:paraId="6EBC3F22" w14:textId="77777777" w:rsidR="00413A96" w:rsidRDefault="00413A96" w:rsidP="00413A96">
      <w:r>
        <w:t>ARTÍCULO 234. Financiación del Sistema de Responsabilidad Penal para Adolescentes. El Gobierno nacional fortalecerá la atención integral a los adolescentes vinculados al Sistema de Responsabilidad Penal para Adolescentes (SRPA) y la política de prevención de la delincuencia juvenil, desde un enfoque de justicia restaurativa, con procesos pedagógicos, específicos y diferenciados de los adultos, para la garantía plena y permanente de los derechos de los adolescentes y jóvenes en conflicto con la ley.</w:t>
      </w:r>
    </w:p>
    <w:p w14:paraId="46CEEDB1" w14:textId="77777777" w:rsidR="00413A96" w:rsidRDefault="00413A96" w:rsidP="00413A96"/>
    <w:p w14:paraId="0B818056" w14:textId="77777777" w:rsidR="00413A96" w:rsidRDefault="00413A96" w:rsidP="00413A96">
      <w:r>
        <w:t>PARÁGRAFO. Se define la Ley 55 de 1985 como fuente nacional permanente de la financiación del Sistema de Responsabilidad Penal para Adolescentes, para asegurar la prestación del servicio en todos los distritos judiciales del territorio nacional con plena garantía de derechos de los adolescentes y jóvenes en conflicto con la ley en todas la etapas de la ruta jurídica y durante el cumplimiento de su sanción.</w:t>
      </w:r>
    </w:p>
    <w:p w14:paraId="02251F57" w14:textId="77777777" w:rsidR="00413A96" w:rsidRDefault="00413A96" w:rsidP="00413A96"/>
    <w:p w14:paraId="652FF3A4" w14:textId="77777777" w:rsidR="00413A96" w:rsidRDefault="00413A96" w:rsidP="00413A96">
      <w:r>
        <w:t>ARTÍCULO 235. Financiación de programas de justicia. Adiciónese el artículo 13A a la Ley 55 de 1985, el cual quedará así:</w:t>
      </w:r>
    </w:p>
    <w:p w14:paraId="7BA2CCC5" w14:textId="77777777" w:rsidR="00413A96" w:rsidRDefault="00413A96" w:rsidP="00413A96"/>
    <w:p w14:paraId="2F968B84" w14:textId="77777777" w:rsidR="00413A96" w:rsidRDefault="00413A96" w:rsidP="00413A96">
      <w:r>
        <w:t>“ARTÍCULO 13A. La porción que se reasigna sobre los ingresos provenientes de los derechos por registro de instrumentos públicos y otorgamiento de escrituras destinados a la Superintendencia de</w:t>
      </w:r>
    </w:p>
    <w:p w14:paraId="3D731ACC" w14:textId="77777777" w:rsidR="00413A96" w:rsidRDefault="00413A96" w:rsidP="00413A96">
      <w:r>
        <w:t xml:space="preserve"> </w:t>
      </w:r>
    </w:p>
    <w:p w14:paraId="03D7E7C5" w14:textId="77777777" w:rsidR="00413A96" w:rsidRDefault="00413A96" w:rsidP="00413A96">
      <w:r>
        <w:t>Notariado y Registro, se incrementará, además de lo previsto en el artículo anterior, en un 12% a partir de 2016; para un total del 72%.</w:t>
      </w:r>
    </w:p>
    <w:p w14:paraId="0CE31403" w14:textId="77777777" w:rsidR="00413A96" w:rsidRDefault="00413A96" w:rsidP="00413A96"/>
    <w:p w14:paraId="7E836757" w14:textId="77777777" w:rsidR="00413A96" w:rsidRDefault="00413A96" w:rsidP="00413A96">
      <w:r>
        <w:t>El 12% adicional se distribuirá así: el 10% a la financiación del Sistema de Responsabilidad Penal para Adolescentes, los cuales serán ejecutados por el Instituto Colombiano de Bienestar Familiar; y el 2% restante para programas de fortalecimiento de acceso a la justicia formal y alternativa, acciones para la prevención y control del delito e implementación de modelos de justicia territorial y rural, los cuales serán ejecutados por el Ministerio de Justicia y del Derecho”.</w:t>
      </w:r>
    </w:p>
    <w:p w14:paraId="122073E9" w14:textId="77777777" w:rsidR="00413A96" w:rsidRDefault="00413A96" w:rsidP="00413A96"/>
    <w:p w14:paraId="020B7C81" w14:textId="77777777" w:rsidR="00413A96" w:rsidRDefault="00413A96" w:rsidP="00413A96">
      <w:r>
        <w:t>ARTÍCULO 236. Transparencia, rendición de cuentas y Plan Anticorrupción para la Administración de Justicia. El ejercicio de las funciones administrativas por parte de los órganos que integran las distintas jurisdicciones de la Rama Judicial se sujetará a los principios de transparencia y rendición de cuentas. En desarrollo de estos principios:</w:t>
      </w:r>
    </w:p>
    <w:p w14:paraId="0DB3FF96" w14:textId="77777777" w:rsidR="00413A96" w:rsidRDefault="00413A96" w:rsidP="00413A96"/>
    <w:p w14:paraId="4D60E31A" w14:textId="77777777" w:rsidR="00413A96" w:rsidRDefault="00413A96" w:rsidP="00413A96">
      <w:r>
        <w:t>1.</w:t>
      </w:r>
      <w:r>
        <w:tab/>
        <w:t>La Rama Judicial deberá rendir cuentas de manera permanente a la ciudadanía bajo los lineamientos de metodología y contenidos mínimos establecidos por la Comisión Interinstitucional de la Rama Judicial.</w:t>
      </w:r>
    </w:p>
    <w:p w14:paraId="18F54379" w14:textId="77777777" w:rsidR="00413A96" w:rsidRDefault="00413A96" w:rsidP="00413A96"/>
    <w:p w14:paraId="142A496F" w14:textId="77777777" w:rsidR="00413A96" w:rsidRDefault="00413A96" w:rsidP="00413A96">
      <w:r>
        <w:t>2.</w:t>
      </w:r>
      <w:r>
        <w:tab/>
        <w:t>El Consejo Superior de la Judicatura, o quien haga sus veces, publicará semestralmente en la página web de la Rama Judicial un informe preciso y detallado sobre la gestión financiera de los recursos recibidos por la Rama Judicial.</w:t>
      </w:r>
    </w:p>
    <w:p w14:paraId="354FDDF3" w14:textId="77777777" w:rsidR="00413A96" w:rsidRDefault="00413A96" w:rsidP="00413A96"/>
    <w:p w14:paraId="540276B6" w14:textId="77777777" w:rsidR="00413A96" w:rsidRDefault="00413A96" w:rsidP="00413A96">
      <w:r>
        <w:t>3.</w:t>
      </w:r>
      <w:r>
        <w:tab/>
        <w:t>El Consejo Superior de la Judicatura, o quien haga sus veces, publicará anualmente en la página web de la Rama Judicial un informe sobre el grado de avance de los indicadores determinados por el Sistema Nacional de Estadísticas Judiciales.</w:t>
      </w:r>
    </w:p>
    <w:p w14:paraId="7D91103C" w14:textId="77777777" w:rsidR="00413A96" w:rsidRDefault="00413A96" w:rsidP="00413A96"/>
    <w:p w14:paraId="4128D21F" w14:textId="77777777" w:rsidR="00413A96" w:rsidRDefault="00413A96" w:rsidP="00413A96">
      <w:r>
        <w:t>4.</w:t>
      </w:r>
      <w:r>
        <w:tab/>
        <w:t>El Consejo Superior de la Judicatura, o quien haga sus veces, publicará en la página web de la Rama Judicial, un directorio de todos los despachos judiciales que integran los órganos de las distintas jurisdicciones de la Rama Judicial y sus indicadores de congestión, retraso, productividad y eficacia.</w:t>
      </w:r>
    </w:p>
    <w:p w14:paraId="5611C0B5" w14:textId="77777777" w:rsidR="00413A96" w:rsidRDefault="00413A96" w:rsidP="00413A96"/>
    <w:p w14:paraId="021ACA9B" w14:textId="77777777" w:rsidR="00413A96" w:rsidRDefault="00413A96" w:rsidP="00413A96">
      <w:r>
        <w:t>5.</w:t>
      </w:r>
      <w:r>
        <w:tab/>
        <w:t>El Consejo Superior de la Judicatura, o quien haga sus veces, presentará anualmente un informe a las Comisiones Terceras del Congreso de la República que contenga, como mínimo, el grado de avance de la Rama en los resultados del Plan Sectorial de la Rama Judicial y el avance de los compromisos a su cargo contenidos en el Plan Decenal del Sistema de Justicia.</w:t>
      </w:r>
    </w:p>
    <w:p w14:paraId="58DB5088" w14:textId="77777777" w:rsidR="00413A96" w:rsidRDefault="00413A96" w:rsidP="00413A96"/>
    <w:p w14:paraId="70AD6266" w14:textId="77777777" w:rsidR="00413A96" w:rsidRDefault="00413A96" w:rsidP="00413A96">
      <w:r>
        <w:t>6.</w:t>
      </w:r>
      <w:r>
        <w:tab/>
        <w:t>La Comisión Interinstitucional de la Rama Judicial, con la participación del Ministerio de Justicia y del Derecho y el apoyo de la Secretaría de Transparencia de la Presidencia de la República, elaborará un Plan Anticorrupción para la Administración de Justicia.</w:t>
      </w:r>
    </w:p>
    <w:p w14:paraId="46A4D09A" w14:textId="77777777" w:rsidR="00413A96" w:rsidRDefault="00413A96" w:rsidP="00413A96"/>
    <w:p w14:paraId="3BE36D00" w14:textId="77777777" w:rsidR="00413A96" w:rsidRDefault="00413A96" w:rsidP="00413A96">
      <w:r>
        <w:t xml:space="preserve">El plan deberá ser publicado en la página web de la Rama Judicial, a más tardar el 31 de enero de 2016 y será evaluado y revisado cada dos (2) años. Así mismo, deberán publicarse por este medio los informes de </w:t>
      </w:r>
      <w:r>
        <w:lastRenderedPageBreak/>
        <w:t>seguimiento al plan elaborados por la Comisión Interinstitucional de la Rama Judicial.</w:t>
      </w:r>
    </w:p>
    <w:p w14:paraId="1ED976AA" w14:textId="77777777" w:rsidR="00413A96" w:rsidRDefault="00413A96" w:rsidP="00413A96"/>
    <w:p w14:paraId="17AA0D2F" w14:textId="77777777" w:rsidR="00413A96" w:rsidRDefault="00413A96" w:rsidP="00413A96">
      <w:r>
        <w:t>ARTÍCULO 237. Programa de seguridad con video­vigilancia. El Ministerio del Interior diseñará un programa que promoverá la instalación de videocámaras por parte de los establecimientos privados, con el fin de fortalecer el ejercicio de seguridad a nivel urbano.</w:t>
      </w:r>
    </w:p>
    <w:p w14:paraId="71C88B1B" w14:textId="77777777" w:rsidR="00413A96" w:rsidRDefault="00413A96" w:rsidP="00413A96"/>
    <w:p w14:paraId="358D6C24" w14:textId="77777777" w:rsidR="00413A96" w:rsidRDefault="00413A96" w:rsidP="00413A96">
      <w:r>
        <w:t>El Ministerio del Interior en coordinación con la Policía Nacional, los entes territoriales, los establecimientos públicos y privados desarrollarán sistemas integrados de vigilancia para poner a disposición de las entidades del Estado la información adquirida con el fin de combatir y prevenir el delito. El Gobierno Nacional reglamentará la materia.</w:t>
      </w:r>
    </w:p>
    <w:p w14:paraId="0D7A791F" w14:textId="77777777" w:rsidR="00413A96" w:rsidRDefault="00413A96" w:rsidP="00413A96"/>
    <w:p w14:paraId="2E855E26" w14:textId="77777777" w:rsidR="00413A96" w:rsidRDefault="00413A96" w:rsidP="00413A96">
      <w:r>
        <w:t>ARTÍCULO 238. Atención de procesos judiciales y reclamaciones administrativas del extinto DAS y constitución de fiducia mercantil. Para efecto de dar cumplimiento a lo previsto en los</w:t>
      </w:r>
    </w:p>
    <w:p w14:paraId="4D79A102" w14:textId="77777777" w:rsidR="00413A96" w:rsidRDefault="00413A96" w:rsidP="00413A96">
      <w:r>
        <w:t xml:space="preserve"> </w:t>
      </w:r>
    </w:p>
    <w:p w14:paraId="4E22B553" w14:textId="77777777" w:rsidR="00413A96" w:rsidRDefault="00413A96" w:rsidP="00413A96">
      <w:r>
        <w:t>artículos 18 del Decreto ley 4057 de 2011 y 7° y 9° del Decreto número 1303 de 2014, autorícese la creación de un patrimonio autónomo administrado por Fiduciaria La Previsora S.A. con quien el Ministerio de Hacienda y Crédito Público suscribirá el contrato de fiducia mercantil respectivo.</w:t>
      </w:r>
    </w:p>
    <w:p w14:paraId="249304B3" w14:textId="77777777" w:rsidR="00413A96" w:rsidRDefault="00413A96" w:rsidP="00413A96"/>
    <w:p w14:paraId="37280ECF" w14:textId="77777777" w:rsidR="00413A96" w:rsidRDefault="00413A96" w:rsidP="00413A96">
      <w:r>
        <w:t>Para todos los efectos legales la representación de dicho patrimonio autónomo la llevará la sociedad fiduciaria, quien se encargará de la atención de los procesos judiciales, reclamaciones administrativas, laborales o contractuales en los cuales sea parte o destinatario el extinto Departamento Administrativo de Seguridad (DAS) o su Fondo Rotatorio, y que no guarden relación con funciones trasladadas a entidades receptoras de acuerdo con la naturaleza, objeto o sujeto procesal, o que por cualquier razón carezcan de autoridad administrativa responsable para su atención.</w:t>
      </w:r>
    </w:p>
    <w:p w14:paraId="16CCF57E" w14:textId="77777777" w:rsidR="00413A96" w:rsidRDefault="00413A96" w:rsidP="00413A96"/>
    <w:p w14:paraId="4FF29187" w14:textId="77777777" w:rsidR="00413A96" w:rsidRDefault="00413A96" w:rsidP="00413A96">
      <w:r>
        <w:t>Los recursos serán invertidos observando los criterios de seguridad, solidez y rentabilidad de acuerdo con lo que para el efecto se establezca en el contrato de fiducia mercantil.</w:t>
      </w:r>
    </w:p>
    <w:p w14:paraId="27C5CF12" w14:textId="77777777" w:rsidR="00413A96" w:rsidRDefault="00413A96" w:rsidP="00413A96"/>
    <w:p w14:paraId="6AA5B603" w14:textId="77777777" w:rsidR="00413A96" w:rsidRDefault="00413A96" w:rsidP="00413A96">
      <w:r>
        <w:t>ARTÍCULO 239. Portal Central de Transparencia Fiscal (PCTF). Constrúyase como Portal Central de Transparencia Fiscal (PCTF) el Portal de Transparencia Económica que administre el Ministerio de Hacienda y Crédito Público, con el objeto de promover la interacción del ciudadano con la información sobre gestión fiscal y hacerlo más visible al manejo de los recursos públicos durante todo su ciclo.</w:t>
      </w:r>
    </w:p>
    <w:p w14:paraId="72446E13" w14:textId="77777777" w:rsidR="00413A96" w:rsidRDefault="00413A96" w:rsidP="00413A96"/>
    <w:p w14:paraId="463FB8B3" w14:textId="77777777" w:rsidR="00413A96" w:rsidRDefault="00413A96" w:rsidP="00413A96">
      <w:r>
        <w:t>Estarán obligadas al suministro de información al PCTF todas las entidades públicas del nivel central, pertenecientes a las diferentes ramas del poder público, así como las personas de derecho privado que administren recursos públicos.</w:t>
      </w:r>
    </w:p>
    <w:p w14:paraId="159D9727" w14:textId="77777777" w:rsidR="00413A96" w:rsidRDefault="00413A96" w:rsidP="00413A96"/>
    <w:p w14:paraId="59BC6AC3" w14:textId="77777777" w:rsidR="00413A96" w:rsidRDefault="00413A96" w:rsidP="00413A96">
      <w:r>
        <w:t>PARÁGRAFO. El Gobierno Nacional reglamentará el funcionamiento y desarrollo del PCTF y definirá los términos y tiempos en que las entidades territoriales reportarán la información al sistema garantizando que esta se encuentre disponible en línea y permita la participación de la ciudadanía.</w:t>
      </w:r>
    </w:p>
    <w:p w14:paraId="2C58B280" w14:textId="77777777" w:rsidR="00413A96" w:rsidRDefault="00413A96" w:rsidP="00413A96"/>
    <w:p w14:paraId="61C4B569" w14:textId="77777777" w:rsidR="00413A96" w:rsidRDefault="00413A96" w:rsidP="00413A96">
      <w:r>
        <w:t>La obligación de suministro de la información cobrará vigencia seis (6) meses después de la reglamentación para las entidades del Gobierno Nacional, y doce (12) meses después para las entidades territoriales.</w:t>
      </w:r>
    </w:p>
    <w:p w14:paraId="52705FF9" w14:textId="77777777" w:rsidR="00413A96" w:rsidRDefault="00413A96" w:rsidP="00413A96"/>
    <w:p w14:paraId="3C1EC3B3" w14:textId="77777777" w:rsidR="00413A96" w:rsidRDefault="00413A96" w:rsidP="00413A96">
      <w:r>
        <w:t>ARTÍCULO 240. Rutas sociales Satena. Con el fin promover la prestación del servicio de transporte aéreo en las regiones de difícil acceso y conectividad, el Gobierno Nacional podrá otorgar subvenciones a Satena S.A., a través del presupuesto del Ministerio de Defensa Nacional para la prestación del servicio público esencial de transporte aéreo en aquellas rutas sociales en las cuales Satena S.A. sea el único operador. El Gobierno Nacional, previo a la realización de un estudio, reglamentará las rutas y condiciones de estas subvenciones, que en ningún caso podrán ser superiores al déficit que registre la empresa como resultado de atender las denominadas rutas sociales en las cuales opere de manera exclusiva.</w:t>
      </w:r>
    </w:p>
    <w:p w14:paraId="0346879E" w14:textId="77777777" w:rsidR="00413A96" w:rsidRDefault="00413A96" w:rsidP="00413A96"/>
    <w:p w14:paraId="43CD66DB" w14:textId="77777777" w:rsidR="00413A96" w:rsidRDefault="00413A96" w:rsidP="00413A96">
      <w:r>
        <w:t>ARTÍCULO 241. Modificaciones y aval fiscal para asociaciones público­privadas. El inciso 4° del artículo 26 de la Ley 1508 de 2012 quedará así:</w:t>
      </w:r>
    </w:p>
    <w:p w14:paraId="39EFAAB7" w14:textId="77777777" w:rsidR="00413A96" w:rsidRDefault="00413A96" w:rsidP="00413A96"/>
    <w:p w14:paraId="3A750014" w14:textId="77777777" w:rsidR="00413A96" w:rsidRDefault="00413A96" w:rsidP="00413A96">
      <w:r>
        <w:t xml:space="preserve">“El aval fiscal que emita el CONFIS para la ejecución de un proyecto de asociación público­privada (APP) en el que el contrato no esté debidamente perfeccionado, no podrá ser objeto de reconsideración del CONFIS cuando se exceda el 10% del valor inicialmente aprobado. No obstante, en casos excepcionales a solicitud del </w:t>
      </w:r>
      <w:r>
        <w:lastRenderedPageBreak/>
        <w:t>ministro del ramo, previa motivación y justificación suscrita por el jefe de la entidad solicitante, el CONFIS podrá evaluar una nueva propuesta del proyecto en los términos establecidos en la presente ley”.</w:t>
      </w:r>
    </w:p>
    <w:p w14:paraId="3590D1B0" w14:textId="77777777" w:rsidR="00413A96" w:rsidRDefault="00413A96" w:rsidP="00413A96"/>
    <w:p w14:paraId="0FC91F49" w14:textId="77777777" w:rsidR="00413A96" w:rsidRDefault="00413A96" w:rsidP="00413A96">
      <w:r>
        <w:t>ARTÍCULO 242. Operaciones de redescuento. Modifíquese el literal g) del artículo 270 del EOSF, el cual quedará así:</w:t>
      </w:r>
    </w:p>
    <w:p w14:paraId="31C1FEE6" w14:textId="77777777" w:rsidR="00413A96" w:rsidRDefault="00413A96" w:rsidP="00413A96"/>
    <w:p w14:paraId="7A5C8D0D" w14:textId="77777777" w:rsidR="00413A96" w:rsidRDefault="00413A96" w:rsidP="00413A96">
      <w:r>
        <w:t>“g. Redescontar créditos a entidades públicas del orden nacional, a entidades de derecho privado,</w:t>
      </w:r>
    </w:p>
    <w:p w14:paraId="4B9C2136" w14:textId="77777777" w:rsidR="00413A96" w:rsidRDefault="00413A96" w:rsidP="00413A96">
      <w:r>
        <w:t xml:space="preserve"> </w:t>
      </w:r>
    </w:p>
    <w:p w14:paraId="3FB2E743" w14:textId="77777777" w:rsidR="00413A96" w:rsidRDefault="00413A96" w:rsidP="00413A96">
      <w:r>
        <w:t>patrimonios autónomos y personas jurídicas de derecho internacional público, siempre y cuando dichos recursos se utilicen en las actividades definidas en el numeral 2 del artículo 268 del Estatuto Orgánico del Sistema Financiero y en proyectos relacionados con el medio ambiente”.</w:t>
      </w:r>
    </w:p>
    <w:p w14:paraId="4D5EDC97" w14:textId="77777777" w:rsidR="00413A96" w:rsidRDefault="00413A96" w:rsidP="00413A96"/>
    <w:p w14:paraId="4B41723C" w14:textId="77777777" w:rsidR="00413A96" w:rsidRDefault="00413A96" w:rsidP="00413A96">
      <w:r>
        <w:t>ARTÍCULO 243. Reconocimiento de deuda en sentencias y conciliaciones judiciales. Para efectos de lo establecido en el artículo 29 de la Ley 344 de 1996, en el marco de las leyes que lo implementen, entiéndase que la referencia a las sentencias y conciliaciones judiciales es aplicable a otros mecanismos de solución alternativa de conflictos, tales como la amigable composición, que tengan efectos de cosa juzgada en última instancia en los términos del Código Civil y en los que participe el Ministerio Público.</w:t>
      </w:r>
    </w:p>
    <w:p w14:paraId="28C8386C" w14:textId="77777777" w:rsidR="00413A96" w:rsidRDefault="00413A96" w:rsidP="00413A96"/>
    <w:p w14:paraId="24294BCC" w14:textId="77777777" w:rsidR="00413A96" w:rsidRDefault="00413A96" w:rsidP="00413A96">
      <w:r>
        <w:t>ARTÍCULO 244. Libertad religiosa, de cultos y conciencia. El Ministerio del Interior, en coordinación con las entidades competentes, emprenderá acciones que promuevan el reconocimiento de las formas asociativas de la sociedad civil basadas en los principios de libertad religiosa, de cultos y conciencia. El Gobierno Nacional formulará y actualizará la política pública en la materia con la participación de las entidades religiosas, garantizando la libertad e igualdad religiosa en términos de equidad y reconociendo su aporte al bien común en lo local, regional y nacional.</w:t>
      </w:r>
    </w:p>
    <w:p w14:paraId="5F4D8C4D" w14:textId="77777777" w:rsidR="00413A96" w:rsidRDefault="00413A96" w:rsidP="00413A96"/>
    <w:p w14:paraId="3D0C52D8" w14:textId="77777777" w:rsidR="00413A96" w:rsidRDefault="00413A96" w:rsidP="00413A96">
      <w:r>
        <w:t>ARTÍCULO 245. Agencia Nacional Inmobiliaria Virgilio Barco Vargas. Modifíquese el artículo 1° del Decreto ley 4184 de 2011, el cual quedará así:</w:t>
      </w:r>
    </w:p>
    <w:p w14:paraId="1CD2FF63" w14:textId="77777777" w:rsidR="00413A96" w:rsidRDefault="00413A96" w:rsidP="00413A96"/>
    <w:p w14:paraId="659C476A" w14:textId="77777777" w:rsidR="00413A96" w:rsidRDefault="00413A96" w:rsidP="00413A96">
      <w:r>
        <w:t>“ARTÍCULO 1°. Agencia Nacional Inmobiliaria Virgilio Barco Vargas. Transfórmese la Empresa Nacional de Renovación y Desarrollo Urbano Virgilio Barco Vargas SAS, en la Agencia Nacional Inmobiliaria Virgilio Barco Vargas con personería jurídica, domiciliada en la ciudad de Bogotá, D. C., con autonomía administrativa y financiera, y adscrita al Departamento Administrativo de la Presidencia de la República.</w:t>
      </w:r>
    </w:p>
    <w:p w14:paraId="376C8E2B" w14:textId="77777777" w:rsidR="00413A96" w:rsidRDefault="00413A96" w:rsidP="00413A96"/>
    <w:p w14:paraId="5A96C73C" w14:textId="77777777" w:rsidR="00413A96" w:rsidRDefault="00413A96" w:rsidP="00413A96">
      <w:r>
        <w:t>A partir de la aprobación de la presente ley, la Empresa Nacional de Renovación y Desarrollo Urbano Virgilio Barco Vargas SAS se denominará para todos los efectos como Agencia Nacional Inmobiliaria Virgilio Barco Vargas y así se entenderá en todas las normas que se refieran a la empresa.</w:t>
      </w:r>
    </w:p>
    <w:p w14:paraId="65662ACD" w14:textId="77777777" w:rsidR="00413A96" w:rsidRDefault="00413A96" w:rsidP="00413A96"/>
    <w:p w14:paraId="1B84EACB" w14:textId="77777777" w:rsidR="00413A96" w:rsidRDefault="00413A96" w:rsidP="00413A96">
      <w:r>
        <w:t>Objeto Social. El objeto de la Agencia Nacional Inmobiliaria Virgilio Barco Vargas será identificar, promover, gestionar, gerenciar y ejecutar proyectos de renovación y de desarrollo urbano, en Bogotá u otras ciudades del país, así como construir o gestionar, mediante asociaciones público­privadas o contratación de obras, inmuebles destinados a entidades oficiales del orden nacional y a otros usos complementarios que pueda tener el mismo proyecto.</w:t>
      </w:r>
    </w:p>
    <w:p w14:paraId="55302BF0" w14:textId="77777777" w:rsidR="00413A96" w:rsidRDefault="00413A96" w:rsidP="00413A96"/>
    <w:p w14:paraId="341266E3" w14:textId="77777777" w:rsidR="00413A96" w:rsidRDefault="00413A96" w:rsidP="00413A96">
      <w:r>
        <w:t>Estructura de la Agencia. Los órganos de Dirección y Administración de la Agencia Nacional Inmobiliaria Virgilio Barco Vargas estarán constituidos en su orden por un Consejo Directivo cuya composición será determinada por el Gobierno nacional y un Director.</w:t>
      </w:r>
    </w:p>
    <w:p w14:paraId="4101DDFE" w14:textId="77777777" w:rsidR="00413A96" w:rsidRDefault="00413A96" w:rsidP="00413A96"/>
    <w:p w14:paraId="7FAE36B5" w14:textId="77777777" w:rsidR="00413A96" w:rsidRDefault="00413A96" w:rsidP="00413A96">
      <w:r>
        <w:t>Patrimonio de la Agencia Nacional Inmobiliaria Virgilio Barco Vargas. El patrimonio de la Agencia Nacional Inmobiliaria Virgilio Barco Vargas estará constituido por: bienes y recursos públicos provenientes del Presupuesto General de la Nación, los provenientes del desarrollo de su actividad y del giro ordinario de sus negocios, los bienes que adquiera a cualquier título, gratuito u oneroso, y los productos y rendimientos de ellos, así como los bienes que posea al momento de su transformación.</w:t>
      </w:r>
    </w:p>
    <w:p w14:paraId="5975AB00" w14:textId="77777777" w:rsidR="00413A96" w:rsidRDefault="00413A96" w:rsidP="00413A96"/>
    <w:p w14:paraId="122DF28C" w14:textId="77777777" w:rsidR="00413A96" w:rsidRDefault="00413A96" w:rsidP="00413A96">
      <w:r>
        <w:t>PARÁGRAFO 1°. Se faculta a las entidades públicas del orden nacional para transferir a título gratuito los inmuebles ubicados en las áreas de los proyectos que desarrolle la Agencia.</w:t>
      </w:r>
    </w:p>
    <w:p w14:paraId="07BEACA5" w14:textId="77777777" w:rsidR="00413A96" w:rsidRDefault="00413A96" w:rsidP="00413A96"/>
    <w:p w14:paraId="38F1E9DE" w14:textId="77777777" w:rsidR="00413A96" w:rsidRDefault="00413A96" w:rsidP="00413A96">
      <w:r>
        <w:t xml:space="preserve">PARÁGRAFO 2°. Se autoriza la contratación de fiducias mercantiles para el desarrollo de los proyectos de la Agencia Nacional Inmobiliaria Virgilio Barco Vargas, en las que pueden participar las entidades públicas del </w:t>
      </w:r>
      <w:r>
        <w:lastRenderedPageBreak/>
        <w:t>orden nacional y territorial.</w:t>
      </w:r>
    </w:p>
    <w:p w14:paraId="33A5BEC5" w14:textId="77777777" w:rsidR="00413A96" w:rsidRDefault="00413A96" w:rsidP="00413A96"/>
    <w:p w14:paraId="78944C3A" w14:textId="77777777" w:rsidR="00413A96" w:rsidRDefault="00413A96" w:rsidP="00413A96">
      <w:r>
        <w:t>PARÁGRAFO 3°. La Agencia Nacional Inmobiliaria Virgilio Barco Vargas podrá hacer uso de las</w:t>
      </w:r>
    </w:p>
    <w:p w14:paraId="6C3D43E7" w14:textId="77777777" w:rsidR="00413A96" w:rsidRDefault="00413A96" w:rsidP="00413A96">
      <w:r>
        <w:t xml:space="preserve"> </w:t>
      </w:r>
    </w:p>
    <w:p w14:paraId="0562F86C" w14:textId="77777777" w:rsidR="00413A96" w:rsidRDefault="00413A96" w:rsidP="00413A96">
      <w:r>
        <w:t>facultades de expropiación administrativa de que tratan la Ley 1742 de 2014, siempre que invoque los motivos de utilidad pública contenidos en el artículo 58 de la Ley 388 de 1997, en los literales B, C, G, I, K, L, M.”.</w:t>
      </w:r>
    </w:p>
    <w:p w14:paraId="40E0F252" w14:textId="77777777" w:rsidR="00413A96" w:rsidRDefault="00413A96" w:rsidP="00413A96"/>
    <w:p w14:paraId="10BCF847" w14:textId="77777777" w:rsidR="00413A96" w:rsidRDefault="00413A96" w:rsidP="00413A96">
      <w:r>
        <w:t>ARTÍCULO 246. Subcuentas del Fondo Nacional Ambiental (FONAM). El Fondo Nacional Ambiental (FONAM) tendrá tres subcuentas especiales:</w:t>
      </w:r>
    </w:p>
    <w:p w14:paraId="3C8D7005" w14:textId="77777777" w:rsidR="00413A96" w:rsidRDefault="00413A96" w:rsidP="00413A96"/>
    <w:p w14:paraId="190F3A73" w14:textId="77777777" w:rsidR="00413A96" w:rsidRDefault="00413A96" w:rsidP="00413A96">
      <w:r>
        <w:t>1.</w:t>
      </w:r>
      <w:r>
        <w:tab/>
        <w:t>Subcuenta para el manejo separado de los recursos presupuestales que se asignen a la administración y manejo del Sistema de Parques Nacionales. Esta subcuenta estará integrada por los recursos provenientes de la administración y manejo de las áreas del Sistema de Parques Nacionales Naturales y del Ecoturismo, así como del producto de las concesiones en dichas áreas. El Director de Parques Nacionales Naturales de Colombia tendrá la función de ordenador del gasto de esta subcuenta.</w:t>
      </w:r>
    </w:p>
    <w:p w14:paraId="7841FDF4" w14:textId="77777777" w:rsidR="00413A96" w:rsidRDefault="00413A96" w:rsidP="00413A96"/>
    <w:p w14:paraId="16B871FA" w14:textId="77777777" w:rsidR="00413A96" w:rsidRDefault="00413A96" w:rsidP="00413A96">
      <w:r>
        <w:t>2.</w:t>
      </w:r>
      <w:r>
        <w:tab/>
        <w:t>Subcuenta para el manejo separado de los recursos presupuestales que se asignen a la Autoridad Nacional de Licencias Ambientales (ANLA), constituida por los recursos provenientes del pago de los servicios de evaluación y seguimiento a las licencias, permisos, concesiones, autorizaciones y demás instrumentos de control y manejo ambiental de competencia de la ANLA, los recursos recaudados por concepto de los permisos de importación y exportación de especies de fauna y flora silvestres No Cites, la aplicación de multas y demás sanciones económicas impuestas por esta autoridad. La ordenación del gasto de esta subcuenta estará en cabeza del Director de la Autoridad Nacional de Licencias Ambientales.</w:t>
      </w:r>
    </w:p>
    <w:p w14:paraId="3CF952DF" w14:textId="77777777" w:rsidR="00413A96" w:rsidRDefault="00413A96" w:rsidP="00413A96"/>
    <w:p w14:paraId="43ED00B0" w14:textId="77777777" w:rsidR="00413A96" w:rsidRDefault="00413A96" w:rsidP="00413A96">
      <w:r>
        <w:t>3.</w:t>
      </w:r>
      <w:r>
        <w:tab/>
        <w:t>Subcuenta para el manejo separado de los ingresos que obtenga el Ministerio de Ambiente y Desarrollo Sostenible, constituida por los recursos provenientes de los permisos de importación y exportación de especies de fauna y flora silvestres establecidos en la Convención Internacional sobre Comercio de Especies Amenazadas de Fauna y Flora Silvestres Cites, los de fabricación y distribución de sistemas de marcaje de especies de la biodiversidad regulados por esta Convención, los recursos provenientes de los contratos de acceso a los recursos genéticos que celebre, los recursos provenientes de los desincentivos económicos establecidos por la Comisión de Regulación de Agua Potable y Saneamiento Básico, CRA, en desarrollo del artículo 7° de la Ley 373 de 1997, en los casos en que se presente disminución en los niveles de precipitación ocasionados por fenómenos de variabilidad climática, con base en la información que para el efecto divulgue el Instituto de Hidrología, Meteorología y Estudios Ambientales (IDEAM) y los provenientes de la aplicación de multas y demás sanciones económicas impuestas por este Ministerio. El Ministro de Ambiente y Desarrollo Sostenible será el ordenador del gasto de esta subcuenta.</w:t>
      </w:r>
    </w:p>
    <w:p w14:paraId="76404B4F" w14:textId="77777777" w:rsidR="00413A96" w:rsidRDefault="00413A96" w:rsidP="00413A96"/>
    <w:p w14:paraId="1B95FAB5" w14:textId="77777777" w:rsidR="00413A96" w:rsidRDefault="00413A96" w:rsidP="00413A96">
      <w:r>
        <w:t>ARTÍCULO 247. Formulación de una política integrada para la gestión de zonas marinas, costeras e insulares. El Gobierno Nacional, bajo el liderazgo del Departamento Nacional de Planeación, en coordinación con otros ministerios y entidades públicas y el sector privado, formulará y adoptará la política integrada para la gestión de zonas marinas, costeras e insulares del país, la cual incluirá un programa nacional para la prevención, mitigación y control de la erosión costera, propendiendo por la seguridad habitacional y el bienestar de las poblaciones asentadas en estas zonas y el desarrollo sectorial compatible con las dinámicas de dicho fenómeno.</w:t>
      </w:r>
    </w:p>
    <w:p w14:paraId="63BF9F89" w14:textId="77777777" w:rsidR="00413A96" w:rsidRDefault="00413A96" w:rsidP="00413A96"/>
    <w:p w14:paraId="495823EF" w14:textId="77777777" w:rsidR="00413A96" w:rsidRDefault="00413A96" w:rsidP="00413A96">
      <w:r>
        <w:t>ARTÍCULO 248. Política pública de defensa de los derechos de los animales y/o protección animal. El Gobierno Nacional promoverá políticas públicas y acciones gubernamentales en las cuales se fomenten, promulguen y difundan los derechos de los animales y/o la protección animal. Para tal efecto, en coordinación con las organizaciones sociales de defensa de los animales, diseñará una política en la cual se establecerán los conceptos, competencias institucionales, condiciones, aspectos, limitaciones y especificaciones sobre el cuidado animal en cuanto a la reproducción, tenencia, adopción, producción, distribución y comercialización de animales domésticos no aptos para reproducirse.</w:t>
      </w:r>
    </w:p>
    <w:p w14:paraId="55676782" w14:textId="77777777" w:rsidR="00413A96" w:rsidRDefault="00413A96" w:rsidP="00413A96"/>
    <w:p w14:paraId="7AFABE57" w14:textId="77777777" w:rsidR="00413A96" w:rsidRDefault="00413A96" w:rsidP="00413A96">
      <w:r>
        <w:t>Las entidades territoriales y descentralizadas del Estado se encargarán de vigilar, controlar y fomentar</w:t>
      </w:r>
    </w:p>
    <w:p w14:paraId="006500D4" w14:textId="77777777" w:rsidR="00413A96" w:rsidRDefault="00413A96" w:rsidP="00413A96">
      <w:r>
        <w:t xml:space="preserve"> </w:t>
      </w:r>
    </w:p>
    <w:p w14:paraId="3DDD63D0" w14:textId="77777777" w:rsidR="00413A96" w:rsidRDefault="00413A96" w:rsidP="00413A96">
      <w:r>
        <w:t>el respeto por los animales y su integridad física y anímica.</w:t>
      </w:r>
    </w:p>
    <w:p w14:paraId="714AEF23" w14:textId="77777777" w:rsidR="00413A96" w:rsidRDefault="00413A96" w:rsidP="00413A96"/>
    <w:p w14:paraId="62C5125D" w14:textId="77777777" w:rsidR="00413A96" w:rsidRDefault="00413A96" w:rsidP="00413A96">
      <w:r>
        <w:t xml:space="preserve">Adicionalmente, las organizaciones sociales de defensa de los animales participarán de manera coordinada </w:t>
      </w:r>
      <w:r>
        <w:lastRenderedPageBreak/>
        <w:t>con las entidades nacionales y territoriales para la difusión de las políticas a que se refiere el presente artículo.</w:t>
      </w:r>
    </w:p>
    <w:p w14:paraId="3D5E7558" w14:textId="77777777" w:rsidR="00413A96" w:rsidRDefault="00413A96" w:rsidP="00413A96"/>
    <w:p w14:paraId="6BC87899" w14:textId="77777777" w:rsidR="00413A96" w:rsidRDefault="00413A96" w:rsidP="00413A96">
      <w:r>
        <w:t>PARÁGRAFO. Se mantendrán las excepciones contempladas en el artículo 7° de la Ley 84 de 1989.</w:t>
      </w:r>
    </w:p>
    <w:p w14:paraId="04C7784D" w14:textId="77777777" w:rsidR="00413A96" w:rsidRDefault="00413A96" w:rsidP="00413A96"/>
    <w:p w14:paraId="735ED90B" w14:textId="77777777" w:rsidR="00413A96" w:rsidRDefault="00413A96" w:rsidP="00413A96">
      <w:r>
        <w:t>ARTÍCULO 249. Programa Nacional de Reconversión Pecuaria Sostenible. El Ministerio de Agricultura y Desarrollo Rural, con el apoyo de CORPOICA y la Unidad de Planificación de Tierras Rurales, Adecuación de Tierras y Usos Agropecuarios, en coordinación con el Departamento Nacional de Planeación, el Ministerio de Ambiente y Desarrollo Sostenible y con los gremios del sector agropecuario y en el marco de la estrategia de crecimiento verde, implementará el Programa Nacional de Reconversión Pecuaria Sostenible, tendiente a la reconversión productiva de las áreas dedicadas a la ganadería extensiva que presentan conflicto en el uso del suelo de acuerdo con su vocación. Para ello, el programa impulsará, dentro de otras estrategias que se diseñen, el aumento en cobertura de los sistemas agropecuarios sostenibles como los arreglos silvopastoriles y otros, de tal manera que se propenda por la conservación, recuperación, rehabilitación y restauración de ecosistemas naturales, corredores ecológicos y suelos degradados en paisajes agropecuarios.</w:t>
      </w:r>
    </w:p>
    <w:p w14:paraId="18B9683F" w14:textId="77777777" w:rsidR="00413A96" w:rsidRDefault="00413A96" w:rsidP="00413A96"/>
    <w:p w14:paraId="1BE0E612" w14:textId="77777777" w:rsidR="00413A96" w:rsidRDefault="00413A96" w:rsidP="00413A96">
      <w:r>
        <w:t>Este programa se implementará mediante proyectos que incluirán soporte técnico, evaluación de proyectos, generación de capacidades para asistentes técnicos y acompañamiento institucional para la sostenibilidad ambiental. La financiación de los proyectos se considerará en el marco de la operación de los instrumentos existentes tales como el Certificado del Incentivo Forestal (CIF) e Incentivo a la Capitalización Rural (ICR) y se diseñarán líneas especiales de crédito que incentiven el establecimiento de estos modelos sostenibles.</w:t>
      </w:r>
    </w:p>
    <w:p w14:paraId="1DE70853" w14:textId="77777777" w:rsidR="00413A96" w:rsidRDefault="00413A96" w:rsidP="00413A96"/>
    <w:p w14:paraId="43370C14" w14:textId="77777777" w:rsidR="00413A96" w:rsidRDefault="00413A96" w:rsidP="00413A96">
      <w:r>
        <w:t>ARTÍCULO 250. Consejo Nacional del Agua. Créase el Consejo Nacional del Agua como un organismo coordinador de la gestión integral del recurso hídrico. El Consejo estará integrado por el Director del Departamento Nacional de Planeación o su delegado, el Ministro de Ambiente y Desarrollo Sostenible o su delegado quien ejercerá la Secretaría Técnica, el Ministro de Minas y Energía o su delegado, el Ministro de Agricultura y Desarrollo Rural o su delegado, el Ministro de Vivienda, Ciudad y Territorio o su delegado y el Ministro de Salud y Protección Social o su delegado.</w:t>
      </w:r>
    </w:p>
    <w:p w14:paraId="31D73063" w14:textId="77777777" w:rsidR="00413A96" w:rsidRDefault="00413A96" w:rsidP="00413A96"/>
    <w:p w14:paraId="276806A1" w14:textId="77777777" w:rsidR="00413A96" w:rsidRDefault="00413A96" w:rsidP="00413A96">
      <w:r>
        <w:t>Podrán asistir al Consejo, en calidad de invitados, personas naturales o jurídicas con el fin de discutir aspectos relevantes en el desarrollo de su objeto.</w:t>
      </w:r>
    </w:p>
    <w:p w14:paraId="5CD31EF6" w14:textId="77777777" w:rsidR="00413A96" w:rsidRDefault="00413A96" w:rsidP="00413A96"/>
    <w:p w14:paraId="2A57A05B" w14:textId="77777777" w:rsidR="00413A96" w:rsidRDefault="00413A96" w:rsidP="00413A96">
      <w:r>
        <w:t>Este Consejo asumirá las funciones de coordinación y articulación intersectorial de las políticas, planes y programas para la administración sostenible del recurso hídrico.</w:t>
      </w:r>
    </w:p>
    <w:p w14:paraId="7EAF867E" w14:textId="77777777" w:rsidR="00413A96" w:rsidRDefault="00413A96" w:rsidP="00413A96"/>
    <w:p w14:paraId="2EC77BE5" w14:textId="77777777" w:rsidR="00413A96" w:rsidRDefault="00413A96" w:rsidP="00413A96">
      <w:r>
        <w:t>PARÁGRAFO. El Gobierno Nacional reglamentará lo relacionado con el objeto, funciones del Consejo, así como con las herramientas de articulación y coordinación interinstitucional, para ejecutar la política de administración sostenible del recurso hídrico.</w:t>
      </w:r>
    </w:p>
    <w:p w14:paraId="35E8DE3A" w14:textId="77777777" w:rsidR="00413A96" w:rsidRDefault="00413A96" w:rsidP="00413A96"/>
    <w:p w14:paraId="41A22F56" w14:textId="77777777" w:rsidR="00413A96" w:rsidRDefault="00413A96" w:rsidP="00413A96">
      <w:r>
        <w:t>ARTÍCULO 251. Pasivos ambientales. El Gobierno Nacional, bajo el liderazgo del Ministerio de Ambiente y Desarrollo Sostenible, formulará una política para la gestión de pasivos ambientales, en la cual se establezca una única definición de pasivos ambientales y se establezcan los mecanismos e instrumentos técnicos, jurídicos y financieros para su gestión y recuperación. Dicha política debe incluir un plan de acción a corto, mediano y largo plazo, con estrategias orientadas a la identificación, priorización, valoración y recuperación de pasivos ambientales; al desarrollo de instrumentos de información ambiental; a la definición de responsabilidades institucionales a nivel nacional y regional; a la implementación de instrumentos económicos; y al establecimiento de acciones judiciales; entre otros aspectos que se consideren fundamentales para la gestión de los pasivos ambientales.</w:t>
      </w:r>
    </w:p>
    <w:p w14:paraId="05FECF09" w14:textId="77777777" w:rsidR="00413A96" w:rsidRDefault="00413A96" w:rsidP="00413A96"/>
    <w:p w14:paraId="1B59491D" w14:textId="77777777" w:rsidR="00413A96" w:rsidRDefault="00413A96" w:rsidP="00413A96">
      <w:r>
        <w:t>ARTÍCULO 252. Contratos de acceso a recursos genéticos y/o sus productos derivados. Las</w:t>
      </w:r>
    </w:p>
    <w:p w14:paraId="4B56A3E4" w14:textId="77777777" w:rsidR="00413A96" w:rsidRDefault="00413A96" w:rsidP="00413A96">
      <w:r>
        <w:t xml:space="preserve"> </w:t>
      </w:r>
    </w:p>
    <w:p w14:paraId="55DA512C" w14:textId="77777777" w:rsidR="00413A96" w:rsidRDefault="00413A96" w:rsidP="00413A96">
      <w:r>
        <w:t>personas naturales o jurídicas, nacionales o extranjeras, que a la entrada en vigencia de la presente ley hayan realizado o se encuentren realizando actividades de investigación científica no comercial, actividades de investigación con fines de prospección biológica, o actividades con fines comerciales o industriales, que configuren acceso a recursos genéticos y/o sus productos sin contar con la autorización del Ministerio de Ambiente y Desarrollo Sostenible, tendrán dos (2) años a partir de la entrada en vigencia de la presente ley para solicitar el contrato de acceso a recursos genéticos y sus productos derivados.</w:t>
      </w:r>
    </w:p>
    <w:p w14:paraId="3368DBAD" w14:textId="77777777" w:rsidR="00413A96" w:rsidRDefault="00413A96" w:rsidP="00413A96"/>
    <w:p w14:paraId="58C05BC1" w14:textId="77777777" w:rsidR="00413A96" w:rsidRDefault="00413A96" w:rsidP="00413A96">
      <w:r>
        <w:t xml:space="preserve">Las solicitudes que estén en trámite y que hayan realizado o se encuentren realizando acceso a recursos </w:t>
      </w:r>
      <w:r>
        <w:lastRenderedPageBreak/>
        <w:t>genéticos y/o sus productos derivados, en las condiciones descritas en el inciso anterior deberán informarlo al Ministerio. Desde la radicación de la solicitud y hasta la celebración y perfeccionamiento del contrato de acceso a recursos genéticos y/o sus productos derivados o hasta la denegación del trámite, el solicitante podrá continuar accediendo al recurso genético y/o sus productos derivados.</w:t>
      </w:r>
    </w:p>
    <w:p w14:paraId="668CE822" w14:textId="77777777" w:rsidR="00413A96" w:rsidRDefault="00413A96" w:rsidP="00413A96"/>
    <w:p w14:paraId="46B24534" w14:textId="77777777" w:rsidR="00413A96" w:rsidRDefault="00413A96" w:rsidP="00413A96">
      <w:r>
        <w:t>Aquellas colecciones biológicas existentes a 25 de febrero de 2000, que no puedan acreditar el material obtenido en el marco de actividades de recolección, de proyectos de investigación científica y/o prácticas docentes universitarias finalizadas, podrán registrar por única vez dicho material ante el Instituto de Investigación Alexander von Humboldt, dentro del año siguiente a la publicación de la presente ley y de conformidad con los parámetros previstos en las normas que regulan la materia.</w:t>
      </w:r>
    </w:p>
    <w:p w14:paraId="4015C876" w14:textId="77777777" w:rsidR="00413A96" w:rsidRDefault="00413A96" w:rsidP="00413A96"/>
    <w:p w14:paraId="1EB83847" w14:textId="77777777" w:rsidR="00413A96" w:rsidRDefault="00413A96" w:rsidP="00413A96">
      <w:r>
        <w:t>ARTÍCULO 253. Tasa para la Ciénaga Grande de Santa Marta. Modifíquese el parágrafo del artículo 1° de la Ley 981 de 2005, modificada por la Ley 1718 de 2014, el cual quedará así:</w:t>
      </w:r>
    </w:p>
    <w:p w14:paraId="1C53B45E" w14:textId="77777777" w:rsidR="00413A96" w:rsidRDefault="00413A96" w:rsidP="00413A96"/>
    <w:p w14:paraId="523B32F1" w14:textId="77777777" w:rsidR="00413A96" w:rsidRDefault="00413A96" w:rsidP="00413A96">
      <w:r>
        <w:t>“PARÁGRAFO. El Gobierno Nacional no podrá ordenar el cobro de la Sobretasa Ambiental sino exclusivamente a las vías que conducen del municipio de Ciénaga (Magdalena) a la ciudad de Barranquilla y del municipio de Ciénaga (Magdalena) al municipio de Fundación (Magdalena), en ambos sentidos de las vías, y que en la actualidad afecta a la Ciénaga Grande de Santa Marta, así como a la vía que conduce de la ciudad de Barranquilla (Atlántico) a la ciudad de Cartagena (Bolívar) y que afecta en la actualidad a la Ciénaga de La Virgen (Bolívar).”</w:t>
      </w:r>
    </w:p>
    <w:p w14:paraId="441E3B9D" w14:textId="77777777" w:rsidR="00413A96" w:rsidRDefault="00413A96" w:rsidP="00413A96"/>
    <w:p w14:paraId="56E1DDBC" w14:textId="77777777" w:rsidR="00413A96" w:rsidRDefault="00413A96" w:rsidP="00413A96">
      <w:r>
        <w:t>ARTÍCULO 254. Región Administrativa de Planeación para la Amazonía. La autoridad competente podrá crear una Región Administrativa de Planeación (RAP) para la Amazonía, de acuerdo con la Ley 1454 de 2011.</w:t>
      </w:r>
    </w:p>
    <w:p w14:paraId="32045E1F" w14:textId="77777777" w:rsidR="00413A96" w:rsidRDefault="00413A96" w:rsidP="00413A96"/>
    <w:p w14:paraId="6C9BA985" w14:textId="77777777" w:rsidR="00413A96" w:rsidRDefault="00413A96" w:rsidP="00413A96">
      <w:r>
        <w:t>El Gobierno Nacional deberá crear una instancia de coordinación intersectorial, para garantizar un modelo de desarrollo sostenible que promueva y garantice pactos territoriales participativos para el desarrollo humano y ambientalmente sostenible.</w:t>
      </w:r>
    </w:p>
    <w:p w14:paraId="2AC3407D" w14:textId="77777777" w:rsidR="00413A96" w:rsidRDefault="00413A96" w:rsidP="00413A96"/>
    <w:p w14:paraId="1F8DC7EA" w14:textId="77777777" w:rsidR="00413A96" w:rsidRDefault="00413A96" w:rsidP="00413A96">
      <w:r>
        <w:t>En esta instancia, se generarán agendas sectoriales con el propósito de fortalecer cadenas de valor competitivas y sostenibles que permitan construir mecanismos y alternativas para un uso adecuado y responsable del medio ambiente y de los recursos naturales, para proteger la biodiversidad y los conocimientos tradicionales de las comunidades indígenas de la Amazonía.</w:t>
      </w:r>
    </w:p>
    <w:p w14:paraId="1D3B20F2" w14:textId="77777777" w:rsidR="00413A96" w:rsidRDefault="00413A96" w:rsidP="00413A96"/>
    <w:p w14:paraId="006B9B97" w14:textId="77777777" w:rsidR="00413A96" w:rsidRDefault="00413A96" w:rsidP="00413A96">
      <w:r>
        <w:t>ARTÍCULO 255. Compensación a territorios colectivos de comunidades negras. Con cargo al Presupuesto General de la Nación, a partir de la vigencia fiscal de 2017, el Ministerio de Hacienda y Crédito Público girará anualmente a los municipios en donde existan territorios colectivos de comunidades negras al momento de entrar en vigencia la presente ley, las cantidades que equivalgan a lo que tales municipios dejen de recaudar por concepto del impuesto predial unificado, según certificación del respectivo tesorero municipal. Para efectos de dar cumplimiento a lo aquí dispuesto, la tarifa aplicable para los territorios colectivos de comunidades negras será la resultante del promedio ponderado de las tarifas definidas para los demás predios del respectivo municipio o distrito, según la metodología expedida por el Instituto Geográfico Agustín Codazzi (IGAC). El Gobierno Nacional definirá el esquema mediante el cual se iniciarán progresivamente los giros a las entidades territoriales previo estudio de las condiciones financieras y de entorno de desarrollo de cada</w:t>
      </w:r>
    </w:p>
    <w:p w14:paraId="3B3CA1C2" w14:textId="77777777" w:rsidR="00413A96" w:rsidRDefault="00413A96" w:rsidP="00413A96">
      <w:r>
        <w:t xml:space="preserve"> </w:t>
      </w:r>
    </w:p>
    <w:p w14:paraId="20166845" w14:textId="77777777" w:rsidR="00413A96" w:rsidRDefault="00413A96" w:rsidP="00413A96">
      <w:r>
        <w:t>municipio.</w:t>
      </w:r>
    </w:p>
    <w:p w14:paraId="16AAE760" w14:textId="77777777" w:rsidR="00413A96" w:rsidRDefault="00413A96" w:rsidP="00413A96"/>
    <w:p w14:paraId="357B0C37" w14:textId="77777777" w:rsidR="00413A96" w:rsidRDefault="00413A96" w:rsidP="00413A96">
      <w:r>
        <w:t>ARTÍCULO 256. Transparencia de la democracia. El Gobierno Nacional procurará los recursos necesarios para garantizar la transparencia en la democracia de la que son responsables los partidos políticos.</w:t>
      </w:r>
    </w:p>
    <w:p w14:paraId="4C90789D" w14:textId="77777777" w:rsidR="00413A96" w:rsidRDefault="00413A96" w:rsidP="00413A96"/>
    <w:p w14:paraId="5D7008AF" w14:textId="77777777" w:rsidR="00413A96" w:rsidRDefault="00413A96" w:rsidP="00413A96">
      <w:r>
        <w:t>ARTÍCULO 257. Bicentenario de la Independencia Nacional. Créese una comisión de expertos para la Conmemoración del Bicentenario de la Independencia Nacional que se encargará de definir las actividades para la conmemoración y celebración del Bicentenario de la Independencia que se realizará el 7 de agosto de 2019.</w:t>
      </w:r>
    </w:p>
    <w:p w14:paraId="2E09FFC3" w14:textId="77777777" w:rsidR="00413A96" w:rsidRDefault="00413A96" w:rsidP="00413A96"/>
    <w:p w14:paraId="50A59BAE" w14:textId="77777777" w:rsidR="00413A96" w:rsidRDefault="00413A96" w:rsidP="00413A96">
      <w:r>
        <w:t>Los miembros de esta Comisión serán definidos por el Gobierno Nacional y actuarán ad honorem.</w:t>
      </w:r>
    </w:p>
    <w:p w14:paraId="7C5232C1" w14:textId="77777777" w:rsidR="00413A96" w:rsidRDefault="00413A96" w:rsidP="00413A96"/>
    <w:p w14:paraId="7872206E" w14:textId="77777777" w:rsidR="00413A96" w:rsidRDefault="00413A96" w:rsidP="00413A96">
      <w:r>
        <w:t xml:space="preserve">PARÁGRAFO. El Instituto Colombiano de Antropología e Historia (ICANH), con el acompañamiento de la Asociación Colombiana de Historiadores y la Academia Colombiana de Historia, determinarán los municipios </w:t>
      </w:r>
      <w:r>
        <w:lastRenderedPageBreak/>
        <w:t>que conformarán la ruta libertadora, para efectos de la conmemoración de que trata este artículo.</w:t>
      </w:r>
    </w:p>
    <w:p w14:paraId="4D5301CA" w14:textId="77777777" w:rsidR="00413A96" w:rsidRDefault="00413A96" w:rsidP="00413A96"/>
    <w:p w14:paraId="04787688" w14:textId="77777777" w:rsidR="00413A96" w:rsidRDefault="00413A96" w:rsidP="00413A96">
      <w:r>
        <w:t>ARTÍCULO 258. Transferencia de zonas francas de frontera a entidades territoriales. Con el propósito de incentivar el desarrollo industrial, el Ministerio de Comercio Industria y Turismo podrá transferir las zonas francas localizadas en municipios de frontera a los entes territoriales donde ellas se ubican.</w:t>
      </w:r>
    </w:p>
    <w:p w14:paraId="1C67F236" w14:textId="77777777" w:rsidR="00413A96" w:rsidRDefault="00413A96" w:rsidP="00413A96"/>
    <w:p w14:paraId="5AC3BAF0" w14:textId="77777777" w:rsidR="00413A96" w:rsidRDefault="00413A96" w:rsidP="00413A96">
      <w:r>
        <w:t>ARTÍCULO 259. Del giro directo en régimen contributivo. El Fondo de Solidaridad y Garantías FOSYGA o quien haga sus veces girará directamente los recursos del régimen contributivo correspondiente a las Unidades de Pago por Capitación ­UPC destinadas a la prestación de servicios de salud a todas las instituciones y entidades que prestan servicios y que provean tecnologías incluidas en el plan de beneficios, de conformidad con los porcentajes y las condiciones que defina el Ministerio de Salud y Protección Social.</w:t>
      </w:r>
    </w:p>
    <w:p w14:paraId="21E7614E" w14:textId="77777777" w:rsidR="00413A96" w:rsidRDefault="00413A96" w:rsidP="00413A96"/>
    <w:p w14:paraId="448CB830" w14:textId="77777777" w:rsidR="00413A96" w:rsidRDefault="00413A96" w:rsidP="00413A96">
      <w:r>
        <w:t>El mecanismo de giro directo de que trata el presente artículo solo se aplicará a las Entidades Promotoras de Salud del Régimen Contributivo que no cumplan las metas del régimen de solvencia, conforme a la normatividad vigente y de acuerdo con la evaluación que para el efecto publique la Superintendencia Nacional de Salud.</w:t>
      </w:r>
    </w:p>
    <w:p w14:paraId="6582F4E2" w14:textId="77777777" w:rsidR="00413A96" w:rsidRDefault="00413A96" w:rsidP="00413A96"/>
    <w:p w14:paraId="6BF96E12" w14:textId="77777777" w:rsidR="00413A96" w:rsidRDefault="00413A96" w:rsidP="00413A96">
      <w:r>
        <w:t>PARÁGRAFO. Este mecanismo también operará para el giro directo de los recursos del régimen contributivo por servicios y tecnologías de salud no incluidos en el plan de beneficios, según lo dispuesto en el presente artículo.</w:t>
      </w:r>
    </w:p>
    <w:p w14:paraId="5B009EED" w14:textId="77777777" w:rsidR="00413A96" w:rsidRDefault="00413A96" w:rsidP="00413A96"/>
    <w:p w14:paraId="41DDC3A3" w14:textId="77777777" w:rsidR="00413A96" w:rsidRDefault="00413A96" w:rsidP="00413A96">
      <w:r>
        <w:t>ARTÍCULO 260. Política pública de inclusión social y productiva. El Gobierno Nacional diseñará y pondrá en marcha la política pública de inclusión social y productiva para orientar la ejecución y articulación de los planes, proyectos y programas encaminados a la superación de la pobreza y la estabilización socioeconómica de la población vulnerable, generando procesos de movilidad social que garanticen la sostenibilidad de los procesos y mejoren la eficiencia en el uso de los recursos públicos.</w:t>
      </w:r>
    </w:p>
    <w:p w14:paraId="73A72060" w14:textId="77777777" w:rsidR="00413A96" w:rsidRDefault="00413A96" w:rsidP="00413A96"/>
    <w:p w14:paraId="6D91ECBF" w14:textId="77777777" w:rsidR="00413A96" w:rsidRDefault="00413A96" w:rsidP="00413A96">
      <w:r>
        <w:t>ARTÍCULO 261. Depuración contable. Modifíquese el artículo 59 de la Ley 1739 de 2014. Depuración contable. La Unidad Administrativa Especial – Dirección de Impuestos y Aduanas Nacionales – DIAN, adelantará, en un plazo máximo de cuatro (4) años contados a partir de la vigencia de la presente ley, las gestiones administrativas necesarias para depurar la información contable, de manera que en los estados financieros se revele en forma fidedigna la realidad económica, financiera y patrimonial de la entidad.</w:t>
      </w:r>
    </w:p>
    <w:p w14:paraId="12344E8E" w14:textId="77777777" w:rsidR="00413A96" w:rsidRDefault="00413A96" w:rsidP="00413A96"/>
    <w:p w14:paraId="7BB6581A" w14:textId="77777777" w:rsidR="00413A96" w:rsidRDefault="00413A96" w:rsidP="00413A96">
      <w:r>
        <w:t>Para el efecto, deberá establecerse la existencia real de bienes, derechos y obligaciones, que afectan su patrimonio depurando y castigando los valores que presentan un estado de cobranza o pago</w:t>
      </w:r>
    </w:p>
    <w:p w14:paraId="1D5ED855" w14:textId="77777777" w:rsidR="00413A96" w:rsidRDefault="00413A96" w:rsidP="00413A96">
      <w:r>
        <w:t xml:space="preserve"> </w:t>
      </w:r>
    </w:p>
    <w:p w14:paraId="5A9DE428" w14:textId="77777777" w:rsidR="00413A96" w:rsidRDefault="00413A96" w:rsidP="00413A96">
      <w:r>
        <w:t>incierto, para proceder, si fuera el caso a su eliminación o incorporación de conformidad con los lineamientos de la presente ley.</w:t>
      </w:r>
    </w:p>
    <w:p w14:paraId="7646C3F8" w14:textId="77777777" w:rsidR="00413A96" w:rsidRDefault="00413A96" w:rsidP="00413A96"/>
    <w:p w14:paraId="13D90173" w14:textId="77777777" w:rsidR="00413A96" w:rsidRDefault="00413A96" w:rsidP="00413A96">
      <w:r>
        <w:t>Para tal efecto la entidad depurará los valores contables, cuando corresponda a alguna de las siguientes condiciones:</w:t>
      </w:r>
    </w:p>
    <w:p w14:paraId="0719521A" w14:textId="77777777" w:rsidR="00413A96" w:rsidRDefault="00413A96" w:rsidP="00413A96"/>
    <w:p w14:paraId="716F6132" w14:textId="77777777" w:rsidR="00413A96" w:rsidRDefault="00413A96" w:rsidP="00413A96">
      <w:r>
        <w:t>a.</w:t>
      </w:r>
      <w:r>
        <w:tab/>
        <w:t>Los valores que afectan la situación patrimonial y no representan derechos, bienes u obligaciones ciertos para la entidad.</w:t>
      </w:r>
    </w:p>
    <w:p w14:paraId="58F0AC61" w14:textId="77777777" w:rsidR="00413A96" w:rsidRDefault="00413A96" w:rsidP="00413A96"/>
    <w:p w14:paraId="2411F0C3" w14:textId="77777777" w:rsidR="00413A96" w:rsidRDefault="00413A96" w:rsidP="00413A96">
      <w:r>
        <w:t>b.</w:t>
      </w:r>
      <w:r>
        <w:tab/>
        <w:t>Los derechos u obligaciones que no obstante su existencia no es posible ejercerlos por jurisdicción coactiva.</w:t>
      </w:r>
    </w:p>
    <w:p w14:paraId="5F4E356A" w14:textId="77777777" w:rsidR="00413A96" w:rsidRDefault="00413A96" w:rsidP="00413A96"/>
    <w:p w14:paraId="566415C6" w14:textId="77777777" w:rsidR="00413A96" w:rsidRDefault="00413A96" w:rsidP="00413A96">
      <w:r>
        <w:t>c.</w:t>
      </w:r>
      <w:r>
        <w:tab/>
        <w:t>Que correspondan a derechos u obligaciones con una antigüedad tal que no es posible ejercer su exigibilidad, por cuanto operan los fenómenos de prescripción.</w:t>
      </w:r>
    </w:p>
    <w:p w14:paraId="58A426D8" w14:textId="77777777" w:rsidR="00413A96" w:rsidRDefault="00413A96" w:rsidP="00413A96"/>
    <w:p w14:paraId="2C73051C" w14:textId="77777777" w:rsidR="00413A96" w:rsidRDefault="00413A96" w:rsidP="00413A96">
      <w:r>
        <w:t>d.</w:t>
      </w:r>
      <w:r>
        <w:tab/>
        <w:t>Los derechos u obligaciones que carecen de documentos soporte idóneo que permitan adelantar los procedimientos pertinentes para su cobro o pago.</w:t>
      </w:r>
    </w:p>
    <w:p w14:paraId="5397D870" w14:textId="77777777" w:rsidR="00413A96" w:rsidRDefault="00413A96" w:rsidP="00413A96"/>
    <w:p w14:paraId="035735A8" w14:textId="77777777" w:rsidR="00413A96" w:rsidRDefault="00413A96" w:rsidP="00413A96">
      <w:r>
        <w:t>e.</w:t>
      </w:r>
      <w:r>
        <w:tab/>
        <w:t>Cuando no haya sido posible legalmente imputarle a persona alguna el valor por pérdida de los bienes o derechos.</w:t>
      </w:r>
    </w:p>
    <w:p w14:paraId="43B20FE6" w14:textId="77777777" w:rsidR="00413A96" w:rsidRDefault="00413A96" w:rsidP="00413A96"/>
    <w:p w14:paraId="2118C84B" w14:textId="77777777" w:rsidR="00413A96" w:rsidRDefault="00413A96" w:rsidP="00413A96">
      <w:r>
        <w:t>f.</w:t>
      </w:r>
      <w:r>
        <w:tab/>
        <w:t xml:space="preserve">Cuando evaluada y establecida la relación costo beneficio resulte más oneroso adelantar el proceso de </w:t>
      </w:r>
      <w:r>
        <w:lastRenderedPageBreak/>
        <w:t>que se trate.</w:t>
      </w:r>
    </w:p>
    <w:p w14:paraId="4EC8A1A3" w14:textId="77777777" w:rsidR="00413A96" w:rsidRDefault="00413A96" w:rsidP="00413A96"/>
    <w:p w14:paraId="01EDD37E" w14:textId="77777777" w:rsidR="00413A96" w:rsidRDefault="00413A96" w:rsidP="00413A96">
      <w:r>
        <w:t>ARTÍCULO 262. Cesión de permisos de uso del espacio radioeléctrico. La cesión de los permisos de uso del espectro radioeléctrico no generará contraprestación alguna a favor de la Nación. El negocio jurídico que, para este propósito, se celebre entre cedente y cesionario se sujetará al derecho privado, y a la aprobación del Ministerio de las TIC.</w:t>
      </w:r>
    </w:p>
    <w:p w14:paraId="1BD7441F" w14:textId="77777777" w:rsidR="00413A96" w:rsidRDefault="00413A96" w:rsidP="00413A96"/>
    <w:p w14:paraId="2C5D0759" w14:textId="77777777" w:rsidR="00413A96" w:rsidRDefault="00413A96" w:rsidP="00413A96">
      <w:r>
        <w:t>ARTÍCULO 263. Fortalecimiento en seguridad de carreteras. Para mejorar las condiciones de seguridad en pasos nacionales, las entidades territoriales podrán destinar recursos percibidos por conceptos de multas y sanciones de infracciones de tránsito, de conformidad con el artículo 160 de la Ley 769 de 2002, a través de convenios con la Agencia Nacional de Seguridad Vial, para realizar acciones e inversiones en el mejoramiento de la seguridad de estos, que podrá extenderse a la vigilancia y control mediante la inclusión de recursos tecnológicos y de iluminación, que puede ser con el uso de energías alternativas, todo lo cual será reglamentado por el Ministerio de Transporte.</w:t>
      </w:r>
    </w:p>
    <w:p w14:paraId="07EFA0A6" w14:textId="77777777" w:rsidR="00413A96" w:rsidRDefault="00413A96" w:rsidP="00413A96"/>
    <w:p w14:paraId="0EF2C671" w14:textId="77777777" w:rsidR="00413A96" w:rsidRDefault="00413A96" w:rsidP="00413A96">
      <w:r>
        <w:t>ARTÍCULO 264. Transparencia de la democracia. El Gobierno Nacional procurará los recursos necesarios para garantizar la transparencia en la democracia de la que son responsables los partidos políticos.</w:t>
      </w:r>
    </w:p>
    <w:p w14:paraId="12B39121" w14:textId="77777777" w:rsidR="00413A96" w:rsidRDefault="00413A96" w:rsidP="00413A96"/>
    <w:p w14:paraId="0DD35BAF" w14:textId="77777777" w:rsidR="00413A96" w:rsidRDefault="00413A96" w:rsidP="00413A96">
      <w:r>
        <w:t>De conformidad con el artículo 265 de la Constitución Política, el Consejo Nacional Electoral, de manera exclusiva y excluyente, tendrá la inspección y vigilancia de los partidos y movimientos políticos con personería jurídica y grupos significativos de ciudadanos.</w:t>
      </w:r>
    </w:p>
    <w:p w14:paraId="00710100" w14:textId="77777777" w:rsidR="00413A96" w:rsidRDefault="00413A96" w:rsidP="00413A96"/>
    <w:p w14:paraId="0A4007DD" w14:textId="77777777" w:rsidR="00413A96" w:rsidRDefault="00413A96" w:rsidP="00413A96">
      <w:r>
        <w:t>ARTÍCULO 265. Modificación de licencias urbanísticas. El otorgamiento de la licencia urbanística implica la adquisición de derechos de desarrollo y construcción en los términos y condiciones contenidos en el acto administrativo respectivo, así como la certificación del cumplimiento de las normas y demás reglamentaciones en que se fundamenta, y conlleva la autorización específica sobre uso y aprovechamiento del suelo en tanto esté vigente o cuando se haya cumplido con todas las obligaciones establecidas en la misma.</w:t>
      </w:r>
    </w:p>
    <w:p w14:paraId="557A58DD" w14:textId="77777777" w:rsidR="00413A96" w:rsidRDefault="00413A96" w:rsidP="00413A96"/>
    <w:p w14:paraId="51B008BD" w14:textId="77777777" w:rsidR="00413A96" w:rsidRDefault="00413A96" w:rsidP="00413A96">
      <w:r>
        <w:t>Las modificaciones de licencias vigentes se resolverán con fundamento en las normas urbanísticas y demás reglamentaciones que sirvieron de base para su expedición. En los casos en que un Plan de Ordenamiento Territorial u otros actos administrativos que lo desarrollen y complementen sean</w:t>
      </w:r>
    </w:p>
    <w:p w14:paraId="694C12C6" w14:textId="77777777" w:rsidR="00413A96" w:rsidRDefault="00413A96" w:rsidP="00413A96">
      <w:r>
        <w:t xml:space="preserve"> </w:t>
      </w:r>
    </w:p>
    <w:p w14:paraId="26792726" w14:textId="77777777" w:rsidR="00413A96" w:rsidRDefault="00413A96" w:rsidP="00413A96">
      <w:r>
        <w:t>suspendidos provisionalmente por la jurisdicción de lo Contencioso Administrativo; los curadores urbanos o la autoridad municipal o distrital competente, resolverán las solicitudes de modificación de licencias urbanísticas, con fundamento en dichas normas, siempre y cuando la solicitud se realice a partir de la entrada en vigencia de la presente ley, la licencia de urbanización y/o construcción no haya perdido vigencia y además la providencia de suspensión no se hubiere incluido disposición en contrario.</w:t>
      </w:r>
    </w:p>
    <w:p w14:paraId="10DFA1E4" w14:textId="77777777" w:rsidR="00413A96" w:rsidRDefault="00413A96" w:rsidP="00413A96"/>
    <w:p w14:paraId="6E526D6F" w14:textId="77777777" w:rsidR="00413A96" w:rsidRDefault="00413A96" w:rsidP="00413A96">
      <w:r>
        <w:t>ARTÍCULO 266. Inversiones programa de saneamiento del Río Bogotá. Para el caso de la Corporación Autónoma Regional de Cundinamarca ­ CAR, el 50% de los recursos que, conforme a lo señalado por el artículo 44 de la Ley 99 de 1993, sean producto del recaudo del porcentaje o de la sobretasa ambiental al impuesto predial y de otros gravámenes sobre la propiedad inmueble de Bogotá, D. C., incluidos sus intereses y sanciones, se destinarán para la financiación de los proyectos de adecuación hidráulica, ampliación, construcción y optimización de plantas de tratamiento de aguas residuales u otros proyectos de saneamiento ambiental a desarrollar en cualquiera de las cuencas integrantes del río Bogotá, en jurisdicción de la Car Cundinamarca.</w:t>
      </w:r>
    </w:p>
    <w:p w14:paraId="6B3D31B5" w14:textId="77777777" w:rsidR="00413A96" w:rsidRDefault="00413A96" w:rsidP="00413A96"/>
    <w:p w14:paraId="25A8ECA9" w14:textId="77777777" w:rsidR="00413A96" w:rsidRDefault="00413A96" w:rsidP="00413A96">
      <w:r>
        <w:t>ARTÍCULO 267. Vigencias y derogatorias. La presente ley rige a partir de su publicación y deroga todas las disposiciones que le sean contrarias.</w:t>
      </w:r>
    </w:p>
    <w:p w14:paraId="5C8BC544" w14:textId="77777777" w:rsidR="00413A96" w:rsidRDefault="00413A96" w:rsidP="00413A96"/>
    <w:p w14:paraId="791BB28B" w14:textId="77777777" w:rsidR="00413A96" w:rsidRDefault="00413A96" w:rsidP="00413A96">
      <w:r>
        <w:t>Se deroga expresamente el artículo 121 de la Ley 812 de 2003; los artículos 21, 120 y 121 de</w:t>
      </w:r>
    </w:p>
    <w:p w14:paraId="369D6D77" w14:textId="77777777" w:rsidR="00413A96" w:rsidRDefault="00413A96" w:rsidP="00413A96">
      <w:r>
        <w:t>la Ley 1151 de 2007; los artículos 9°, 17, 31, 53, 54, 55, 58, 65, 66, 67, 68, 70, 71, 72, 76, 77, 79, 80,</w:t>
      </w:r>
    </w:p>
    <w:p w14:paraId="507D4885" w14:textId="77777777" w:rsidR="00413A96" w:rsidRDefault="00413A96" w:rsidP="00413A96">
      <w:r>
        <w:t>81, 82, 83, 89, 93, 94, 95, 97, 109, 117, 119, 124, 128, 129, 150, 167, 172, 176, 182, 185, 186, 189,</w:t>
      </w:r>
    </w:p>
    <w:p w14:paraId="7153EB6F" w14:textId="77777777" w:rsidR="00413A96" w:rsidRDefault="00413A96" w:rsidP="00413A96">
      <w:r>
        <w:t>199, 202, 205, 209, 217, 225, 226, el parágrafo del artículo 91, y parágrafos 1° y 2° del artículo 261 de</w:t>
      </w:r>
    </w:p>
    <w:p w14:paraId="3B7BE85A" w14:textId="77777777" w:rsidR="00413A96" w:rsidRDefault="00413A96" w:rsidP="00413A96">
      <w:r>
        <w:t>la Ley 1450 de 2011.</w:t>
      </w:r>
    </w:p>
    <w:p w14:paraId="1B8D953F" w14:textId="77777777" w:rsidR="00413A96" w:rsidRDefault="00413A96" w:rsidP="00413A96"/>
    <w:p w14:paraId="21A34F7B" w14:textId="77777777" w:rsidR="00413A96" w:rsidRDefault="00413A96" w:rsidP="00413A96">
      <w:r>
        <w:t xml:space="preserve">Con el fin de dar continuidad a los planes, programas y proyectos de mediano y largo plazo, los artículos de las Leyes 812 de 2003, 1151 de 2007 y 1450 de 2011 no derogados expresamente en el inciso anterior o por </w:t>
      </w:r>
      <w:r>
        <w:lastRenderedPageBreak/>
        <w:t>otras leyes continuarán vigentes hasta que sean derogados o modificados por norma posterior.</w:t>
      </w:r>
    </w:p>
    <w:p w14:paraId="112CE100" w14:textId="77777777" w:rsidR="00413A96" w:rsidRDefault="00413A96" w:rsidP="00413A96"/>
    <w:p w14:paraId="01C08323" w14:textId="77777777" w:rsidR="00413A96" w:rsidRDefault="00413A96" w:rsidP="00413A96">
      <w:r>
        <w:t>Se deroga en especial el parágrafo del artículo 88 de la Ley 99 de 1993; el numeral 6 del artículo 2° de la Ley 310 de 1996; el inciso 7° del artículo 13 de la Ley 335 de 1996; el numeral 5 del artículo 2° de la Ley 549 de 1999; el artículo 85 de la Ley 617 de 2000; el parágrafo del artículo 13 del Decreto ley 254 de 2000; literales a) y c) del parágrafo 1° del artículo 2° de la Ley 680 de 2001; los parágrafos 1° y 2° del artículo 17 de la Ley 769 de 2002; los artículos 18 de la Ley 1122 de 2007; el</w:t>
      </w:r>
    </w:p>
    <w:p w14:paraId="517389CA" w14:textId="77777777" w:rsidR="00413A96" w:rsidRDefault="00413A96" w:rsidP="00413A96">
      <w:r>
        <w:t>inciso 1° del artículo 58 de la Ley 1341 de 2009; el artículo 82 de la Ley 1306 de 2009; el numeral 16­ 7 del artículo 16, el parágrafo transitorio del artículo 112 de la Ley 1438 de 2011; el artículo 1° del Decreto ley 4185 de 2011; el artículo 178 del Decreto ley 019 de 2012; el numeral 2 del artículo 9° y el</w:t>
      </w:r>
    </w:p>
    <w:p w14:paraId="5879ED70" w14:textId="77777777" w:rsidR="00413A96" w:rsidRDefault="00413A96" w:rsidP="00413A96">
      <w:r>
        <w:t>numeral 1° del artículo 10 de la Ley 1530 de 2012; los artículos 1°, 2°, 3° y 4° de la Ley 1547 de 2012 y el artículo 10 de la Ley 1709 de 2014.</w:t>
      </w:r>
    </w:p>
    <w:p w14:paraId="5896D779" w14:textId="77777777" w:rsidR="00413A96" w:rsidRDefault="00413A96" w:rsidP="00413A96"/>
    <w:p w14:paraId="2DD52B7A" w14:textId="77777777" w:rsidR="00413A96" w:rsidRDefault="00413A96" w:rsidP="00413A96">
      <w:r>
        <w:t>EL PRESIDENTE DEL HONORABLE SENADO DE LA REPÚBLICA, JOSÉ DAVID NAME CARDOZO.</w:t>
      </w:r>
    </w:p>
    <w:p w14:paraId="65F1BE16" w14:textId="77777777" w:rsidR="00413A96" w:rsidRDefault="00413A96" w:rsidP="00413A96">
      <w:r>
        <w:t>EL SECRETARIO GENERAL DEL HONORABLE SENADO DE LA REPÚBLICA, GREGORIO ELJACH PACHECO.</w:t>
      </w:r>
    </w:p>
    <w:p w14:paraId="061638DF" w14:textId="77777777" w:rsidR="00413A96" w:rsidRDefault="00413A96" w:rsidP="00413A96">
      <w:r>
        <w:t>EL PRESIDENTE DE LA HONORABLE CÁMARA DE REPRESENTANTES, FABIO RAÚL AMÍN SALEME.</w:t>
      </w:r>
    </w:p>
    <w:p w14:paraId="1D90858D" w14:textId="77777777" w:rsidR="00413A96" w:rsidRDefault="00413A96" w:rsidP="00413A96">
      <w:r>
        <w:t>EL SECRETARIO GENERAL DE LA HONORABLE CÁMARA DE REPRESENTANTES,</w:t>
      </w:r>
    </w:p>
    <w:p w14:paraId="4C603116" w14:textId="77777777" w:rsidR="00413A96" w:rsidRDefault="00413A96" w:rsidP="00413A96">
      <w:r>
        <w:t xml:space="preserve"> </w:t>
      </w:r>
    </w:p>
    <w:p w14:paraId="2148020B" w14:textId="77777777" w:rsidR="00413A96" w:rsidRDefault="00413A96" w:rsidP="00413A96">
      <w:r>
        <w:t>JORGE HUMBERTO MANTILLA SERRANO. REPÚBLICA DE COLOMBIA – GOBIERNO NACIONAL PUBLÍQUESE Y EJECÚTESE.</w:t>
      </w:r>
    </w:p>
    <w:p w14:paraId="62832CCC" w14:textId="77777777" w:rsidR="00413A96" w:rsidRDefault="00413A96" w:rsidP="00413A96">
      <w:r>
        <w:t>Dada en Bogotá, D. C., a los 9 días del mes de junio del año 2015.</w:t>
      </w:r>
    </w:p>
    <w:p w14:paraId="5D5A6EEA" w14:textId="77777777" w:rsidR="00413A96" w:rsidRDefault="00413A96" w:rsidP="00413A96"/>
    <w:p w14:paraId="715DFAEB" w14:textId="77777777" w:rsidR="00413A96" w:rsidRDefault="00413A96" w:rsidP="00413A96">
      <w:r>
        <w:t>JUAN MANUEL SANTOS CALDERÓN</w:t>
      </w:r>
    </w:p>
    <w:p w14:paraId="3D700980" w14:textId="77777777" w:rsidR="00413A96" w:rsidRDefault="00413A96" w:rsidP="00413A96"/>
    <w:p w14:paraId="0E293E5B" w14:textId="77777777" w:rsidR="00413A96" w:rsidRDefault="00413A96" w:rsidP="00413A96">
      <w:r>
        <w:t>EL MINISTRO DE HACIENDA Y CRÉDITO PÚBLICO, MAURICIO CÁRDENAS SANTAMARÍA.</w:t>
      </w:r>
    </w:p>
    <w:p w14:paraId="5F49EE24" w14:textId="77777777" w:rsidR="00413A96" w:rsidRDefault="00413A96" w:rsidP="00413A96">
      <w:r>
        <w:t>EL DIRECTOR DEL DEPARTAMENTO NACIONAL DE PLANEACIÓN, SIMÓN GAVIRIA MUÑOZ.</w:t>
      </w:r>
    </w:p>
    <w:p w14:paraId="3241C70D" w14:textId="77777777" w:rsidR="00413A96" w:rsidRDefault="00413A96" w:rsidP="00413A96">
      <w:r>
        <w:t>NOTA: Publicado en el Diario Oficial. N. 49538 de 9 de junio de 2015.</w:t>
      </w:r>
    </w:p>
    <w:p w14:paraId="207E0DC0" w14:textId="77777777" w:rsidR="00413A96" w:rsidRDefault="00413A96" w:rsidP="00413A96"/>
    <w:p w14:paraId="1EE231EE" w14:textId="77777777" w:rsidR="00413A96" w:rsidRDefault="00413A96" w:rsidP="00413A96"/>
    <w:p w14:paraId="66A22D42" w14:textId="77777777" w:rsidR="00413A96" w:rsidRDefault="00413A96" w:rsidP="00413A96">
      <w:r>
        <w:t xml:space="preserve"> </w:t>
      </w:r>
    </w:p>
    <w:p w14:paraId="76AF26D9" w14:textId="77777777" w:rsidR="00413A96" w:rsidRDefault="00413A96" w:rsidP="00413A96"/>
    <w:p w14:paraId="387245EC" w14:textId="77777777" w:rsidR="00413A96" w:rsidRDefault="00413A96" w:rsidP="00413A96"/>
    <w:p w14:paraId="12F14894" w14:textId="77777777" w:rsidR="00413A96" w:rsidRDefault="00413A96" w:rsidP="00413A96"/>
    <w:p w14:paraId="4D7A0113" w14:textId="77777777" w:rsidR="00413A96" w:rsidRDefault="00413A96" w:rsidP="00413A96"/>
    <w:p w14:paraId="5C880F4A" w14:textId="77777777" w:rsidR="00413A96" w:rsidRDefault="00413A96" w:rsidP="00413A96"/>
    <w:p w14:paraId="57D88F7C" w14:textId="6ABF7E78" w:rsidR="008B507F" w:rsidRPr="00413A96" w:rsidRDefault="00413A96" w:rsidP="00413A96">
      <w:r>
        <w:t xml:space="preserve">  Comentar   Anexos</w:t>
      </w:r>
    </w:p>
    <w:sectPr w:rsidR="008B507F" w:rsidRPr="00413A96">
      <w:headerReference w:type="default" r:id="rId7"/>
      <w:footerReference w:type="default" r:id="rId8"/>
      <w:pgSz w:w="12240" w:h="15840"/>
      <w:pgMar w:top="480" w:right="620" w:bottom="480" w:left="760" w:header="274" w:footer="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6717D" w14:textId="77777777" w:rsidR="004B5E69" w:rsidRDefault="004B5E69">
      <w:r>
        <w:separator/>
      </w:r>
    </w:p>
  </w:endnote>
  <w:endnote w:type="continuationSeparator" w:id="0">
    <w:p w14:paraId="1D50CED3" w14:textId="77777777" w:rsidR="004B5E69" w:rsidRDefault="004B5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A4019" w14:textId="0FF3569D" w:rsidR="008B507F" w:rsidRDefault="008B507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71A42" w14:textId="77777777" w:rsidR="004B5E69" w:rsidRDefault="004B5E69">
      <w:r>
        <w:separator/>
      </w:r>
    </w:p>
  </w:footnote>
  <w:footnote w:type="continuationSeparator" w:id="0">
    <w:p w14:paraId="2F307F62" w14:textId="77777777" w:rsidR="004B5E69" w:rsidRDefault="004B5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5CE29" w14:textId="31CAA4B9" w:rsidR="008B507F" w:rsidRDefault="008B507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2CA"/>
    <w:multiLevelType w:val="hybridMultilevel"/>
    <w:tmpl w:val="CA50DFC6"/>
    <w:lvl w:ilvl="0" w:tplc="30103F4A">
      <w:start w:val="1"/>
      <w:numFmt w:val="lowerLetter"/>
      <w:lvlText w:val="%1)"/>
      <w:lvlJc w:val="left"/>
      <w:pPr>
        <w:ind w:left="112" w:hanging="305"/>
        <w:jc w:val="left"/>
      </w:pPr>
      <w:rPr>
        <w:rFonts w:ascii="Arial" w:eastAsia="Arial" w:hAnsi="Arial" w:cs="Arial" w:hint="default"/>
        <w:b/>
        <w:bCs/>
        <w:i w:val="0"/>
        <w:iCs w:val="0"/>
        <w:w w:val="101"/>
        <w:sz w:val="23"/>
        <w:szCs w:val="23"/>
        <w:lang w:val="es-ES" w:eastAsia="en-US" w:bidi="ar-SA"/>
      </w:rPr>
    </w:lvl>
    <w:lvl w:ilvl="1" w:tplc="5FD4C27E">
      <w:numFmt w:val="bullet"/>
      <w:lvlText w:val="•"/>
      <w:lvlJc w:val="left"/>
      <w:pPr>
        <w:ind w:left="1194" w:hanging="305"/>
      </w:pPr>
      <w:rPr>
        <w:rFonts w:hint="default"/>
        <w:lang w:val="es-ES" w:eastAsia="en-US" w:bidi="ar-SA"/>
      </w:rPr>
    </w:lvl>
    <w:lvl w:ilvl="2" w:tplc="EE421FD0">
      <w:numFmt w:val="bullet"/>
      <w:lvlText w:val="•"/>
      <w:lvlJc w:val="left"/>
      <w:pPr>
        <w:ind w:left="2268" w:hanging="305"/>
      </w:pPr>
      <w:rPr>
        <w:rFonts w:hint="default"/>
        <w:lang w:val="es-ES" w:eastAsia="en-US" w:bidi="ar-SA"/>
      </w:rPr>
    </w:lvl>
    <w:lvl w:ilvl="3" w:tplc="C0447D84">
      <w:numFmt w:val="bullet"/>
      <w:lvlText w:val="•"/>
      <w:lvlJc w:val="left"/>
      <w:pPr>
        <w:ind w:left="3342" w:hanging="305"/>
      </w:pPr>
      <w:rPr>
        <w:rFonts w:hint="default"/>
        <w:lang w:val="es-ES" w:eastAsia="en-US" w:bidi="ar-SA"/>
      </w:rPr>
    </w:lvl>
    <w:lvl w:ilvl="4" w:tplc="C4B4A190">
      <w:numFmt w:val="bullet"/>
      <w:lvlText w:val="•"/>
      <w:lvlJc w:val="left"/>
      <w:pPr>
        <w:ind w:left="4416" w:hanging="305"/>
      </w:pPr>
      <w:rPr>
        <w:rFonts w:hint="default"/>
        <w:lang w:val="es-ES" w:eastAsia="en-US" w:bidi="ar-SA"/>
      </w:rPr>
    </w:lvl>
    <w:lvl w:ilvl="5" w:tplc="911C526E">
      <w:numFmt w:val="bullet"/>
      <w:lvlText w:val="•"/>
      <w:lvlJc w:val="left"/>
      <w:pPr>
        <w:ind w:left="5490" w:hanging="305"/>
      </w:pPr>
      <w:rPr>
        <w:rFonts w:hint="default"/>
        <w:lang w:val="es-ES" w:eastAsia="en-US" w:bidi="ar-SA"/>
      </w:rPr>
    </w:lvl>
    <w:lvl w:ilvl="6" w:tplc="C2E2055E">
      <w:numFmt w:val="bullet"/>
      <w:lvlText w:val="•"/>
      <w:lvlJc w:val="left"/>
      <w:pPr>
        <w:ind w:left="6564" w:hanging="305"/>
      </w:pPr>
      <w:rPr>
        <w:rFonts w:hint="default"/>
        <w:lang w:val="es-ES" w:eastAsia="en-US" w:bidi="ar-SA"/>
      </w:rPr>
    </w:lvl>
    <w:lvl w:ilvl="7" w:tplc="4644F7FA">
      <w:numFmt w:val="bullet"/>
      <w:lvlText w:val="•"/>
      <w:lvlJc w:val="left"/>
      <w:pPr>
        <w:ind w:left="7638" w:hanging="305"/>
      </w:pPr>
      <w:rPr>
        <w:rFonts w:hint="default"/>
        <w:lang w:val="es-ES" w:eastAsia="en-US" w:bidi="ar-SA"/>
      </w:rPr>
    </w:lvl>
    <w:lvl w:ilvl="8" w:tplc="F58C8ED8">
      <w:numFmt w:val="bullet"/>
      <w:lvlText w:val="•"/>
      <w:lvlJc w:val="left"/>
      <w:pPr>
        <w:ind w:left="8712" w:hanging="305"/>
      </w:pPr>
      <w:rPr>
        <w:rFonts w:hint="default"/>
        <w:lang w:val="es-ES" w:eastAsia="en-US" w:bidi="ar-SA"/>
      </w:rPr>
    </w:lvl>
  </w:abstractNum>
  <w:abstractNum w:abstractNumId="1" w15:restartNumberingAfterBreak="0">
    <w:nsid w:val="03092826"/>
    <w:multiLevelType w:val="hybridMultilevel"/>
    <w:tmpl w:val="0896E5EE"/>
    <w:lvl w:ilvl="0" w:tplc="5C6C21FA">
      <w:start w:val="13"/>
      <w:numFmt w:val="lowerLetter"/>
      <w:lvlText w:val="%1)"/>
      <w:lvlJc w:val="left"/>
      <w:pPr>
        <w:ind w:left="112" w:hanging="361"/>
        <w:jc w:val="left"/>
      </w:pPr>
      <w:rPr>
        <w:rFonts w:ascii="Arial" w:eastAsia="Arial" w:hAnsi="Arial" w:cs="Arial" w:hint="default"/>
        <w:b/>
        <w:bCs/>
        <w:i w:val="0"/>
        <w:iCs w:val="0"/>
        <w:w w:val="101"/>
        <w:sz w:val="23"/>
        <w:szCs w:val="23"/>
        <w:lang w:val="es-ES" w:eastAsia="en-US" w:bidi="ar-SA"/>
      </w:rPr>
    </w:lvl>
    <w:lvl w:ilvl="1" w:tplc="DE98FFB4">
      <w:numFmt w:val="bullet"/>
      <w:lvlText w:val="•"/>
      <w:lvlJc w:val="left"/>
      <w:pPr>
        <w:ind w:left="1194" w:hanging="361"/>
      </w:pPr>
      <w:rPr>
        <w:rFonts w:hint="default"/>
        <w:lang w:val="es-ES" w:eastAsia="en-US" w:bidi="ar-SA"/>
      </w:rPr>
    </w:lvl>
    <w:lvl w:ilvl="2" w:tplc="1F263DA2">
      <w:numFmt w:val="bullet"/>
      <w:lvlText w:val="•"/>
      <w:lvlJc w:val="left"/>
      <w:pPr>
        <w:ind w:left="2268" w:hanging="361"/>
      </w:pPr>
      <w:rPr>
        <w:rFonts w:hint="default"/>
        <w:lang w:val="es-ES" w:eastAsia="en-US" w:bidi="ar-SA"/>
      </w:rPr>
    </w:lvl>
    <w:lvl w:ilvl="3" w:tplc="CA7439FC">
      <w:numFmt w:val="bullet"/>
      <w:lvlText w:val="•"/>
      <w:lvlJc w:val="left"/>
      <w:pPr>
        <w:ind w:left="3342" w:hanging="361"/>
      </w:pPr>
      <w:rPr>
        <w:rFonts w:hint="default"/>
        <w:lang w:val="es-ES" w:eastAsia="en-US" w:bidi="ar-SA"/>
      </w:rPr>
    </w:lvl>
    <w:lvl w:ilvl="4" w:tplc="0B003FCE">
      <w:numFmt w:val="bullet"/>
      <w:lvlText w:val="•"/>
      <w:lvlJc w:val="left"/>
      <w:pPr>
        <w:ind w:left="4416" w:hanging="361"/>
      </w:pPr>
      <w:rPr>
        <w:rFonts w:hint="default"/>
        <w:lang w:val="es-ES" w:eastAsia="en-US" w:bidi="ar-SA"/>
      </w:rPr>
    </w:lvl>
    <w:lvl w:ilvl="5" w:tplc="4524F9D8">
      <w:numFmt w:val="bullet"/>
      <w:lvlText w:val="•"/>
      <w:lvlJc w:val="left"/>
      <w:pPr>
        <w:ind w:left="5490" w:hanging="361"/>
      </w:pPr>
      <w:rPr>
        <w:rFonts w:hint="default"/>
        <w:lang w:val="es-ES" w:eastAsia="en-US" w:bidi="ar-SA"/>
      </w:rPr>
    </w:lvl>
    <w:lvl w:ilvl="6" w:tplc="9F8A237E">
      <w:numFmt w:val="bullet"/>
      <w:lvlText w:val="•"/>
      <w:lvlJc w:val="left"/>
      <w:pPr>
        <w:ind w:left="6564" w:hanging="361"/>
      </w:pPr>
      <w:rPr>
        <w:rFonts w:hint="default"/>
        <w:lang w:val="es-ES" w:eastAsia="en-US" w:bidi="ar-SA"/>
      </w:rPr>
    </w:lvl>
    <w:lvl w:ilvl="7" w:tplc="076C0DE4">
      <w:numFmt w:val="bullet"/>
      <w:lvlText w:val="•"/>
      <w:lvlJc w:val="left"/>
      <w:pPr>
        <w:ind w:left="7638" w:hanging="361"/>
      </w:pPr>
      <w:rPr>
        <w:rFonts w:hint="default"/>
        <w:lang w:val="es-ES" w:eastAsia="en-US" w:bidi="ar-SA"/>
      </w:rPr>
    </w:lvl>
    <w:lvl w:ilvl="8" w:tplc="58C01AEE">
      <w:numFmt w:val="bullet"/>
      <w:lvlText w:val="•"/>
      <w:lvlJc w:val="left"/>
      <w:pPr>
        <w:ind w:left="8712" w:hanging="361"/>
      </w:pPr>
      <w:rPr>
        <w:rFonts w:hint="default"/>
        <w:lang w:val="es-ES" w:eastAsia="en-US" w:bidi="ar-SA"/>
      </w:rPr>
    </w:lvl>
  </w:abstractNum>
  <w:abstractNum w:abstractNumId="2" w15:restartNumberingAfterBreak="0">
    <w:nsid w:val="0A6156C8"/>
    <w:multiLevelType w:val="hybridMultilevel"/>
    <w:tmpl w:val="D8ACD570"/>
    <w:lvl w:ilvl="0" w:tplc="A8963064">
      <w:start w:val="1"/>
      <w:numFmt w:val="decimal"/>
      <w:lvlText w:val="%1."/>
      <w:lvlJc w:val="left"/>
      <w:pPr>
        <w:ind w:left="112" w:hanging="283"/>
        <w:jc w:val="left"/>
      </w:pPr>
      <w:rPr>
        <w:rFonts w:ascii="Arial" w:eastAsia="Arial" w:hAnsi="Arial" w:cs="Arial" w:hint="default"/>
        <w:b w:val="0"/>
        <w:bCs w:val="0"/>
        <w:i w:val="0"/>
        <w:iCs w:val="0"/>
        <w:w w:val="101"/>
        <w:sz w:val="23"/>
        <w:szCs w:val="23"/>
        <w:lang w:val="es-ES" w:eastAsia="en-US" w:bidi="ar-SA"/>
      </w:rPr>
    </w:lvl>
    <w:lvl w:ilvl="1" w:tplc="BCC8EC82">
      <w:numFmt w:val="bullet"/>
      <w:lvlText w:val="•"/>
      <w:lvlJc w:val="left"/>
      <w:pPr>
        <w:ind w:left="1194" w:hanging="283"/>
      </w:pPr>
      <w:rPr>
        <w:rFonts w:hint="default"/>
        <w:lang w:val="es-ES" w:eastAsia="en-US" w:bidi="ar-SA"/>
      </w:rPr>
    </w:lvl>
    <w:lvl w:ilvl="2" w:tplc="CEE26138">
      <w:numFmt w:val="bullet"/>
      <w:lvlText w:val="•"/>
      <w:lvlJc w:val="left"/>
      <w:pPr>
        <w:ind w:left="2268" w:hanging="283"/>
      </w:pPr>
      <w:rPr>
        <w:rFonts w:hint="default"/>
        <w:lang w:val="es-ES" w:eastAsia="en-US" w:bidi="ar-SA"/>
      </w:rPr>
    </w:lvl>
    <w:lvl w:ilvl="3" w:tplc="322412A8">
      <w:numFmt w:val="bullet"/>
      <w:lvlText w:val="•"/>
      <w:lvlJc w:val="left"/>
      <w:pPr>
        <w:ind w:left="3342" w:hanging="283"/>
      </w:pPr>
      <w:rPr>
        <w:rFonts w:hint="default"/>
        <w:lang w:val="es-ES" w:eastAsia="en-US" w:bidi="ar-SA"/>
      </w:rPr>
    </w:lvl>
    <w:lvl w:ilvl="4" w:tplc="202CA916">
      <w:numFmt w:val="bullet"/>
      <w:lvlText w:val="•"/>
      <w:lvlJc w:val="left"/>
      <w:pPr>
        <w:ind w:left="4416" w:hanging="283"/>
      </w:pPr>
      <w:rPr>
        <w:rFonts w:hint="default"/>
        <w:lang w:val="es-ES" w:eastAsia="en-US" w:bidi="ar-SA"/>
      </w:rPr>
    </w:lvl>
    <w:lvl w:ilvl="5" w:tplc="328470E6">
      <w:numFmt w:val="bullet"/>
      <w:lvlText w:val="•"/>
      <w:lvlJc w:val="left"/>
      <w:pPr>
        <w:ind w:left="5490" w:hanging="283"/>
      </w:pPr>
      <w:rPr>
        <w:rFonts w:hint="default"/>
        <w:lang w:val="es-ES" w:eastAsia="en-US" w:bidi="ar-SA"/>
      </w:rPr>
    </w:lvl>
    <w:lvl w:ilvl="6" w:tplc="8AF2E21A">
      <w:numFmt w:val="bullet"/>
      <w:lvlText w:val="•"/>
      <w:lvlJc w:val="left"/>
      <w:pPr>
        <w:ind w:left="6564" w:hanging="283"/>
      </w:pPr>
      <w:rPr>
        <w:rFonts w:hint="default"/>
        <w:lang w:val="es-ES" w:eastAsia="en-US" w:bidi="ar-SA"/>
      </w:rPr>
    </w:lvl>
    <w:lvl w:ilvl="7" w:tplc="ADB468D6">
      <w:numFmt w:val="bullet"/>
      <w:lvlText w:val="•"/>
      <w:lvlJc w:val="left"/>
      <w:pPr>
        <w:ind w:left="7638" w:hanging="283"/>
      </w:pPr>
      <w:rPr>
        <w:rFonts w:hint="default"/>
        <w:lang w:val="es-ES" w:eastAsia="en-US" w:bidi="ar-SA"/>
      </w:rPr>
    </w:lvl>
    <w:lvl w:ilvl="8" w:tplc="372AB634">
      <w:numFmt w:val="bullet"/>
      <w:lvlText w:val="•"/>
      <w:lvlJc w:val="left"/>
      <w:pPr>
        <w:ind w:left="8712" w:hanging="283"/>
      </w:pPr>
      <w:rPr>
        <w:rFonts w:hint="default"/>
        <w:lang w:val="es-ES" w:eastAsia="en-US" w:bidi="ar-SA"/>
      </w:rPr>
    </w:lvl>
  </w:abstractNum>
  <w:abstractNum w:abstractNumId="3" w15:restartNumberingAfterBreak="0">
    <w:nsid w:val="0CAE1D86"/>
    <w:multiLevelType w:val="hybridMultilevel"/>
    <w:tmpl w:val="B85C11D4"/>
    <w:lvl w:ilvl="0" w:tplc="5980F4F6">
      <w:start w:val="1"/>
      <w:numFmt w:val="decimal"/>
      <w:lvlText w:val="%1."/>
      <w:lvlJc w:val="left"/>
      <w:pPr>
        <w:ind w:left="112" w:hanging="306"/>
        <w:jc w:val="left"/>
      </w:pPr>
      <w:rPr>
        <w:rFonts w:ascii="Arial" w:eastAsia="Arial" w:hAnsi="Arial" w:cs="Arial" w:hint="default"/>
        <w:b/>
        <w:bCs/>
        <w:i w:val="0"/>
        <w:iCs w:val="0"/>
        <w:w w:val="101"/>
        <w:sz w:val="23"/>
        <w:szCs w:val="23"/>
        <w:lang w:val="es-ES" w:eastAsia="en-US" w:bidi="ar-SA"/>
      </w:rPr>
    </w:lvl>
    <w:lvl w:ilvl="1" w:tplc="3E92CA1C">
      <w:start w:val="1"/>
      <w:numFmt w:val="lowerLetter"/>
      <w:lvlText w:val="%2."/>
      <w:lvlJc w:val="left"/>
      <w:pPr>
        <w:ind w:left="112" w:hanging="260"/>
        <w:jc w:val="left"/>
      </w:pPr>
      <w:rPr>
        <w:rFonts w:ascii="Arial" w:eastAsia="Arial" w:hAnsi="Arial" w:cs="Arial" w:hint="default"/>
        <w:b/>
        <w:bCs/>
        <w:i w:val="0"/>
        <w:iCs w:val="0"/>
        <w:w w:val="101"/>
        <w:sz w:val="23"/>
        <w:szCs w:val="23"/>
        <w:lang w:val="es-ES" w:eastAsia="en-US" w:bidi="ar-SA"/>
      </w:rPr>
    </w:lvl>
    <w:lvl w:ilvl="2" w:tplc="2772981A">
      <w:numFmt w:val="bullet"/>
      <w:lvlText w:val="•"/>
      <w:lvlJc w:val="left"/>
      <w:pPr>
        <w:ind w:left="2268" w:hanging="260"/>
      </w:pPr>
      <w:rPr>
        <w:rFonts w:hint="default"/>
        <w:lang w:val="es-ES" w:eastAsia="en-US" w:bidi="ar-SA"/>
      </w:rPr>
    </w:lvl>
    <w:lvl w:ilvl="3" w:tplc="A1304938">
      <w:numFmt w:val="bullet"/>
      <w:lvlText w:val="•"/>
      <w:lvlJc w:val="left"/>
      <w:pPr>
        <w:ind w:left="3342" w:hanging="260"/>
      </w:pPr>
      <w:rPr>
        <w:rFonts w:hint="default"/>
        <w:lang w:val="es-ES" w:eastAsia="en-US" w:bidi="ar-SA"/>
      </w:rPr>
    </w:lvl>
    <w:lvl w:ilvl="4" w:tplc="48381288">
      <w:numFmt w:val="bullet"/>
      <w:lvlText w:val="•"/>
      <w:lvlJc w:val="left"/>
      <w:pPr>
        <w:ind w:left="4416" w:hanging="260"/>
      </w:pPr>
      <w:rPr>
        <w:rFonts w:hint="default"/>
        <w:lang w:val="es-ES" w:eastAsia="en-US" w:bidi="ar-SA"/>
      </w:rPr>
    </w:lvl>
    <w:lvl w:ilvl="5" w:tplc="587C1F10">
      <w:numFmt w:val="bullet"/>
      <w:lvlText w:val="•"/>
      <w:lvlJc w:val="left"/>
      <w:pPr>
        <w:ind w:left="5490" w:hanging="260"/>
      </w:pPr>
      <w:rPr>
        <w:rFonts w:hint="default"/>
        <w:lang w:val="es-ES" w:eastAsia="en-US" w:bidi="ar-SA"/>
      </w:rPr>
    </w:lvl>
    <w:lvl w:ilvl="6" w:tplc="F91418CA">
      <w:numFmt w:val="bullet"/>
      <w:lvlText w:val="•"/>
      <w:lvlJc w:val="left"/>
      <w:pPr>
        <w:ind w:left="6564" w:hanging="260"/>
      </w:pPr>
      <w:rPr>
        <w:rFonts w:hint="default"/>
        <w:lang w:val="es-ES" w:eastAsia="en-US" w:bidi="ar-SA"/>
      </w:rPr>
    </w:lvl>
    <w:lvl w:ilvl="7" w:tplc="3EA6CDD2">
      <w:numFmt w:val="bullet"/>
      <w:lvlText w:val="•"/>
      <w:lvlJc w:val="left"/>
      <w:pPr>
        <w:ind w:left="7638" w:hanging="260"/>
      </w:pPr>
      <w:rPr>
        <w:rFonts w:hint="default"/>
        <w:lang w:val="es-ES" w:eastAsia="en-US" w:bidi="ar-SA"/>
      </w:rPr>
    </w:lvl>
    <w:lvl w:ilvl="8" w:tplc="783E3EE0">
      <w:numFmt w:val="bullet"/>
      <w:lvlText w:val="•"/>
      <w:lvlJc w:val="left"/>
      <w:pPr>
        <w:ind w:left="8712" w:hanging="260"/>
      </w:pPr>
      <w:rPr>
        <w:rFonts w:hint="default"/>
        <w:lang w:val="es-ES" w:eastAsia="en-US" w:bidi="ar-SA"/>
      </w:rPr>
    </w:lvl>
  </w:abstractNum>
  <w:abstractNum w:abstractNumId="4" w15:restartNumberingAfterBreak="0">
    <w:nsid w:val="10B408E0"/>
    <w:multiLevelType w:val="hybridMultilevel"/>
    <w:tmpl w:val="3214AFAE"/>
    <w:lvl w:ilvl="0" w:tplc="2B629FB8">
      <w:start w:val="1"/>
      <w:numFmt w:val="lowerLetter"/>
      <w:lvlText w:val="%1)"/>
      <w:lvlJc w:val="left"/>
      <w:pPr>
        <w:ind w:left="112" w:hanging="313"/>
        <w:jc w:val="left"/>
      </w:pPr>
      <w:rPr>
        <w:rFonts w:ascii="Arial" w:eastAsia="Arial" w:hAnsi="Arial" w:cs="Arial" w:hint="default"/>
        <w:b/>
        <w:bCs/>
        <w:i w:val="0"/>
        <w:iCs w:val="0"/>
        <w:w w:val="101"/>
        <w:sz w:val="23"/>
        <w:szCs w:val="23"/>
        <w:lang w:val="es-ES" w:eastAsia="en-US" w:bidi="ar-SA"/>
      </w:rPr>
    </w:lvl>
    <w:lvl w:ilvl="1" w:tplc="05447C38">
      <w:numFmt w:val="bullet"/>
      <w:lvlText w:val="•"/>
      <w:lvlJc w:val="left"/>
      <w:pPr>
        <w:ind w:left="1194" w:hanging="313"/>
      </w:pPr>
      <w:rPr>
        <w:rFonts w:hint="default"/>
        <w:lang w:val="es-ES" w:eastAsia="en-US" w:bidi="ar-SA"/>
      </w:rPr>
    </w:lvl>
    <w:lvl w:ilvl="2" w:tplc="03DA093A">
      <w:numFmt w:val="bullet"/>
      <w:lvlText w:val="•"/>
      <w:lvlJc w:val="left"/>
      <w:pPr>
        <w:ind w:left="2268" w:hanging="313"/>
      </w:pPr>
      <w:rPr>
        <w:rFonts w:hint="default"/>
        <w:lang w:val="es-ES" w:eastAsia="en-US" w:bidi="ar-SA"/>
      </w:rPr>
    </w:lvl>
    <w:lvl w:ilvl="3" w:tplc="3B4655A4">
      <w:numFmt w:val="bullet"/>
      <w:lvlText w:val="•"/>
      <w:lvlJc w:val="left"/>
      <w:pPr>
        <w:ind w:left="3342" w:hanging="313"/>
      </w:pPr>
      <w:rPr>
        <w:rFonts w:hint="default"/>
        <w:lang w:val="es-ES" w:eastAsia="en-US" w:bidi="ar-SA"/>
      </w:rPr>
    </w:lvl>
    <w:lvl w:ilvl="4" w:tplc="F3DCCCEC">
      <w:numFmt w:val="bullet"/>
      <w:lvlText w:val="•"/>
      <w:lvlJc w:val="left"/>
      <w:pPr>
        <w:ind w:left="4416" w:hanging="313"/>
      </w:pPr>
      <w:rPr>
        <w:rFonts w:hint="default"/>
        <w:lang w:val="es-ES" w:eastAsia="en-US" w:bidi="ar-SA"/>
      </w:rPr>
    </w:lvl>
    <w:lvl w:ilvl="5" w:tplc="39EA10E8">
      <w:numFmt w:val="bullet"/>
      <w:lvlText w:val="•"/>
      <w:lvlJc w:val="left"/>
      <w:pPr>
        <w:ind w:left="5490" w:hanging="313"/>
      </w:pPr>
      <w:rPr>
        <w:rFonts w:hint="default"/>
        <w:lang w:val="es-ES" w:eastAsia="en-US" w:bidi="ar-SA"/>
      </w:rPr>
    </w:lvl>
    <w:lvl w:ilvl="6" w:tplc="D62C089A">
      <w:numFmt w:val="bullet"/>
      <w:lvlText w:val="•"/>
      <w:lvlJc w:val="left"/>
      <w:pPr>
        <w:ind w:left="6564" w:hanging="313"/>
      </w:pPr>
      <w:rPr>
        <w:rFonts w:hint="default"/>
        <w:lang w:val="es-ES" w:eastAsia="en-US" w:bidi="ar-SA"/>
      </w:rPr>
    </w:lvl>
    <w:lvl w:ilvl="7" w:tplc="47E6B898">
      <w:numFmt w:val="bullet"/>
      <w:lvlText w:val="•"/>
      <w:lvlJc w:val="left"/>
      <w:pPr>
        <w:ind w:left="7638" w:hanging="313"/>
      </w:pPr>
      <w:rPr>
        <w:rFonts w:hint="default"/>
        <w:lang w:val="es-ES" w:eastAsia="en-US" w:bidi="ar-SA"/>
      </w:rPr>
    </w:lvl>
    <w:lvl w:ilvl="8" w:tplc="27122EBC">
      <w:numFmt w:val="bullet"/>
      <w:lvlText w:val="•"/>
      <w:lvlJc w:val="left"/>
      <w:pPr>
        <w:ind w:left="8712" w:hanging="313"/>
      </w:pPr>
      <w:rPr>
        <w:rFonts w:hint="default"/>
        <w:lang w:val="es-ES" w:eastAsia="en-US" w:bidi="ar-SA"/>
      </w:rPr>
    </w:lvl>
  </w:abstractNum>
  <w:abstractNum w:abstractNumId="5" w15:restartNumberingAfterBreak="0">
    <w:nsid w:val="12307E5D"/>
    <w:multiLevelType w:val="hybridMultilevel"/>
    <w:tmpl w:val="1B7CA69A"/>
    <w:lvl w:ilvl="0" w:tplc="0A40AD46">
      <w:start w:val="1"/>
      <w:numFmt w:val="decimal"/>
      <w:lvlText w:val="%1."/>
      <w:lvlJc w:val="left"/>
      <w:pPr>
        <w:ind w:left="112" w:hanging="290"/>
        <w:jc w:val="left"/>
      </w:pPr>
      <w:rPr>
        <w:rFonts w:ascii="Arial" w:eastAsia="Arial" w:hAnsi="Arial" w:cs="Arial" w:hint="default"/>
        <w:b/>
        <w:bCs/>
        <w:i w:val="0"/>
        <w:iCs w:val="0"/>
        <w:w w:val="101"/>
        <w:sz w:val="23"/>
        <w:szCs w:val="23"/>
        <w:lang w:val="es-ES" w:eastAsia="en-US" w:bidi="ar-SA"/>
      </w:rPr>
    </w:lvl>
    <w:lvl w:ilvl="1" w:tplc="EC10A2B4">
      <w:numFmt w:val="bullet"/>
      <w:lvlText w:val="•"/>
      <w:lvlJc w:val="left"/>
      <w:pPr>
        <w:ind w:left="1194" w:hanging="290"/>
      </w:pPr>
      <w:rPr>
        <w:rFonts w:hint="default"/>
        <w:lang w:val="es-ES" w:eastAsia="en-US" w:bidi="ar-SA"/>
      </w:rPr>
    </w:lvl>
    <w:lvl w:ilvl="2" w:tplc="498606FC">
      <w:numFmt w:val="bullet"/>
      <w:lvlText w:val="•"/>
      <w:lvlJc w:val="left"/>
      <w:pPr>
        <w:ind w:left="2268" w:hanging="290"/>
      </w:pPr>
      <w:rPr>
        <w:rFonts w:hint="default"/>
        <w:lang w:val="es-ES" w:eastAsia="en-US" w:bidi="ar-SA"/>
      </w:rPr>
    </w:lvl>
    <w:lvl w:ilvl="3" w:tplc="30582F02">
      <w:numFmt w:val="bullet"/>
      <w:lvlText w:val="•"/>
      <w:lvlJc w:val="left"/>
      <w:pPr>
        <w:ind w:left="3342" w:hanging="290"/>
      </w:pPr>
      <w:rPr>
        <w:rFonts w:hint="default"/>
        <w:lang w:val="es-ES" w:eastAsia="en-US" w:bidi="ar-SA"/>
      </w:rPr>
    </w:lvl>
    <w:lvl w:ilvl="4" w:tplc="AF1896A8">
      <w:numFmt w:val="bullet"/>
      <w:lvlText w:val="•"/>
      <w:lvlJc w:val="left"/>
      <w:pPr>
        <w:ind w:left="4416" w:hanging="290"/>
      </w:pPr>
      <w:rPr>
        <w:rFonts w:hint="default"/>
        <w:lang w:val="es-ES" w:eastAsia="en-US" w:bidi="ar-SA"/>
      </w:rPr>
    </w:lvl>
    <w:lvl w:ilvl="5" w:tplc="32184652">
      <w:numFmt w:val="bullet"/>
      <w:lvlText w:val="•"/>
      <w:lvlJc w:val="left"/>
      <w:pPr>
        <w:ind w:left="5490" w:hanging="290"/>
      </w:pPr>
      <w:rPr>
        <w:rFonts w:hint="default"/>
        <w:lang w:val="es-ES" w:eastAsia="en-US" w:bidi="ar-SA"/>
      </w:rPr>
    </w:lvl>
    <w:lvl w:ilvl="6" w:tplc="1E38A8E2">
      <w:numFmt w:val="bullet"/>
      <w:lvlText w:val="•"/>
      <w:lvlJc w:val="left"/>
      <w:pPr>
        <w:ind w:left="6564" w:hanging="290"/>
      </w:pPr>
      <w:rPr>
        <w:rFonts w:hint="default"/>
        <w:lang w:val="es-ES" w:eastAsia="en-US" w:bidi="ar-SA"/>
      </w:rPr>
    </w:lvl>
    <w:lvl w:ilvl="7" w:tplc="519A199C">
      <w:numFmt w:val="bullet"/>
      <w:lvlText w:val="•"/>
      <w:lvlJc w:val="left"/>
      <w:pPr>
        <w:ind w:left="7638" w:hanging="290"/>
      </w:pPr>
      <w:rPr>
        <w:rFonts w:hint="default"/>
        <w:lang w:val="es-ES" w:eastAsia="en-US" w:bidi="ar-SA"/>
      </w:rPr>
    </w:lvl>
    <w:lvl w:ilvl="8" w:tplc="F600ED2C">
      <w:numFmt w:val="bullet"/>
      <w:lvlText w:val="•"/>
      <w:lvlJc w:val="left"/>
      <w:pPr>
        <w:ind w:left="8712" w:hanging="290"/>
      </w:pPr>
      <w:rPr>
        <w:rFonts w:hint="default"/>
        <w:lang w:val="es-ES" w:eastAsia="en-US" w:bidi="ar-SA"/>
      </w:rPr>
    </w:lvl>
  </w:abstractNum>
  <w:abstractNum w:abstractNumId="6" w15:restartNumberingAfterBreak="0">
    <w:nsid w:val="14B400D9"/>
    <w:multiLevelType w:val="hybridMultilevel"/>
    <w:tmpl w:val="497A3908"/>
    <w:lvl w:ilvl="0" w:tplc="4D8C54CE">
      <w:start w:val="1"/>
      <w:numFmt w:val="decimal"/>
      <w:lvlText w:val="%1."/>
      <w:lvlJc w:val="left"/>
      <w:pPr>
        <w:ind w:left="112" w:hanging="267"/>
        <w:jc w:val="left"/>
      </w:pPr>
      <w:rPr>
        <w:rFonts w:ascii="Arial" w:eastAsia="Arial" w:hAnsi="Arial" w:cs="Arial" w:hint="default"/>
        <w:b w:val="0"/>
        <w:bCs w:val="0"/>
        <w:i w:val="0"/>
        <w:iCs w:val="0"/>
        <w:w w:val="101"/>
        <w:sz w:val="23"/>
        <w:szCs w:val="23"/>
        <w:lang w:val="es-ES" w:eastAsia="en-US" w:bidi="ar-SA"/>
      </w:rPr>
    </w:lvl>
    <w:lvl w:ilvl="1" w:tplc="CB2E5B36">
      <w:numFmt w:val="bullet"/>
      <w:lvlText w:val="•"/>
      <w:lvlJc w:val="left"/>
      <w:pPr>
        <w:ind w:left="1194" w:hanging="267"/>
      </w:pPr>
      <w:rPr>
        <w:rFonts w:hint="default"/>
        <w:lang w:val="es-ES" w:eastAsia="en-US" w:bidi="ar-SA"/>
      </w:rPr>
    </w:lvl>
    <w:lvl w:ilvl="2" w:tplc="974A9706">
      <w:numFmt w:val="bullet"/>
      <w:lvlText w:val="•"/>
      <w:lvlJc w:val="left"/>
      <w:pPr>
        <w:ind w:left="2268" w:hanging="267"/>
      </w:pPr>
      <w:rPr>
        <w:rFonts w:hint="default"/>
        <w:lang w:val="es-ES" w:eastAsia="en-US" w:bidi="ar-SA"/>
      </w:rPr>
    </w:lvl>
    <w:lvl w:ilvl="3" w:tplc="4064CA66">
      <w:numFmt w:val="bullet"/>
      <w:lvlText w:val="•"/>
      <w:lvlJc w:val="left"/>
      <w:pPr>
        <w:ind w:left="3342" w:hanging="267"/>
      </w:pPr>
      <w:rPr>
        <w:rFonts w:hint="default"/>
        <w:lang w:val="es-ES" w:eastAsia="en-US" w:bidi="ar-SA"/>
      </w:rPr>
    </w:lvl>
    <w:lvl w:ilvl="4" w:tplc="38FA25E8">
      <w:numFmt w:val="bullet"/>
      <w:lvlText w:val="•"/>
      <w:lvlJc w:val="left"/>
      <w:pPr>
        <w:ind w:left="4416" w:hanging="267"/>
      </w:pPr>
      <w:rPr>
        <w:rFonts w:hint="default"/>
        <w:lang w:val="es-ES" w:eastAsia="en-US" w:bidi="ar-SA"/>
      </w:rPr>
    </w:lvl>
    <w:lvl w:ilvl="5" w:tplc="BE6CABF8">
      <w:numFmt w:val="bullet"/>
      <w:lvlText w:val="•"/>
      <w:lvlJc w:val="left"/>
      <w:pPr>
        <w:ind w:left="5490" w:hanging="267"/>
      </w:pPr>
      <w:rPr>
        <w:rFonts w:hint="default"/>
        <w:lang w:val="es-ES" w:eastAsia="en-US" w:bidi="ar-SA"/>
      </w:rPr>
    </w:lvl>
    <w:lvl w:ilvl="6" w:tplc="ECDE826C">
      <w:numFmt w:val="bullet"/>
      <w:lvlText w:val="•"/>
      <w:lvlJc w:val="left"/>
      <w:pPr>
        <w:ind w:left="6564" w:hanging="267"/>
      </w:pPr>
      <w:rPr>
        <w:rFonts w:hint="default"/>
        <w:lang w:val="es-ES" w:eastAsia="en-US" w:bidi="ar-SA"/>
      </w:rPr>
    </w:lvl>
    <w:lvl w:ilvl="7" w:tplc="ED10317E">
      <w:numFmt w:val="bullet"/>
      <w:lvlText w:val="•"/>
      <w:lvlJc w:val="left"/>
      <w:pPr>
        <w:ind w:left="7638" w:hanging="267"/>
      </w:pPr>
      <w:rPr>
        <w:rFonts w:hint="default"/>
        <w:lang w:val="es-ES" w:eastAsia="en-US" w:bidi="ar-SA"/>
      </w:rPr>
    </w:lvl>
    <w:lvl w:ilvl="8" w:tplc="3BCA28BA">
      <w:numFmt w:val="bullet"/>
      <w:lvlText w:val="•"/>
      <w:lvlJc w:val="left"/>
      <w:pPr>
        <w:ind w:left="8712" w:hanging="267"/>
      </w:pPr>
      <w:rPr>
        <w:rFonts w:hint="default"/>
        <w:lang w:val="es-ES" w:eastAsia="en-US" w:bidi="ar-SA"/>
      </w:rPr>
    </w:lvl>
  </w:abstractNum>
  <w:abstractNum w:abstractNumId="7" w15:restartNumberingAfterBreak="0">
    <w:nsid w:val="1CCA311E"/>
    <w:multiLevelType w:val="hybridMultilevel"/>
    <w:tmpl w:val="F68E3216"/>
    <w:lvl w:ilvl="0" w:tplc="CFBCE458">
      <w:start w:val="1"/>
      <w:numFmt w:val="decimal"/>
      <w:lvlText w:val="%1."/>
      <w:lvlJc w:val="left"/>
      <w:pPr>
        <w:ind w:left="112" w:hanging="317"/>
        <w:jc w:val="left"/>
      </w:pPr>
      <w:rPr>
        <w:rFonts w:ascii="Arial" w:eastAsia="Arial" w:hAnsi="Arial" w:cs="Arial" w:hint="default"/>
        <w:b w:val="0"/>
        <w:bCs w:val="0"/>
        <w:i w:val="0"/>
        <w:iCs w:val="0"/>
        <w:w w:val="101"/>
        <w:sz w:val="23"/>
        <w:szCs w:val="23"/>
        <w:lang w:val="es-ES" w:eastAsia="en-US" w:bidi="ar-SA"/>
      </w:rPr>
    </w:lvl>
    <w:lvl w:ilvl="1" w:tplc="A1584194">
      <w:numFmt w:val="bullet"/>
      <w:lvlText w:val="•"/>
      <w:lvlJc w:val="left"/>
      <w:pPr>
        <w:ind w:left="1194" w:hanging="317"/>
      </w:pPr>
      <w:rPr>
        <w:rFonts w:hint="default"/>
        <w:lang w:val="es-ES" w:eastAsia="en-US" w:bidi="ar-SA"/>
      </w:rPr>
    </w:lvl>
    <w:lvl w:ilvl="2" w:tplc="3EA0E4E2">
      <w:numFmt w:val="bullet"/>
      <w:lvlText w:val="•"/>
      <w:lvlJc w:val="left"/>
      <w:pPr>
        <w:ind w:left="2268" w:hanging="317"/>
      </w:pPr>
      <w:rPr>
        <w:rFonts w:hint="default"/>
        <w:lang w:val="es-ES" w:eastAsia="en-US" w:bidi="ar-SA"/>
      </w:rPr>
    </w:lvl>
    <w:lvl w:ilvl="3" w:tplc="30B87932">
      <w:numFmt w:val="bullet"/>
      <w:lvlText w:val="•"/>
      <w:lvlJc w:val="left"/>
      <w:pPr>
        <w:ind w:left="3342" w:hanging="317"/>
      </w:pPr>
      <w:rPr>
        <w:rFonts w:hint="default"/>
        <w:lang w:val="es-ES" w:eastAsia="en-US" w:bidi="ar-SA"/>
      </w:rPr>
    </w:lvl>
    <w:lvl w:ilvl="4" w:tplc="D7A4302C">
      <w:numFmt w:val="bullet"/>
      <w:lvlText w:val="•"/>
      <w:lvlJc w:val="left"/>
      <w:pPr>
        <w:ind w:left="4416" w:hanging="317"/>
      </w:pPr>
      <w:rPr>
        <w:rFonts w:hint="default"/>
        <w:lang w:val="es-ES" w:eastAsia="en-US" w:bidi="ar-SA"/>
      </w:rPr>
    </w:lvl>
    <w:lvl w:ilvl="5" w:tplc="8D349CFE">
      <w:numFmt w:val="bullet"/>
      <w:lvlText w:val="•"/>
      <w:lvlJc w:val="left"/>
      <w:pPr>
        <w:ind w:left="5490" w:hanging="317"/>
      </w:pPr>
      <w:rPr>
        <w:rFonts w:hint="default"/>
        <w:lang w:val="es-ES" w:eastAsia="en-US" w:bidi="ar-SA"/>
      </w:rPr>
    </w:lvl>
    <w:lvl w:ilvl="6" w:tplc="6400DFF2">
      <w:numFmt w:val="bullet"/>
      <w:lvlText w:val="•"/>
      <w:lvlJc w:val="left"/>
      <w:pPr>
        <w:ind w:left="6564" w:hanging="317"/>
      </w:pPr>
      <w:rPr>
        <w:rFonts w:hint="default"/>
        <w:lang w:val="es-ES" w:eastAsia="en-US" w:bidi="ar-SA"/>
      </w:rPr>
    </w:lvl>
    <w:lvl w:ilvl="7" w:tplc="078CFFD8">
      <w:numFmt w:val="bullet"/>
      <w:lvlText w:val="•"/>
      <w:lvlJc w:val="left"/>
      <w:pPr>
        <w:ind w:left="7638" w:hanging="317"/>
      </w:pPr>
      <w:rPr>
        <w:rFonts w:hint="default"/>
        <w:lang w:val="es-ES" w:eastAsia="en-US" w:bidi="ar-SA"/>
      </w:rPr>
    </w:lvl>
    <w:lvl w:ilvl="8" w:tplc="A9A6D192">
      <w:numFmt w:val="bullet"/>
      <w:lvlText w:val="•"/>
      <w:lvlJc w:val="left"/>
      <w:pPr>
        <w:ind w:left="8712" w:hanging="317"/>
      </w:pPr>
      <w:rPr>
        <w:rFonts w:hint="default"/>
        <w:lang w:val="es-ES" w:eastAsia="en-US" w:bidi="ar-SA"/>
      </w:rPr>
    </w:lvl>
  </w:abstractNum>
  <w:abstractNum w:abstractNumId="8" w15:restartNumberingAfterBreak="0">
    <w:nsid w:val="1D3C3452"/>
    <w:multiLevelType w:val="hybridMultilevel"/>
    <w:tmpl w:val="C2D280A6"/>
    <w:lvl w:ilvl="0" w:tplc="EC1476F6">
      <w:start w:val="1"/>
      <w:numFmt w:val="lowerLetter"/>
      <w:lvlText w:val="%1)"/>
      <w:lvlJc w:val="left"/>
      <w:pPr>
        <w:ind w:left="112" w:hanging="332"/>
        <w:jc w:val="left"/>
      </w:pPr>
      <w:rPr>
        <w:rFonts w:ascii="Arial" w:eastAsia="Arial" w:hAnsi="Arial" w:cs="Arial" w:hint="default"/>
        <w:b/>
        <w:bCs/>
        <w:i w:val="0"/>
        <w:iCs w:val="0"/>
        <w:w w:val="101"/>
        <w:sz w:val="23"/>
        <w:szCs w:val="23"/>
        <w:lang w:val="es-ES" w:eastAsia="en-US" w:bidi="ar-SA"/>
      </w:rPr>
    </w:lvl>
    <w:lvl w:ilvl="1" w:tplc="455070CC">
      <w:numFmt w:val="bullet"/>
      <w:lvlText w:val="•"/>
      <w:lvlJc w:val="left"/>
      <w:pPr>
        <w:ind w:left="1194" w:hanging="332"/>
      </w:pPr>
      <w:rPr>
        <w:rFonts w:hint="default"/>
        <w:lang w:val="es-ES" w:eastAsia="en-US" w:bidi="ar-SA"/>
      </w:rPr>
    </w:lvl>
    <w:lvl w:ilvl="2" w:tplc="AFFCCF88">
      <w:numFmt w:val="bullet"/>
      <w:lvlText w:val="•"/>
      <w:lvlJc w:val="left"/>
      <w:pPr>
        <w:ind w:left="2268" w:hanging="332"/>
      </w:pPr>
      <w:rPr>
        <w:rFonts w:hint="default"/>
        <w:lang w:val="es-ES" w:eastAsia="en-US" w:bidi="ar-SA"/>
      </w:rPr>
    </w:lvl>
    <w:lvl w:ilvl="3" w:tplc="3BDE1ED4">
      <w:numFmt w:val="bullet"/>
      <w:lvlText w:val="•"/>
      <w:lvlJc w:val="left"/>
      <w:pPr>
        <w:ind w:left="3342" w:hanging="332"/>
      </w:pPr>
      <w:rPr>
        <w:rFonts w:hint="default"/>
        <w:lang w:val="es-ES" w:eastAsia="en-US" w:bidi="ar-SA"/>
      </w:rPr>
    </w:lvl>
    <w:lvl w:ilvl="4" w:tplc="F282095E">
      <w:numFmt w:val="bullet"/>
      <w:lvlText w:val="•"/>
      <w:lvlJc w:val="left"/>
      <w:pPr>
        <w:ind w:left="4416" w:hanging="332"/>
      </w:pPr>
      <w:rPr>
        <w:rFonts w:hint="default"/>
        <w:lang w:val="es-ES" w:eastAsia="en-US" w:bidi="ar-SA"/>
      </w:rPr>
    </w:lvl>
    <w:lvl w:ilvl="5" w:tplc="D04C70B6">
      <w:numFmt w:val="bullet"/>
      <w:lvlText w:val="•"/>
      <w:lvlJc w:val="left"/>
      <w:pPr>
        <w:ind w:left="5490" w:hanging="332"/>
      </w:pPr>
      <w:rPr>
        <w:rFonts w:hint="default"/>
        <w:lang w:val="es-ES" w:eastAsia="en-US" w:bidi="ar-SA"/>
      </w:rPr>
    </w:lvl>
    <w:lvl w:ilvl="6" w:tplc="647C4F38">
      <w:numFmt w:val="bullet"/>
      <w:lvlText w:val="•"/>
      <w:lvlJc w:val="left"/>
      <w:pPr>
        <w:ind w:left="6564" w:hanging="332"/>
      </w:pPr>
      <w:rPr>
        <w:rFonts w:hint="default"/>
        <w:lang w:val="es-ES" w:eastAsia="en-US" w:bidi="ar-SA"/>
      </w:rPr>
    </w:lvl>
    <w:lvl w:ilvl="7" w:tplc="A6ACB864">
      <w:numFmt w:val="bullet"/>
      <w:lvlText w:val="•"/>
      <w:lvlJc w:val="left"/>
      <w:pPr>
        <w:ind w:left="7638" w:hanging="332"/>
      </w:pPr>
      <w:rPr>
        <w:rFonts w:hint="default"/>
        <w:lang w:val="es-ES" w:eastAsia="en-US" w:bidi="ar-SA"/>
      </w:rPr>
    </w:lvl>
    <w:lvl w:ilvl="8" w:tplc="815AC560">
      <w:numFmt w:val="bullet"/>
      <w:lvlText w:val="•"/>
      <w:lvlJc w:val="left"/>
      <w:pPr>
        <w:ind w:left="8712" w:hanging="332"/>
      </w:pPr>
      <w:rPr>
        <w:rFonts w:hint="default"/>
        <w:lang w:val="es-ES" w:eastAsia="en-US" w:bidi="ar-SA"/>
      </w:rPr>
    </w:lvl>
  </w:abstractNum>
  <w:abstractNum w:abstractNumId="9" w15:restartNumberingAfterBreak="0">
    <w:nsid w:val="27AD400D"/>
    <w:multiLevelType w:val="hybridMultilevel"/>
    <w:tmpl w:val="F8A69EF6"/>
    <w:lvl w:ilvl="0" w:tplc="BE1A5D62">
      <w:start w:val="1"/>
      <w:numFmt w:val="decimal"/>
      <w:lvlText w:val="%1."/>
      <w:lvlJc w:val="left"/>
      <w:pPr>
        <w:ind w:left="112" w:hanging="347"/>
        <w:jc w:val="left"/>
      </w:pPr>
      <w:rPr>
        <w:rFonts w:ascii="Arial" w:eastAsia="Arial" w:hAnsi="Arial" w:cs="Arial" w:hint="default"/>
        <w:b w:val="0"/>
        <w:bCs w:val="0"/>
        <w:i w:val="0"/>
        <w:iCs w:val="0"/>
        <w:w w:val="101"/>
        <w:sz w:val="23"/>
        <w:szCs w:val="23"/>
        <w:lang w:val="es-ES" w:eastAsia="en-US" w:bidi="ar-SA"/>
      </w:rPr>
    </w:lvl>
    <w:lvl w:ilvl="1" w:tplc="CD3AB8A0">
      <w:numFmt w:val="bullet"/>
      <w:lvlText w:val="•"/>
      <w:lvlJc w:val="left"/>
      <w:pPr>
        <w:ind w:left="1194" w:hanging="347"/>
      </w:pPr>
      <w:rPr>
        <w:rFonts w:hint="default"/>
        <w:lang w:val="es-ES" w:eastAsia="en-US" w:bidi="ar-SA"/>
      </w:rPr>
    </w:lvl>
    <w:lvl w:ilvl="2" w:tplc="4DFC2852">
      <w:numFmt w:val="bullet"/>
      <w:lvlText w:val="•"/>
      <w:lvlJc w:val="left"/>
      <w:pPr>
        <w:ind w:left="2268" w:hanging="347"/>
      </w:pPr>
      <w:rPr>
        <w:rFonts w:hint="default"/>
        <w:lang w:val="es-ES" w:eastAsia="en-US" w:bidi="ar-SA"/>
      </w:rPr>
    </w:lvl>
    <w:lvl w:ilvl="3" w:tplc="2DBCD24E">
      <w:numFmt w:val="bullet"/>
      <w:lvlText w:val="•"/>
      <w:lvlJc w:val="left"/>
      <w:pPr>
        <w:ind w:left="3342" w:hanging="347"/>
      </w:pPr>
      <w:rPr>
        <w:rFonts w:hint="default"/>
        <w:lang w:val="es-ES" w:eastAsia="en-US" w:bidi="ar-SA"/>
      </w:rPr>
    </w:lvl>
    <w:lvl w:ilvl="4" w:tplc="AD30921A">
      <w:numFmt w:val="bullet"/>
      <w:lvlText w:val="•"/>
      <w:lvlJc w:val="left"/>
      <w:pPr>
        <w:ind w:left="4416" w:hanging="347"/>
      </w:pPr>
      <w:rPr>
        <w:rFonts w:hint="default"/>
        <w:lang w:val="es-ES" w:eastAsia="en-US" w:bidi="ar-SA"/>
      </w:rPr>
    </w:lvl>
    <w:lvl w:ilvl="5" w:tplc="78C47812">
      <w:numFmt w:val="bullet"/>
      <w:lvlText w:val="•"/>
      <w:lvlJc w:val="left"/>
      <w:pPr>
        <w:ind w:left="5490" w:hanging="347"/>
      </w:pPr>
      <w:rPr>
        <w:rFonts w:hint="default"/>
        <w:lang w:val="es-ES" w:eastAsia="en-US" w:bidi="ar-SA"/>
      </w:rPr>
    </w:lvl>
    <w:lvl w:ilvl="6" w:tplc="EA685A88">
      <w:numFmt w:val="bullet"/>
      <w:lvlText w:val="•"/>
      <w:lvlJc w:val="left"/>
      <w:pPr>
        <w:ind w:left="6564" w:hanging="347"/>
      </w:pPr>
      <w:rPr>
        <w:rFonts w:hint="default"/>
        <w:lang w:val="es-ES" w:eastAsia="en-US" w:bidi="ar-SA"/>
      </w:rPr>
    </w:lvl>
    <w:lvl w:ilvl="7" w:tplc="6A0E1732">
      <w:numFmt w:val="bullet"/>
      <w:lvlText w:val="•"/>
      <w:lvlJc w:val="left"/>
      <w:pPr>
        <w:ind w:left="7638" w:hanging="347"/>
      </w:pPr>
      <w:rPr>
        <w:rFonts w:hint="default"/>
        <w:lang w:val="es-ES" w:eastAsia="en-US" w:bidi="ar-SA"/>
      </w:rPr>
    </w:lvl>
    <w:lvl w:ilvl="8" w:tplc="38CE9F84">
      <w:numFmt w:val="bullet"/>
      <w:lvlText w:val="•"/>
      <w:lvlJc w:val="left"/>
      <w:pPr>
        <w:ind w:left="8712" w:hanging="347"/>
      </w:pPr>
      <w:rPr>
        <w:rFonts w:hint="default"/>
        <w:lang w:val="es-ES" w:eastAsia="en-US" w:bidi="ar-SA"/>
      </w:rPr>
    </w:lvl>
  </w:abstractNum>
  <w:abstractNum w:abstractNumId="10" w15:restartNumberingAfterBreak="0">
    <w:nsid w:val="29846E9F"/>
    <w:multiLevelType w:val="hybridMultilevel"/>
    <w:tmpl w:val="393E8532"/>
    <w:lvl w:ilvl="0" w:tplc="40F440E0">
      <w:start w:val="1"/>
      <w:numFmt w:val="lowerLetter"/>
      <w:lvlText w:val="%1)"/>
      <w:lvlJc w:val="left"/>
      <w:pPr>
        <w:ind w:left="112" w:hanging="284"/>
        <w:jc w:val="left"/>
      </w:pPr>
      <w:rPr>
        <w:rFonts w:ascii="Arial" w:eastAsia="Arial" w:hAnsi="Arial" w:cs="Arial" w:hint="default"/>
        <w:b w:val="0"/>
        <w:bCs w:val="0"/>
        <w:i w:val="0"/>
        <w:iCs w:val="0"/>
        <w:w w:val="101"/>
        <w:sz w:val="23"/>
        <w:szCs w:val="23"/>
        <w:lang w:val="es-ES" w:eastAsia="en-US" w:bidi="ar-SA"/>
      </w:rPr>
    </w:lvl>
    <w:lvl w:ilvl="1" w:tplc="5A028B22">
      <w:numFmt w:val="bullet"/>
      <w:lvlText w:val="•"/>
      <w:lvlJc w:val="left"/>
      <w:pPr>
        <w:ind w:left="1194" w:hanging="284"/>
      </w:pPr>
      <w:rPr>
        <w:rFonts w:hint="default"/>
        <w:lang w:val="es-ES" w:eastAsia="en-US" w:bidi="ar-SA"/>
      </w:rPr>
    </w:lvl>
    <w:lvl w:ilvl="2" w:tplc="3776FF40">
      <w:numFmt w:val="bullet"/>
      <w:lvlText w:val="•"/>
      <w:lvlJc w:val="left"/>
      <w:pPr>
        <w:ind w:left="2268" w:hanging="284"/>
      </w:pPr>
      <w:rPr>
        <w:rFonts w:hint="default"/>
        <w:lang w:val="es-ES" w:eastAsia="en-US" w:bidi="ar-SA"/>
      </w:rPr>
    </w:lvl>
    <w:lvl w:ilvl="3" w:tplc="F6E0A7FE">
      <w:numFmt w:val="bullet"/>
      <w:lvlText w:val="•"/>
      <w:lvlJc w:val="left"/>
      <w:pPr>
        <w:ind w:left="3342" w:hanging="284"/>
      </w:pPr>
      <w:rPr>
        <w:rFonts w:hint="default"/>
        <w:lang w:val="es-ES" w:eastAsia="en-US" w:bidi="ar-SA"/>
      </w:rPr>
    </w:lvl>
    <w:lvl w:ilvl="4" w:tplc="5BEE4E90">
      <w:numFmt w:val="bullet"/>
      <w:lvlText w:val="•"/>
      <w:lvlJc w:val="left"/>
      <w:pPr>
        <w:ind w:left="4416" w:hanging="284"/>
      </w:pPr>
      <w:rPr>
        <w:rFonts w:hint="default"/>
        <w:lang w:val="es-ES" w:eastAsia="en-US" w:bidi="ar-SA"/>
      </w:rPr>
    </w:lvl>
    <w:lvl w:ilvl="5" w:tplc="50682CD4">
      <w:numFmt w:val="bullet"/>
      <w:lvlText w:val="•"/>
      <w:lvlJc w:val="left"/>
      <w:pPr>
        <w:ind w:left="5490" w:hanging="284"/>
      </w:pPr>
      <w:rPr>
        <w:rFonts w:hint="default"/>
        <w:lang w:val="es-ES" w:eastAsia="en-US" w:bidi="ar-SA"/>
      </w:rPr>
    </w:lvl>
    <w:lvl w:ilvl="6" w:tplc="30DCCFFE">
      <w:numFmt w:val="bullet"/>
      <w:lvlText w:val="•"/>
      <w:lvlJc w:val="left"/>
      <w:pPr>
        <w:ind w:left="6564" w:hanging="284"/>
      </w:pPr>
      <w:rPr>
        <w:rFonts w:hint="default"/>
        <w:lang w:val="es-ES" w:eastAsia="en-US" w:bidi="ar-SA"/>
      </w:rPr>
    </w:lvl>
    <w:lvl w:ilvl="7" w:tplc="D228E068">
      <w:numFmt w:val="bullet"/>
      <w:lvlText w:val="•"/>
      <w:lvlJc w:val="left"/>
      <w:pPr>
        <w:ind w:left="7638" w:hanging="284"/>
      </w:pPr>
      <w:rPr>
        <w:rFonts w:hint="default"/>
        <w:lang w:val="es-ES" w:eastAsia="en-US" w:bidi="ar-SA"/>
      </w:rPr>
    </w:lvl>
    <w:lvl w:ilvl="8" w:tplc="9B50DA5C">
      <w:numFmt w:val="bullet"/>
      <w:lvlText w:val="•"/>
      <w:lvlJc w:val="left"/>
      <w:pPr>
        <w:ind w:left="8712" w:hanging="284"/>
      </w:pPr>
      <w:rPr>
        <w:rFonts w:hint="default"/>
        <w:lang w:val="es-ES" w:eastAsia="en-US" w:bidi="ar-SA"/>
      </w:rPr>
    </w:lvl>
  </w:abstractNum>
  <w:abstractNum w:abstractNumId="11" w15:restartNumberingAfterBreak="0">
    <w:nsid w:val="366D2833"/>
    <w:multiLevelType w:val="hybridMultilevel"/>
    <w:tmpl w:val="A7944E64"/>
    <w:lvl w:ilvl="0" w:tplc="C9706A02">
      <w:start w:val="1"/>
      <w:numFmt w:val="lowerLetter"/>
      <w:lvlText w:val="%1)"/>
      <w:lvlJc w:val="left"/>
      <w:pPr>
        <w:ind w:left="112" w:hanging="317"/>
        <w:jc w:val="left"/>
      </w:pPr>
      <w:rPr>
        <w:rFonts w:ascii="Arial" w:eastAsia="Arial" w:hAnsi="Arial" w:cs="Arial" w:hint="default"/>
        <w:b/>
        <w:bCs/>
        <w:i w:val="0"/>
        <w:iCs w:val="0"/>
        <w:w w:val="101"/>
        <w:sz w:val="23"/>
        <w:szCs w:val="23"/>
        <w:lang w:val="es-ES" w:eastAsia="en-US" w:bidi="ar-SA"/>
      </w:rPr>
    </w:lvl>
    <w:lvl w:ilvl="1" w:tplc="5F744D38">
      <w:numFmt w:val="bullet"/>
      <w:lvlText w:val="•"/>
      <w:lvlJc w:val="left"/>
      <w:pPr>
        <w:ind w:left="1194" w:hanging="317"/>
      </w:pPr>
      <w:rPr>
        <w:rFonts w:hint="default"/>
        <w:lang w:val="es-ES" w:eastAsia="en-US" w:bidi="ar-SA"/>
      </w:rPr>
    </w:lvl>
    <w:lvl w:ilvl="2" w:tplc="BF02412E">
      <w:numFmt w:val="bullet"/>
      <w:lvlText w:val="•"/>
      <w:lvlJc w:val="left"/>
      <w:pPr>
        <w:ind w:left="2268" w:hanging="317"/>
      </w:pPr>
      <w:rPr>
        <w:rFonts w:hint="default"/>
        <w:lang w:val="es-ES" w:eastAsia="en-US" w:bidi="ar-SA"/>
      </w:rPr>
    </w:lvl>
    <w:lvl w:ilvl="3" w:tplc="F3DE440E">
      <w:numFmt w:val="bullet"/>
      <w:lvlText w:val="•"/>
      <w:lvlJc w:val="left"/>
      <w:pPr>
        <w:ind w:left="3342" w:hanging="317"/>
      </w:pPr>
      <w:rPr>
        <w:rFonts w:hint="default"/>
        <w:lang w:val="es-ES" w:eastAsia="en-US" w:bidi="ar-SA"/>
      </w:rPr>
    </w:lvl>
    <w:lvl w:ilvl="4" w:tplc="5614C97A">
      <w:numFmt w:val="bullet"/>
      <w:lvlText w:val="•"/>
      <w:lvlJc w:val="left"/>
      <w:pPr>
        <w:ind w:left="4416" w:hanging="317"/>
      </w:pPr>
      <w:rPr>
        <w:rFonts w:hint="default"/>
        <w:lang w:val="es-ES" w:eastAsia="en-US" w:bidi="ar-SA"/>
      </w:rPr>
    </w:lvl>
    <w:lvl w:ilvl="5" w:tplc="FF586B3E">
      <w:numFmt w:val="bullet"/>
      <w:lvlText w:val="•"/>
      <w:lvlJc w:val="left"/>
      <w:pPr>
        <w:ind w:left="5490" w:hanging="317"/>
      </w:pPr>
      <w:rPr>
        <w:rFonts w:hint="default"/>
        <w:lang w:val="es-ES" w:eastAsia="en-US" w:bidi="ar-SA"/>
      </w:rPr>
    </w:lvl>
    <w:lvl w:ilvl="6" w:tplc="B920794E">
      <w:numFmt w:val="bullet"/>
      <w:lvlText w:val="•"/>
      <w:lvlJc w:val="left"/>
      <w:pPr>
        <w:ind w:left="6564" w:hanging="317"/>
      </w:pPr>
      <w:rPr>
        <w:rFonts w:hint="default"/>
        <w:lang w:val="es-ES" w:eastAsia="en-US" w:bidi="ar-SA"/>
      </w:rPr>
    </w:lvl>
    <w:lvl w:ilvl="7" w:tplc="30CEA280">
      <w:numFmt w:val="bullet"/>
      <w:lvlText w:val="•"/>
      <w:lvlJc w:val="left"/>
      <w:pPr>
        <w:ind w:left="7638" w:hanging="317"/>
      </w:pPr>
      <w:rPr>
        <w:rFonts w:hint="default"/>
        <w:lang w:val="es-ES" w:eastAsia="en-US" w:bidi="ar-SA"/>
      </w:rPr>
    </w:lvl>
    <w:lvl w:ilvl="8" w:tplc="77E85E3A">
      <w:numFmt w:val="bullet"/>
      <w:lvlText w:val="•"/>
      <w:lvlJc w:val="left"/>
      <w:pPr>
        <w:ind w:left="8712" w:hanging="317"/>
      </w:pPr>
      <w:rPr>
        <w:rFonts w:hint="default"/>
        <w:lang w:val="es-ES" w:eastAsia="en-US" w:bidi="ar-SA"/>
      </w:rPr>
    </w:lvl>
  </w:abstractNum>
  <w:abstractNum w:abstractNumId="12" w15:restartNumberingAfterBreak="0">
    <w:nsid w:val="3C471DAB"/>
    <w:multiLevelType w:val="hybridMultilevel"/>
    <w:tmpl w:val="B16C080C"/>
    <w:lvl w:ilvl="0" w:tplc="39329EBC">
      <w:start w:val="1"/>
      <w:numFmt w:val="lowerLetter"/>
      <w:lvlText w:val="%1)"/>
      <w:lvlJc w:val="left"/>
      <w:pPr>
        <w:ind w:left="384" w:hanging="273"/>
        <w:jc w:val="left"/>
      </w:pPr>
      <w:rPr>
        <w:rFonts w:ascii="Arial" w:eastAsia="Arial" w:hAnsi="Arial" w:cs="Arial" w:hint="default"/>
        <w:b/>
        <w:bCs/>
        <w:i w:val="0"/>
        <w:iCs w:val="0"/>
        <w:w w:val="101"/>
        <w:sz w:val="23"/>
        <w:szCs w:val="23"/>
        <w:lang w:val="es-ES" w:eastAsia="en-US" w:bidi="ar-SA"/>
      </w:rPr>
    </w:lvl>
    <w:lvl w:ilvl="1" w:tplc="24C85B82">
      <w:numFmt w:val="bullet"/>
      <w:lvlText w:val="•"/>
      <w:lvlJc w:val="left"/>
      <w:pPr>
        <w:ind w:left="1428" w:hanging="273"/>
      </w:pPr>
      <w:rPr>
        <w:rFonts w:hint="default"/>
        <w:lang w:val="es-ES" w:eastAsia="en-US" w:bidi="ar-SA"/>
      </w:rPr>
    </w:lvl>
    <w:lvl w:ilvl="2" w:tplc="2304BB74">
      <w:numFmt w:val="bullet"/>
      <w:lvlText w:val="•"/>
      <w:lvlJc w:val="left"/>
      <w:pPr>
        <w:ind w:left="2476" w:hanging="273"/>
      </w:pPr>
      <w:rPr>
        <w:rFonts w:hint="default"/>
        <w:lang w:val="es-ES" w:eastAsia="en-US" w:bidi="ar-SA"/>
      </w:rPr>
    </w:lvl>
    <w:lvl w:ilvl="3" w:tplc="FC3AD45C">
      <w:numFmt w:val="bullet"/>
      <w:lvlText w:val="•"/>
      <w:lvlJc w:val="left"/>
      <w:pPr>
        <w:ind w:left="3524" w:hanging="273"/>
      </w:pPr>
      <w:rPr>
        <w:rFonts w:hint="default"/>
        <w:lang w:val="es-ES" w:eastAsia="en-US" w:bidi="ar-SA"/>
      </w:rPr>
    </w:lvl>
    <w:lvl w:ilvl="4" w:tplc="500EBFD4">
      <w:numFmt w:val="bullet"/>
      <w:lvlText w:val="•"/>
      <w:lvlJc w:val="left"/>
      <w:pPr>
        <w:ind w:left="4572" w:hanging="273"/>
      </w:pPr>
      <w:rPr>
        <w:rFonts w:hint="default"/>
        <w:lang w:val="es-ES" w:eastAsia="en-US" w:bidi="ar-SA"/>
      </w:rPr>
    </w:lvl>
    <w:lvl w:ilvl="5" w:tplc="9E746FAA">
      <w:numFmt w:val="bullet"/>
      <w:lvlText w:val="•"/>
      <w:lvlJc w:val="left"/>
      <w:pPr>
        <w:ind w:left="5620" w:hanging="273"/>
      </w:pPr>
      <w:rPr>
        <w:rFonts w:hint="default"/>
        <w:lang w:val="es-ES" w:eastAsia="en-US" w:bidi="ar-SA"/>
      </w:rPr>
    </w:lvl>
    <w:lvl w:ilvl="6" w:tplc="2872F19A">
      <w:numFmt w:val="bullet"/>
      <w:lvlText w:val="•"/>
      <w:lvlJc w:val="left"/>
      <w:pPr>
        <w:ind w:left="6668" w:hanging="273"/>
      </w:pPr>
      <w:rPr>
        <w:rFonts w:hint="default"/>
        <w:lang w:val="es-ES" w:eastAsia="en-US" w:bidi="ar-SA"/>
      </w:rPr>
    </w:lvl>
    <w:lvl w:ilvl="7" w:tplc="6A885BA4">
      <w:numFmt w:val="bullet"/>
      <w:lvlText w:val="•"/>
      <w:lvlJc w:val="left"/>
      <w:pPr>
        <w:ind w:left="7716" w:hanging="273"/>
      </w:pPr>
      <w:rPr>
        <w:rFonts w:hint="default"/>
        <w:lang w:val="es-ES" w:eastAsia="en-US" w:bidi="ar-SA"/>
      </w:rPr>
    </w:lvl>
    <w:lvl w:ilvl="8" w:tplc="3B522F9A">
      <w:numFmt w:val="bullet"/>
      <w:lvlText w:val="•"/>
      <w:lvlJc w:val="left"/>
      <w:pPr>
        <w:ind w:left="8764" w:hanging="273"/>
      </w:pPr>
      <w:rPr>
        <w:rFonts w:hint="default"/>
        <w:lang w:val="es-ES" w:eastAsia="en-US" w:bidi="ar-SA"/>
      </w:rPr>
    </w:lvl>
  </w:abstractNum>
  <w:abstractNum w:abstractNumId="13" w15:restartNumberingAfterBreak="0">
    <w:nsid w:val="3D7B5CFE"/>
    <w:multiLevelType w:val="hybridMultilevel"/>
    <w:tmpl w:val="887ED80C"/>
    <w:lvl w:ilvl="0" w:tplc="D53A9D8A">
      <w:start w:val="1"/>
      <w:numFmt w:val="decimal"/>
      <w:lvlText w:val="%1."/>
      <w:lvlJc w:val="left"/>
      <w:pPr>
        <w:ind w:left="371" w:hanging="260"/>
        <w:jc w:val="left"/>
      </w:pPr>
      <w:rPr>
        <w:rFonts w:ascii="Arial" w:eastAsia="Arial" w:hAnsi="Arial" w:cs="Arial" w:hint="default"/>
        <w:b w:val="0"/>
        <w:bCs w:val="0"/>
        <w:i w:val="0"/>
        <w:iCs w:val="0"/>
        <w:w w:val="101"/>
        <w:sz w:val="23"/>
        <w:szCs w:val="23"/>
        <w:lang w:val="es-ES" w:eastAsia="en-US" w:bidi="ar-SA"/>
      </w:rPr>
    </w:lvl>
    <w:lvl w:ilvl="1" w:tplc="5332310E">
      <w:numFmt w:val="bullet"/>
      <w:lvlText w:val="•"/>
      <w:lvlJc w:val="left"/>
      <w:pPr>
        <w:ind w:left="112" w:hanging="147"/>
      </w:pPr>
      <w:rPr>
        <w:rFonts w:ascii="Arial" w:eastAsia="Arial" w:hAnsi="Arial" w:cs="Arial" w:hint="default"/>
        <w:b/>
        <w:bCs/>
        <w:i w:val="0"/>
        <w:iCs w:val="0"/>
        <w:w w:val="101"/>
        <w:sz w:val="23"/>
        <w:szCs w:val="23"/>
        <w:lang w:val="es-ES" w:eastAsia="en-US" w:bidi="ar-SA"/>
      </w:rPr>
    </w:lvl>
    <w:lvl w:ilvl="2" w:tplc="700AB7F8">
      <w:numFmt w:val="bullet"/>
      <w:lvlText w:val="•"/>
      <w:lvlJc w:val="left"/>
      <w:pPr>
        <w:ind w:left="1544" w:hanging="147"/>
      </w:pPr>
      <w:rPr>
        <w:rFonts w:hint="default"/>
        <w:lang w:val="es-ES" w:eastAsia="en-US" w:bidi="ar-SA"/>
      </w:rPr>
    </w:lvl>
    <w:lvl w:ilvl="3" w:tplc="170C925E">
      <w:numFmt w:val="bullet"/>
      <w:lvlText w:val="•"/>
      <w:lvlJc w:val="left"/>
      <w:pPr>
        <w:ind w:left="2708" w:hanging="147"/>
      </w:pPr>
      <w:rPr>
        <w:rFonts w:hint="default"/>
        <w:lang w:val="es-ES" w:eastAsia="en-US" w:bidi="ar-SA"/>
      </w:rPr>
    </w:lvl>
    <w:lvl w:ilvl="4" w:tplc="C54A5E74">
      <w:numFmt w:val="bullet"/>
      <w:lvlText w:val="•"/>
      <w:lvlJc w:val="left"/>
      <w:pPr>
        <w:ind w:left="3873" w:hanging="147"/>
      </w:pPr>
      <w:rPr>
        <w:rFonts w:hint="default"/>
        <w:lang w:val="es-ES" w:eastAsia="en-US" w:bidi="ar-SA"/>
      </w:rPr>
    </w:lvl>
    <w:lvl w:ilvl="5" w:tplc="F9CCC3EC">
      <w:numFmt w:val="bullet"/>
      <w:lvlText w:val="•"/>
      <w:lvlJc w:val="left"/>
      <w:pPr>
        <w:ind w:left="5037" w:hanging="147"/>
      </w:pPr>
      <w:rPr>
        <w:rFonts w:hint="default"/>
        <w:lang w:val="es-ES" w:eastAsia="en-US" w:bidi="ar-SA"/>
      </w:rPr>
    </w:lvl>
    <w:lvl w:ilvl="6" w:tplc="ECDEC4BA">
      <w:numFmt w:val="bullet"/>
      <w:lvlText w:val="•"/>
      <w:lvlJc w:val="left"/>
      <w:pPr>
        <w:ind w:left="6202" w:hanging="147"/>
      </w:pPr>
      <w:rPr>
        <w:rFonts w:hint="default"/>
        <w:lang w:val="es-ES" w:eastAsia="en-US" w:bidi="ar-SA"/>
      </w:rPr>
    </w:lvl>
    <w:lvl w:ilvl="7" w:tplc="92C63EF6">
      <w:numFmt w:val="bullet"/>
      <w:lvlText w:val="•"/>
      <w:lvlJc w:val="left"/>
      <w:pPr>
        <w:ind w:left="7366" w:hanging="147"/>
      </w:pPr>
      <w:rPr>
        <w:rFonts w:hint="default"/>
        <w:lang w:val="es-ES" w:eastAsia="en-US" w:bidi="ar-SA"/>
      </w:rPr>
    </w:lvl>
    <w:lvl w:ilvl="8" w:tplc="EE8C111C">
      <w:numFmt w:val="bullet"/>
      <w:lvlText w:val="•"/>
      <w:lvlJc w:val="left"/>
      <w:pPr>
        <w:ind w:left="8531" w:hanging="147"/>
      </w:pPr>
      <w:rPr>
        <w:rFonts w:hint="default"/>
        <w:lang w:val="es-ES" w:eastAsia="en-US" w:bidi="ar-SA"/>
      </w:rPr>
    </w:lvl>
  </w:abstractNum>
  <w:abstractNum w:abstractNumId="14" w15:restartNumberingAfterBreak="0">
    <w:nsid w:val="3FAF52AD"/>
    <w:multiLevelType w:val="hybridMultilevel"/>
    <w:tmpl w:val="F2E85C7C"/>
    <w:lvl w:ilvl="0" w:tplc="9F4839C0">
      <w:start w:val="1"/>
      <w:numFmt w:val="lowerLetter"/>
      <w:lvlText w:val="%1)"/>
      <w:lvlJc w:val="left"/>
      <w:pPr>
        <w:ind w:left="112" w:hanging="292"/>
        <w:jc w:val="left"/>
      </w:pPr>
      <w:rPr>
        <w:rFonts w:ascii="Arial" w:eastAsia="Arial" w:hAnsi="Arial" w:cs="Arial" w:hint="default"/>
        <w:b/>
        <w:bCs/>
        <w:i w:val="0"/>
        <w:iCs w:val="0"/>
        <w:w w:val="101"/>
        <w:sz w:val="23"/>
        <w:szCs w:val="23"/>
        <w:lang w:val="es-ES" w:eastAsia="en-US" w:bidi="ar-SA"/>
      </w:rPr>
    </w:lvl>
    <w:lvl w:ilvl="1" w:tplc="E326CD04">
      <w:numFmt w:val="bullet"/>
      <w:lvlText w:val="•"/>
      <w:lvlJc w:val="left"/>
      <w:pPr>
        <w:ind w:left="1194" w:hanging="292"/>
      </w:pPr>
      <w:rPr>
        <w:rFonts w:hint="default"/>
        <w:lang w:val="es-ES" w:eastAsia="en-US" w:bidi="ar-SA"/>
      </w:rPr>
    </w:lvl>
    <w:lvl w:ilvl="2" w:tplc="B61A7A68">
      <w:numFmt w:val="bullet"/>
      <w:lvlText w:val="•"/>
      <w:lvlJc w:val="left"/>
      <w:pPr>
        <w:ind w:left="2268" w:hanging="292"/>
      </w:pPr>
      <w:rPr>
        <w:rFonts w:hint="default"/>
        <w:lang w:val="es-ES" w:eastAsia="en-US" w:bidi="ar-SA"/>
      </w:rPr>
    </w:lvl>
    <w:lvl w:ilvl="3" w:tplc="7D940FC4">
      <w:numFmt w:val="bullet"/>
      <w:lvlText w:val="•"/>
      <w:lvlJc w:val="left"/>
      <w:pPr>
        <w:ind w:left="3342" w:hanging="292"/>
      </w:pPr>
      <w:rPr>
        <w:rFonts w:hint="default"/>
        <w:lang w:val="es-ES" w:eastAsia="en-US" w:bidi="ar-SA"/>
      </w:rPr>
    </w:lvl>
    <w:lvl w:ilvl="4" w:tplc="1324D26E">
      <w:numFmt w:val="bullet"/>
      <w:lvlText w:val="•"/>
      <w:lvlJc w:val="left"/>
      <w:pPr>
        <w:ind w:left="4416" w:hanging="292"/>
      </w:pPr>
      <w:rPr>
        <w:rFonts w:hint="default"/>
        <w:lang w:val="es-ES" w:eastAsia="en-US" w:bidi="ar-SA"/>
      </w:rPr>
    </w:lvl>
    <w:lvl w:ilvl="5" w:tplc="63C870FE">
      <w:numFmt w:val="bullet"/>
      <w:lvlText w:val="•"/>
      <w:lvlJc w:val="left"/>
      <w:pPr>
        <w:ind w:left="5490" w:hanging="292"/>
      </w:pPr>
      <w:rPr>
        <w:rFonts w:hint="default"/>
        <w:lang w:val="es-ES" w:eastAsia="en-US" w:bidi="ar-SA"/>
      </w:rPr>
    </w:lvl>
    <w:lvl w:ilvl="6" w:tplc="38160DDC">
      <w:numFmt w:val="bullet"/>
      <w:lvlText w:val="•"/>
      <w:lvlJc w:val="left"/>
      <w:pPr>
        <w:ind w:left="6564" w:hanging="292"/>
      </w:pPr>
      <w:rPr>
        <w:rFonts w:hint="default"/>
        <w:lang w:val="es-ES" w:eastAsia="en-US" w:bidi="ar-SA"/>
      </w:rPr>
    </w:lvl>
    <w:lvl w:ilvl="7" w:tplc="EED2A078">
      <w:numFmt w:val="bullet"/>
      <w:lvlText w:val="•"/>
      <w:lvlJc w:val="left"/>
      <w:pPr>
        <w:ind w:left="7638" w:hanging="292"/>
      </w:pPr>
      <w:rPr>
        <w:rFonts w:hint="default"/>
        <w:lang w:val="es-ES" w:eastAsia="en-US" w:bidi="ar-SA"/>
      </w:rPr>
    </w:lvl>
    <w:lvl w:ilvl="8" w:tplc="A094CD2E">
      <w:numFmt w:val="bullet"/>
      <w:lvlText w:val="•"/>
      <w:lvlJc w:val="left"/>
      <w:pPr>
        <w:ind w:left="8712" w:hanging="292"/>
      </w:pPr>
      <w:rPr>
        <w:rFonts w:hint="default"/>
        <w:lang w:val="es-ES" w:eastAsia="en-US" w:bidi="ar-SA"/>
      </w:rPr>
    </w:lvl>
  </w:abstractNum>
  <w:abstractNum w:abstractNumId="15" w15:restartNumberingAfterBreak="0">
    <w:nsid w:val="41D665CA"/>
    <w:multiLevelType w:val="hybridMultilevel"/>
    <w:tmpl w:val="602AC334"/>
    <w:lvl w:ilvl="0" w:tplc="2E7EE502">
      <w:start w:val="1"/>
      <w:numFmt w:val="decimal"/>
      <w:lvlText w:val="%1."/>
      <w:lvlJc w:val="left"/>
      <w:pPr>
        <w:ind w:left="112" w:hanging="282"/>
        <w:jc w:val="left"/>
      </w:pPr>
      <w:rPr>
        <w:rFonts w:ascii="Arial" w:eastAsia="Arial" w:hAnsi="Arial" w:cs="Arial" w:hint="default"/>
        <w:b w:val="0"/>
        <w:bCs w:val="0"/>
        <w:i w:val="0"/>
        <w:iCs w:val="0"/>
        <w:w w:val="101"/>
        <w:sz w:val="23"/>
        <w:szCs w:val="23"/>
        <w:lang w:val="es-ES" w:eastAsia="en-US" w:bidi="ar-SA"/>
      </w:rPr>
    </w:lvl>
    <w:lvl w:ilvl="1" w:tplc="26B0B8F2">
      <w:start w:val="1"/>
      <w:numFmt w:val="lowerLetter"/>
      <w:lvlText w:val="%2."/>
      <w:lvlJc w:val="left"/>
      <w:pPr>
        <w:ind w:left="112" w:hanging="305"/>
        <w:jc w:val="left"/>
      </w:pPr>
      <w:rPr>
        <w:rFonts w:ascii="Arial" w:eastAsia="Arial" w:hAnsi="Arial" w:cs="Arial" w:hint="default"/>
        <w:b w:val="0"/>
        <w:bCs w:val="0"/>
        <w:i w:val="0"/>
        <w:iCs w:val="0"/>
        <w:w w:val="101"/>
        <w:sz w:val="23"/>
        <w:szCs w:val="23"/>
        <w:lang w:val="es-ES" w:eastAsia="en-US" w:bidi="ar-SA"/>
      </w:rPr>
    </w:lvl>
    <w:lvl w:ilvl="2" w:tplc="C4AC9D3E">
      <w:numFmt w:val="bullet"/>
      <w:lvlText w:val="•"/>
      <w:lvlJc w:val="left"/>
      <w:pPr>
        <w:ind w:left="2268" w:hanging="305"/>
      </w:pPr>
      <w:rPr>
        <w:rFonts w:hint="default"/>
        <w:lang w:val="es-ES" w:eastAsia="en-US" w:bidi="ar-SA"/>
      </w:rPr>
    </w:lvl>
    <w:lvl w:ilvl="3" w:tplc="0350958A">
      <w:numFmt w:val="bullet"/>
      <w:lvlText w:val="•"/>
      <w:lvlJc w:val="left"/>
      <w:pPr>
        <w:ind w:left="3342" w:hanging="305"/>
      </w:pPr>
      <w:rPr>
        <w:rFonts w:hint="default"/>
        <w:lang w:val="es-ES" w:eastAsia="en-US" w:bidi="ar-SA"/>
      </w:rPr>
    </w:lvl>
    <w:lvl w:ilvl="4" w:tplc="3A1A7BDA">
      <w:numFmt w:val="bullet"/>
      <w:lvlText w:val="•"/>
      <w:lvlJc w:val="left"/>
      <w:pPr>
        <w:ind w:left="4416" w:hanging="305"/>
      </w:pPr>
      <w:rPr>
        <w:rFonts w:hint="default"/>
        <w:lang w:val="es-ES" w:eastAsia="en-US" w:bidi="ar-SA"/>
      </w:rPr>
    </w:lvl>
    <w:lvl w:ilvl="5" w:tplc="C6D204BE">
      <w:numFmt w:val="bullet"/>
      <w:lvlText w:val="•"/>
      <w:lvlJc w:val="left"/>
      <w:pPr>
        <w:ind w:left="5490" w:hanging="305"/>
      </w:pPr>
      <w:rPr>
        <w:rFonts w:hint="default"/>
        <w:lang w:val="es-ES" w:eastAsia="en-US" w:bidi="ar-SA"/>
      </w:rPr>
    </w:lvl>
    <w:lvl w:ilvl="6" w:tplc="39B066B8">
      <w:numFmt w:val="bullet"/>
      <w:lvlText w:val="•"/>
      <w:lvlJc w:val="left"/>
      <w:pPr>
        <w:ind w:left="6564" w:hanging="305"/>
      </w:pPr>
      <w:rPr>
        <w:rFonts w:hint="default"/>
        <w:lang w:val="es-ES" w:eastAsia="en-US" w:bidi="ar-SA"/>
      </w:rPr>
    </w:lvl>
    <w:lvl w:ilvl="7" w:tplc="1586FC8A">
      <w:numFmt w:val="bullet"/>
      <w:lvlText w:val="•"/>
      <w:lvlJc w:val="left"/>
      <w:pPr>
        <w:ind w:left="7638" w:hanging="305"/>
      </w:pPr>
      <w:rPr>
        <w:rFonts w:hint="default"/>
        <w:lang w:val="es-ES" w:eastAsia="en-US" w:bidi="ar-SA"/>
      </w:rPr>
    </w:lvl>
    <w:lvl w:ilvl="8" w:tplc="011A7FC2">
      <w:numFmt w:val="bullet"/>
      <w:lvlText w:val="•"/>
      <w:lvlJc w:val="left"/>
      <w:pPr>
        <w:ind w:left="8712" w:hanging="305"/>
      </w:pPr>
      <w:rPr>
        <w:rFonts w:hint="default"/>
        <w:lang w:val="es-ES" w:eastAsia="en-US" w:bidi="ar-SA"/>
      </w:rPr>
    </w:lvl>
  </w:abstractNum>
  <w:abstractNum w:abstractNumId="16" w15:restartNumberingAfterBreak="0">
    <w:nsid w:val="46CA01D8"/>
    <w:multiLevelType w:val="hybridMultilevel"/>
    <w:tmpl w:val="C26C26DE"/>
    <w:lvl w:ilvl="0" w:tplc="7ECCBFFA">
      <w:start w:val="1"/>
      <w:numFmt w:val="lowerLetter"/>
      <w:lvlText w:val="%1)"/>
      <w:lvlJc w:val="left"/>
      <w:pPr>
        <w:ind w:left="384" w:hanging="273"/>
        <w:jc w:val="left"/>
      </w:pPr>
      <w:rPr>
        <w:rFonts w:ascii="Arial" w:eastAsia="Arial" w:hAnsi="Arial" w:cs="Arial" w:hint="default"/>
        <w:b w:val="0"/>
        <w:bCs w:val="0"/>
        <w:i w:val="0"/>
        <w:iCs w:val="0"/>
        <w:w w:val="101"/>
        <w:sz w:val="23"/>
        <w:szCs w:val="23"/>
        <w:lang w:val="es-ES" w:eastAsia="en-US" w:bidi="ar-SA"/>
      </w:rPr>
    </w:lvl>
    <w:lvl w:ilvl="1" w:tplc="6AA6F6E4">
      <w:numFmt w:val="bullet"/>
      <w:lvlText w:val="•"/>
      <w:lvlJc w:val="left"/>
      <w:pPr>
        <w:ind w:left="1428" w:hanging="273"/>
      </w:pPr>
      <w:rPr>
        <w:rFonts w:hint="default"/>
        <w:lang w:val="es-ES" w:eastAsia="en-US" w:bidi="ar-SA"/>
      </w:rPr>
    </w:lvl>
    <w:lvl w:ilvl="2" w:tplc="28B2BB06">
      <w:numFmt w:val="bullet"/>
      <w:lvlText w:val="•"/>
      <w:lvlJc w:val="left"/>
      <w:pPr>
        <w:ind w:left="2476" w:hanging="273"/>
      </w:pPr>
      <w:rPr>
        <w:rFonts w:hint="default"/>
        <w:lang w:val="es-ES" w:eastAsia="en-US" w:bidi="ar-SA"/>
      </w:rPr>
    </w:lvl>
    <w:lvl w:ilvl="3" w:tplc="50F88E84">
      <w:numFmt w:val="bullet"/>
      <w:lvlText w:val="•"/>
      <w:lvlJc w:val="left"/>
      <w:pPr>
        <w:ind w:left="3524" w:hanging="273"/>
      </w:pPr>
      <w:rPr>
        <w:rFonts w:hint="default"/>
        <w:lang w:val="es-ES" w:eastAsia="en-US" w:bidi="ar-SA"/>
      </w:rPr>
    </w:lvl>
    <w:lvl w:ilvl="4" w:tplc="EE62BB0E">
      <w:numFmt w:val="bullet"/>
      <w:lvlText w:val="•"/>
      <w:lvlJc w:val="left"/>
      <w:pPr>
        <w:ind w:left="4572" w:hanging="273"/>
      </w:pPr>
      <w:rPr>
        <w:rFonts w:hint="default"/>
        <w:lang w:val="es-ES" w:eastAsia="en-US" w:bidi="ar-SA"/>
      </w:rPr>
    </w:lvl>
    <w:lvl w:ilvl="5" w:tplc="A86E2952">
      <w:numFmt w:val="bullet"/>
      <w:lvlText w:val="•"/>
      <w:lvlJc w:val="left"/>
      <w:pPr>
        <w:ind w:left="5620" w:hanging="273"/>
      </w:pPr>
      <w:rPr>
        <w:rFonts w:hint="default"/>
        <w:lang w:val="es-ES" w:eastAsia="en-US" w:bidi="ar-SA"/>
      </w:rPr>
    </w:lvl>
    <w:lvl w:ilvl="6" w:tplc="A23C7DCA">
      <w:numFmt w:val="bullet"/>
      <w:lvlText w:val="•"/>
      <w:lvlJc w:val="left"/>
      <w:pPr>
        <w:ind w:left="6668" w:hanging="273"/>
      </w:pPr>
      <w:rPr>
        <w:rFonts w:hint="default"/>
        <w:lang w:val="es-ES" w:eastAsia="en-US" w:bidi="ar-SA"/>
      </w:rPr>
    </w:lvl>
    <w:lvl w:ilvl="7" w:tplc="24342FCE">
      <w:numFmt w:val="bullet"/>
      <w:lvlText w:val="•"/>
      <w:lvlJc w:val="left"/>
      <w:pPr>
        <w:ind w:left="7716" w:hanging="273"/>
      </w:pPr>
      <w:rPr>
        <w:rFonts w:hint="default"/>
        <w:lang w:val="es-ES" w:eastAsia="en-US" w:bidi="ar-SA"/>
      </w:rPr>
    </w:lvl>
    <w:lvl w:ilvl="8" w:tplc="64AEFD9E">
      <w:numFmt w:val="bullet"/>
      <w:lvlText w:val="•"/>
      <w:lvlJc w:val="left"/>
      <w:pPr>
        <w:ind w:left="8764" w:hanging="273"/>
      </w:pPr>
      <w:rPr>
        <w:rFonts w:hint="default"/>
        <w:lang w:val="es-ES" w:eastAsia="en-US" w:bidi="ar-SA"/>
      </w:rPr>
    </w:lvl>
  </w:abstractNum>
  <w:abstractNum w:abstractNumId="17" w15:restartNumberingAfterBreak="0">
    <w:nsid w:val="489D61A0"/>
    <w:multiLevelType w:val="hybridMultilevel"/>
    <w:tmpl w:val="0CD6EA00"/>
    <w:lvl w:ilvl="0" w:tplc="BA609D9C">
      <w:start w:val="1"/>
      <w:numFmt w:val="decimal"/>
      <w:lvlText w:val="%1."/>
      <w:lvlJc w:val="left"/>
      <w:pPr>
        <w:ind w:left="112" w:hanging="277"/>
        <w:jc w:val="left"/>
      </w:pPr>
      <w:rPr>
        <w:rFonts w:ascii="Arial" w:eastAsia="Arial" w:hAnsi="Arial" w:cs="Arial" w:hint="default"/>
        <w:b w:val="0"/>
        <w:bCs w:val="0"/>
        <w:i w:val="0"/>
        <w:iCs w:val="0"/>
        <w:w w:val="101"/>
        <w:sz w:val="23"/>
        <w:szCs w:val="23"/>
        <w:lang w:val="es-ES" w:eastAsia="en-US" w:bidi="ar-SA"/>
      </w:rPr>
    </w:lvl>
    <w:lvl w:ilvl="1" w:tplc="E7AA0B5A">
      <w:numFmt w:val="bullet"/>
      <w:lvlText w:val="•"/>
      <w:lvlJc w:val="left"/>
      <w:pPr>
        <w:ind w:left="1194" w:hanging="277"/>
      </w:pPr>
      <w:rPr>
        <w:rFonts w:hint="default"/>
        <w:lang w:val="es-ES" w:eastAsia="en-US" w:bidi="ar-SA"/>
      </w:rPr>
    </w:lvl>
    <w:lvl w:ilvl="2" w:tplc="B956C814">
      <w:numFmt w:val="bullet"/>
      <w:lvlText w:val="•"/>
      <w:lvlJc w:val="left"/>
      <w:pPr>
        <w:ind w:left="2268" w:hanging="277"/>
      </w:pPr>
      <w:rPr>
        <w:rFonts w:hint="default"/>
        <w:lang w:val="es-ES" w:eastAsia="en-US" w:bidi="ar-SA"/>
      </w:rPr>
    </w:lvl>
    <w:lvl w:ilvl="3" w:tplc="536CA8F4">
      <w:numFmt w:val="bullet"/>
      <w:lvlText w:val="•"/>
      <w:lvlJc w:val="left"/>
      <w:pPr>
        <w:ind w:left="3342" w:hanging="277"/>
      </w:pPr>
      <w:rPr>
        <w:rFonts w:hint="default"/>
        <w:lang w:val="es-ES" w:eastAsia="en-US" w:bidi="ar-SA"/>
      </w:rPr>
    </w:lvl>
    <w:lvl w:ilvl="4" w:tplc="3E4658D6">
      <w:numFmt w:val="bullet"/>
      <w:lvlText w:val="•"/>
      <w:lvlJc w:val="left"/>
      <w:pPr>
        <w:ind w:left="4416" w:hanging="277"/>
      </w:pPr>
      <w:rPr>
        <w:rFonts w:hint="default"/>
        <w:lang w:val="es-ES" w:eastAsia="en-US" w:bidi="ar-SA"/>
      </w:rPr>
    </w:lvl>
    <w:lvl w:ilvl="5" w:tplc="5AA62DCA">
      <w:numFmt w:val="bullet"/>
      <w:lvlText w:val="•"/>
      <w:lvlJc w:val="left"/>
      <w:pPr>
        <w:ind w:left="5490" w:hanging="277"/>
      </w:pPr>
      <w:rPr>
        <w:rFonts w:hint="default"/>
        <w:lang w:val="es-ES" w:eastAsia="en-US" w:bidi="ar-SA"/>
      </w:rPr>
    </w:lvl>
    <w:lvl w:ilvl="6" w:tplc="1CC40418">
      <w:numFmt w:val="bullet"/>
      <w:lvlText w:val="•"/>
      <w:lvlJc w:val="left"/>
      <w:pPr>
        <w:ind w:left="6564" w:hanging="277"/>
      </w:pPr>
      <w:rPr>
        <w:rFonts w:hint="default"/>
        <w:lang w:val="es-ES" w:eastAsia="en-US" w:bidi="ar-SA"/>
      </w:rPr>
    </w:lvl>
    <w:lvl w:ilvl="7" w:tplc="65783CCA">
      <w:numFmt w:val="bullet"/>
      <w:lvlText w:val="•"/>
      <w:lvlJc w:val="left"/>
      <w:pPr>
        <w:ind w:left="7638" w:hanging="277"/>
      </w:pPr>
      <w:rPr>
        <w:rFonts w:hint="default"/>
        <w:lang w:val="es-ES" w:eastAsia="en-US" w:bidi="ar-SA"/>
      </w:rPr>
    </w:lvl>
    <w:lvl w:ilvl="8" w:tplc="849E12EA">
      <w:numFmt w:val="bullet"/>
      <w:lvlText w:val="•"/>
      <w:lvlJc w:val="left"/>
      <w:pPr>
        <w:ind w:left="8712" w:hanging="277"/>
      </w:pPr>
      <w:rPr>
        <w:rFonts w:hint="default"/>
        <w:lang w:val="es-ES" w:eastAsia="en-US" w:bidi="ar-SA"/>
      </w:rPr>
    </w:lvl>
  </w:abstractNum>
  <w:abstractNum w:abstractNumId="18" w15:restartNumberingAfterBreak="0">
    <w:nsid w:val="4AC82DCA"/>
    <w:multiLevelType w:val="hybridMultilevel"/>
    <w:tmpl w:val="9D7E7A2E"/>
    <w:lvl w:ilvl="0" w:tplc="D256A4AA">
      <w:start w:val="1"/>
      <w:numFmt w:val="lowerLetter"/>
      <w:lvlText w:val="%1)"/>
      <w:lvlJc w:val="left"/>
      <w:pPr>
        <w:ind w:left="112" w:hanging="273"/>
        <w:jc w:val="left"/>
      </w:pPr>
      <w:rPr>
        <w:rFonts w:hint="default"/>
        <w:w w:val="101"/>
        <w:lang w:val="es-ES" w:eastAsia="en-US" w:bidi="ar-SA"/>
      </w:rPr>
    </w:lvl>
    <w:lvl w:ilvl="1" w:tplc="AA367A3C">
      <w:numFmt w:val="bullet"/>
      <w:lvlText w:val="•"/>
      <w:lvlJc w:val="left"/>
      <w:pPr>
        <w:ind w:left="1194" w:hanging="273"/>
      </w:pPr>
      <w:rPr>
        <w:rFonts w:hint="default"/>
        <w:lang w:val="es-ES" w:eastAsia="en-US" w:bidi="ar-SA"/>
      </w:rPr>
    </w:lvl>
    <w:lvl w:ilvl="2" w:tplc="E21CDDD0">
      <w:numFmt w:val="bullet"/>
      <w:lvlText w:val="•"/>
      <w:lvlJc w:val="left"/>
      <w:pPr>
        <w:ind w:left="2268" w:hanging="273"/>
      </w:pPr>
      <w:rPr>
        <w:rFonts w:hint="default"/>
        <w:lang w:val="es-ES" w:eastAsia="en-US" w:bidi="ar-SA"/>
      </w:rPr>
    </w:lvl>
    <w:lvl w:ilvl="3" w:tplc="27C654E8">
      <w:numFmt w:val="bullet"/>
      <w:lvlText w:val="•"/>
      <w:lvlJc w:val="left"/>
      <w:pPr>
        <w:ind w:left="3342" w:hanging="273"/>
      </w:pPr>
      <w:rPr>
        <w:rFonts w:hint="default"/>
        <w:lang w:val="es-ES" w:eastAsia="en-US" w:bidi="ar-SA"/>
      </w:rPr>
    </w:lvl>
    <w:lvl w:ilvl="4" w:tplc="9DA07300">
      <w:numFmt w:val="bullet"/>
      <w:lvlText w:val="•"/>
      <w:lvlJc w:val="left"/>
      <w:pPr>
        <w:ind w:left="4416" w:hanging="273"/>
      </w:pPr>
      <w:rPr>
        <w:rFonts w:hint="default"/>
        <w:lang w:val="es-ES" w:eastAsia="en-US" w:bidi="ar-SA"/>
      </w:rPr>
    </w:lvl>
    <w:lvl w:ilvl="5" w:tplc="317E0750">
      <w:numFmt w:val="bullet"/>
      <w:lvlText w:val="•"/>
      <w:lvlJc w:val="left"/>
      <w:pPr>
        <w:ind w:left="5490" w:hanging="273"/>
      </w:pPr>
      <w:rPr>
        <w:rFonts w:hint="default"/>
        <w:lang w:val="es-ES" w:eastAsia="en-US" w:bidi="ar-SA"/>
      </w:rPr>
    </w:lvl>
    <w:lvl w:ilvl="6" w:tplc="F2FA1C34">
      <w:numFmt w:val="bullet"/>
      <w:lvlText w:val="•"/>
      <w:lvlJc w:val="left"/>
      <w:pPr>
        <w:ind w:left="6564" w:hanging="273"/>
      </w:pPr>
      <w:rPr>
        <w:rFonts w:hint="default"/>
        <w:lang w:val="es-ES" w:eastAsia="en-US" w:bidi="ar-SA"/>
      </w:rPr>
    </w:lvl>
    <w:lvl w:ilvl="7" w:tplc="7A929A12">
      <w:numFmt w:val="bullet"/>
      <w:lvlText w:val="•"/>
      <w:lvlJc w:val="left"/>
      <w:pPr>
        <w:ind w:left="7638" w:hanging="273"/>
      </w:pPr>
      <w:rPr>
        <w:rFonts w:hint="default"/>
        <w:lang w:val="es-ES" w:eastAsia="en-US" w:bidi="ar-SA"/>
      </w:rPr>
    </w:lvl>
    <w:lvl w:ilvl="8" w:tplc="3138BE3E">
      <w:numFmt w:val="bullet"/>
      <w:lvlText w:val="•"/>
      <w:lvlJc w:val="left"/>
      <w:pPr>
        <w:ind w:left="8712" w:hanging="273"/>
      </w:pPr>
      <w:rPr>
        <w:rFonts w:hint="default"/>
        <w:lang w:val="es-ES" w:eastAsia="en-US" w:bidi="ar-SA"/>
      </w:rPr>
    </w:lvl>
  </w:abstractNum>
  <w:abstractNum w:abstractNumId="19" w15:restartNumberingAfterBreak="0">
    <w:nsid w:val="4B2813B5"/>
    <w:multiLevelType w:val="hybridMultilevel"/>
    <w:tmpl w:val="71FEABEC"/>
    <w:lvl w:ilvl="0" w:tplc="13A0644A">
      <w:start w:val="1"/>
      <w:numFmt w:val="decimal"/>
      <w:lvlText w:val="%1."/>
      <w:lvlJc w:val="left"/>
      <w:pPr>
        <w:ind w:left="112" w:hanging="323"/>
        <w:jc w:val="left"/>
      </w:pPr>
      <w:rPr>
        <w:rFonts w:ascii="Arial" w:eastAsia="Arial" w:hAnsi="Arial" w:cs="Arial" w:hint="default"/>
        <w:b/>
        <w:bCs/>
        <w:i w:val="0"/>
        <w:iCs w:val="0"/>
        <w:w w:val="101"/>
        <w:sz w:val="23"/>
        <w:szCs w:val="23"/>
        <w:lang w:val="es-ES" w:eastAsia="en-US" w:bidi="ar-SA"/>
      </w:rPr>
    </w:lvl>
    <w:lvl w:ilvl="1" w:tplc="F912B6E4">
      <w:numFmt w:val="bullet"/>
      <w:lvlText w:val="•"/>
      <w:lvlJc w:val="left"/>
      <w:pPr>
        <w:ind w:left="1194" w:hanging="323"/>
      </w:pPr>
      <w:rPr>
        <w:rFonts w:hint="default"/>
        <w:lang w:val="es-ES" w:eastAsia="en-US" w:bidi="ar-SA"/>
      </w:rPr>
    </w:lvl>
    <w:lvl w:ilvl="2" w:tplc="E904BDE6">
      <w:numFmt w:val="bullet"/>
      <w:lvlText w:val="•"/>
      <w:lvlJc w:val="left"/>
      <w:pPr>
        <w:ind w:left="2268" w:hanging="323"/>
      </w:pPr>
      <w:rPr>
        <w:rFonts w:hint="default"/>
        <w:lang w:val="es-ES" w:eastAsia="en-US" w:bidi="ar-SA"/>
      </w:rPr>
    </w:lvl>
    <w:lvl w:ilvl="3" w:tplc="D6F407CA">
      <w:numFmt w:val="bullet"/>
      <w:lvlText w:val="•"/>
      <w:lvlJc w:val="left"/>
      <w:pPr>
        <w:ind w:left="3342" w:hanging="323"/>
      </w:pPr>
      <w:rPr>
        <w:rFonts w:hint="default"/>
        <w:lang w:val="es-ES" w:eastAsia="en-US" w:bidi="ar-SA"/>
      </w:rPr>
    </w:lvl>
    <w:lvl w:ilvl="4" w:tplc="4936F0C8">
      <w:numFmt w:val="bullet"/>
      <w:lvlText w:val="•"/>
      <w:lvlJc w:val="left"/>
      <w:pPr>
        <w:ind w:left="4416" w:hanging="323"/>
      </w:pPr>
      <w:rPr>
        <w:rFonts w:hint="default"/>
        <w:lang w:val="es-ES" w:eastAsia="en-US" w:bidi="ar-SA"/>
      </w:rPr>
    </w:lvl>
    <w:lvl w:ilvl="5" w:tplc="BB9E4706">
      <w:numFmt w:val="bullet"/>
      <w:lvlText w:val="•"/>
      <w:lvlJc w:val="left"/>
      <w:pPr>
        <w:ind w:left="5490" w:hanging="323"/>
      </w:pPr>
      <w:rPr>
        <w:rFonts w:hint="default"/>
        <w:lang w:val="es-ES" w:eastAsia="en-US" w:bidi="ar-SA"/>
      </w:rPr>
    </w:lvl>
    <w:lvl w:ilvl="6" w:tplc="125CBD32">
      <w:numFmt w:val="bullet"/>
      <w:lvlText w:val="•"/>
      <w:lvlJc w:val="left"/>
      <w:pPr>
        <w:ind w:left="6564" w:hanging="323"/>
      </w:pPr>
      <w:rPr>
        <w:rFonts w:hint="default"/>
        <w:lang w:val="es-ES" w:eastAsia="en-US" w:bidi="ar-SA"/>
      </w:rPr>
    </w:lvl>
    <w:lvl w:ilvl="7" w:tplc="B8587DD0">
      <w:numFmt w:val="bullet"/>
      <w:lvlText w:val="•"/>
      <w:lvlJc w:val="left"/>
      <w:pPr>
        <w:ind w:left="7638" w:hanging="323"/>
      </w:pPr>
      <w:rPr>
        <w:rFonts w:hint="default"/>
        <w:lang w:val="es-ES" w:eastAsia="en-US" w:bidi="ar-SA"/>
      </w:rPr>
    </w:lvl>
    <w:lvl w:ilvl="8" w:tplc="22EC3924">
      <w:numFmt w:val="bullet"/>
      <w:lvlText w:val="•"/>
      <w:lvlJc w:val="left"/>
      <w:pPr>
        <w:ind w:left="8712" w:hanging="323"/>
      </w:pPr>
      <w:rPr>
        <w:rFonts w:hint="default"/>
        <w:lang w:val="es-ES" w:eastAsia="en-US" w:bidi="ar-SA"/>
      </w:rPr>
    </w:lvl>
  </w:abstractNum>
  <w:abstractNum w:abstractNumId="20" w15:restartNumberingAfterBreak="0">
    <w:nsid w:val="4C510B20"/>
    <w:multiLevelType w:val="hybridMultilevel"/>
    <w:tmpl w:val="FC62F532"/>
    <w:lvl w:ilvl="0" w:tplc="36641BB4">
      <w:start w:val="1"/>
      <w:numFmt w:val="lowerLetter"/>
      <w:lvlText w:val="%1."/>
      <w:lvlJc w:val="left"/>
      <w:pPr>
        <w:ind w:left="112" w:hanging="276"/>
        <w:jc w:val="left"/>
      </w:pPr>
      <w:rPr>
        <w:rFonts w:ascii="Arial" w:eastAsia="Arial" w:hAnsi="Arial" w:cs="Arial" w:hint="default"/>
        <w:b/>
        <w:bCs/>
        <w:i w:val="0"/>
        <w:iCs w:val="0"/>
        <w:w w:val="101"/>
        <w:sz w:val="23"/>
        <w:szCs w:val="23"/>
        <w:lang w:val="es-ES" w:eastAsia="en-US" w:bidi="ar-SA"/>
      </w:rPr>
    </w:lvl>
    <w:lvl w:ilvl="1" w:tplc="31D4144E">
      <w:numFmt w:val="bullet"/>
      <w:lvlText w:val="•"/>
      <w:lvlJc w:val="left"/>
      <w:pPr>
        <w:ind w:left="1194" w:hanging="276"/>
      </w:pPr>
      <w:rPr>
        <w:rFonts w:hint="default"/>
        <w:lang w:val="es-ES" w:eastAsia="en-US" w:bidi="ar-SA"/>
      </w:rPr>
    </w:lvl>
    <w:lvl w:ilvl="2" w:tplc="5176A4B6">
      <w:numFmt w:val="bullet"/>
      <w:lvlText w:val="•"/>
      <w:lvlJc w:val="left"/>
      <w:pPr>
        <w:ind w:left="2268" w:hanging="276"/>
      </w:pPr>
      <w:rPr>
        <w:rFonts w:hint="default"/>
        <w:lang w:val="es-ES" w:eastAsia="en-US" w:bidi="ar-SA"/>
      </w:rPr>
    </w:lvl>
    <w:lvl w:ilvl="3" w:tplc="7266539E">
      <w:numFmt w:val="bullet"/>
      <w:lvlText w:val="•"/>
      <w:lvlJc w:val="left"/>
      <w:pPr>
        <w:ind w:left="3342" w:hanging="276"/>
      </w:pPr>
      <w:rPr>
        <w:rFonts w:hint="default"/>
        <w:lang w:val="es-ES" w:eastAsia="en-US" w:bidi="ar-SA"/>
      </w:rPr>
    </w:lvl>
    <w:lvl w:ilvl="4" w:tplc="6B24CAC6">
      <w:numFmt w:val="bullet"/>
      <w:lvlText w:val="•"/>
      <w:lvlJc w:val="left"/>
      <w:pPr>
        <w:ind w:left="4416" w:hanging="276"/>
      </w:pPr>
      <w:rPr>
        <w:rFonts w:hint="default"/>
        <w:lang w:val="es-ES" w:eastAsia="en-US" w:bidi="ar-SA"/>
      </w:rPr>
    </w:lvl>
    <w:lvl w:ilvl="5" w:tplc="BFC0A8A6">
      <w:numFmt w:val="bullet"/>
      <w:lvlText w:val="•"/>
      <w:lvlJc w:val="left"/>
      <w:pPr>
        <w:ind w:left="5490" w:hanging="276"/>
      </w:pPr>
      <w:rPr>
        <w:rFonts w:hint="default"/>
        <w:lang w:val="es-ES" w:eastAsia="en-US" w:bidi="ar-SA"/>
      </w:rPr>
    </w:lvl>
    <w:lvl w:ilvl="6" w:tplc="7BAE4602">
      <w:numFmt w:val="bullet"/>
      <w:lvlText w:val="•"/>
      <w:lvlJc w:val="left"/>
      <w:pPr>
        <w:ind w:left="6564" w:hanging="276"/>
      </w:pPr>
      <w:rPr>
        <w:rFonts w:hint="default"/>
        <w:lang w:val="es-ES" w:eastAsia="en-US" w:bidi="ar-SA"/>
      </w:rPr>
    </w:lvl>
    <w:lvl w:ilvl="7" w:tplc="43D48986">
      <w:numFmt w:val="bullet"/>
      <w:lvlText w:val="•"/>
      <w:lvlJc w:val="left"/>
      <w:pPr>
        <w:ind w:left="7638" w:hanging="276"/>
      </w:pPr>
      <w:rPr>
        <w:rFonts w:hint="default"/>
        <w:lang w:val="es-ES" w:eastAsia="en-US" w:bidi="ar-SA"/>
      </w:rPr>
    </w:lvl>
    <w:lvl w:ilvl="8" w:tplc="5DD06BC4">
      <w:numFmt w:val="bullet"/>
      <w:lvlText w:val="•"/>
      <w:lvlJc w:val="left"/>
      <w:pPr>
        <w:ind w:left="8712" w:hanging="276"/>
      </w:pPr>
      <w:rPr>
        <w:rFonts w:hint="default"/>
        <w:lang w:val="es-ES" w:eastAsia="en-US" w:bidi="ar-SA"/>
      </w:rPr>
    </w:lvl>
  </w:abstractNum>
  <w:abstractNum w:abstractNumId="21" w15:restartNumberingAfterBreak="0">
    <w:nsid w:val="4CEE1366"/>
    <w:multiLevelType w:val="hybridMultilevel"/>
    <w:tmpl w:val="BB3443F4"/>
    <w:lvl w:ilvl="0" w:tplc="5824CED2">
      <w:start w:val="1"/>
      <w:numFmt w:val="decimal"/>
      <w:lvlText w:val="%1."/>
      <w:lvlJc w:val="left"/>
      <w:pPr>
        <w:ind w:left="112" w:hanging="290"/>
        <w:jc w:val="left"/>
      </w:pPr>
      <w:rPr>
        <w:rFonts w:ascii="Arial" w:eastAsia="Arial" w:hAnsi="Arial" w:cs="Arial" w:hint="default"/>
        <w:b w:val="0"/>
        <w:bCs w:val="0"/>
        <w:i w:val="0"/>
        <w:iCs w:val="0"/>
        <w:w w:val="101"/>
        <w:sz w:val="23"/>
        <w:szCs w:val="23"/>
        <w:lang w:val="es-ES" w:eastAsia="en-US" w:bidi="ar-SA"/>
      </w:rPr>
    </w:lvl>
    <w:lvl w:ilvl="1" w:tplc="C42689A0">
      <w:numFmt w:val="bullet"/>
      <w:lvlText w:val="•"/>
      <w:lvlJc w:val="left"/>
      <w:pPr>
        <w:ind w:left="1194" w:hanging="290"/>
      </w:pPr>
      <w:rPr>
        <w:rFonts w:hint="default"/>
        <w:lang w:val="es-ES" w:eastAsia="en-US" w:bidi="ar-SA"/>
      </w:rPr>
    </w:lvl>
    <w:lvl w:ilvl="2" w:tplc="624EA928">
      <w:numFmt w:val="bullet"/>
      <w:lvlText w:val="•"/>
      <w:lvlJc w:val="left"/>
      <w:pPr>
        <w:ind w:left="2268" w:hanging="290"/>
      </w:pPr>
      <w:rPr>
        <w:rFonts w:hint="default"/>
        <w:lang w:val="es-ES" w:eastAsia="en-US" w:bidi="ar-SA"/>
      </w:rPr>
    </w:lvl>
    <w:lvl w:ilvl="3" w:tplc="F79E1A16">
      <w:numFmt w:val="bullet"/>
      <w:lvlText w:val="•"/>
      <w:lvlJc w:val="left"/>
      <w:pPr>
        <w:ind w:left="3342" w:hanging="290"/>
      </w:pPr>
      <w:rPr>
        <w:rFonts w:hint="default"/>
        <w:lang w:val="es-ES" w:eastAsia="en-US" w:bidi="ar-SA"/>
      </w:rPr>
    </w:lvl>
    <w:lvl w:ilvl="4" w:tplc="2C68F418">
      <w:numFmt w:val="bullet"/>
      <w:lvlText w:val="•"/>
      <w:lvlJc w:val="left"/>
      <w:pPr>
        <w:ind w:left="4416" w:hanging="290"/>
      </w:pPr>
      <w:rPr>
        <w:rFonts w:hint="default"/>
        <w:lang w:val="es-ES" w:eastAsia="en-US" w:bidi="ar-SA"/>
      </w:rPr>
    </w:lvl>
    <w:lvl w:ilvl="5" w:tplc="041E6746">
      <w:numFmt w:val="bullet"/>
      <w:lvlText w:val="•"/>
      <w:lvlJc w:val="left"/>
      <w:pPr>
        <w:ind w:left="5490" w:hanging="290"/>
      </w:pPr>
      <w:rPr>
        <w:rFonts w:hint="default"/>
        <w:lang w:val="es-ES" w:eastAsia="en-US" w:bidi="ar-SA"/>
      </w:rPr>
    </w:lvl>
    <w:lvl w:ilvl="6" w:tplc="76DA1CB0">
      <w:numFmt w:val="bullet"/>
      <w:lvlText w:val="•"/>
      <w:lvlJc w:val="left"/>
      <w:pPr>
        <w:ind w:left="6564" w:hanging="290"/>
      </w:pPr>
      <w:rPr>
        <w:rFonts w:hint="default"/>
        <w:lang w:val="es-ES" w:eastAsia="en-US" w:bidi="ar-SA"/>
      </w:rPr>
    </w:lvl>
    <w:lvl w:ilvl="7" w:tplc="DCDECD42">
      <w:numFmt w:val="bullet"/>
      <w:lvlText w:val="•"/>
      <w:lvlJc w:val="left"/>
      <w:pPr>
        <w:ind w:left="7638" w:hanging="290"/>
      </w:pPr>
      <w:rPr>
        <w:rFonts w:hint="default"/>
        <w:lang w:val="es-ES" w:eastAsia="en-US" w:bidi="ar-SA"/>
      </w:rPr>
    </w:lvl>
    <w:lvl w:ilvl="8" w:tplc="F21E03F4">
      <w:numFmt w:val="bullet"/>
      <w:lvlText w:val="•"/>
      <w:lvlJc w:val="left"/>
      <w:pPr>
        <w:ind w:left="8712" w:hanging="290"/>
      </w:pPr>
      <w:rPr>
        <w:rFonts w:hint="default"/>
        <w:lang w:val="es-ES" w:eastAsia="en-US" w:bidi="ar-SA"/>
      </w:rPr>
    </w:lvl>
  </w:abstractNum>
  <w:abstractNum w:abstractNumId="22" w15:restartNumberingAfterBreak="0">
    <w:nsid w:val="50384225"/>
    <w:multiLevelType w:val="hybridMultilevel"/>
    <w:tmpl w:val="A4920A60"/>
    <w:lvl w:ilvl="0" w:tplc="7AE402E0">
      <w:start w:val="1"/>
      <w:numFmt w:val="decimal"/>
      <w:lvlText w:val="%1."/>
      <w:lvlJc w:val="left"/>
      <w:pPr>
        <w:ind w:left="371" w:hanging="260"/>
        <w:jc w:val="left"/>
      </w:pPr>
      <w:rPr>
        <w:rFonts w:ascii="Arial" w:eastAsia="Arial" w:hAnsi="Arial" w:cs="Arial" w:hint="default"/>
        <w:b w:val="0"/>
        <w:bCs w:val="0"/>
        <w:i w:val="0"/>
        <w:iCs w:val="0"/>
        <w:w w:val="101"/>
        <w:sz w:val="23"/>
        <w:szCs w:val="23"/>
        <w:lang w:val="es-ES" w:eastAsia="en-US" w:bidi="ar-SA"/>
      </w:rPr>
    </w:lvl>
    <w:lvl w:ilvl="1" w:tplc="C082EAE6">
      <w:start w:val="1"/>
      <w:numFmt w:val="lowerLetter"/>
      <w:lvlText w:val="%2)"/>
      <w:lvlJc w:val="left"/>
      <w:pPr>
        <w:ind w:left="384" w:hanging="273"/>
        <w:jc w:val="left"/>
      </w:pPr>
      <w:rPr>
        <w:rFonts w:ascii="Arial" w:eastAsia="Arial" w:hAnsi="Arial" w:cs="Arial" w:hint="default"/>
        <w:b/>
        <w:bCs/>
        <w:i w:val="0"/>
        <w:iCs w:val="0"/>
        <w:w w:val="101"/>
        <w:sz w:val="23"/>
        <w:szCs w:val="23"/>
        <w:lang w:val="es-ES" w:eastAsia="en-US" w:bidi="ar-SA"/>
      </w:rPr>
    </w:lvl>
    <w:lvl w:ilvl="2" w:tplc="2FFC4A9C">
      <w:numFmt w:val="bullet"/>
      <w:lvlText w:val="•"/>
      <w:lvlJc w:val="left"/>
      <w:pPr>
        <w:ind w:left="2476" w:hanging="273"/>
      </w:pPr>
      <w:rPr>
        <w:rFonts w:hint="default"/>
        <w:lang w:val="es-ES" w:eastAsia="en-US" w:bidi="ar-SA"/>
      </w:rPr>
    </w:lvl>
    <w:lvl w:ilvl="3" w:tplc="B3DA6806">
      <w:numFmt w:val="bullet"/>
      <w:lvlText w:val="•"/>
      <w:lvlJc w:val="left"/>
      <w:pPr>
        <w:ind w:left="3524" w:hanging="273"/>
      </w:pPr>
      <w:rPr>
        <w:rFonts w:hint="default"/>
        <w:lang w:val="es-ES" w:eastAsia="en-US" w:bidi="ar-SA"/>
      </w:rPr>
    </w:lvl>
    <w:lvl w:ilvl="4" w:tplc="153A989C">
      <w:numFmt w:val="bullet"/>
      <w:lvlText w:val="•"/>
      <w:lvlJc w:val="left"/>
      <w:pPr>
        <w:ind w:left="4572" w:hanging="273"/>
      </w:pPr>
      <w:rPr>
        <w:rFonts w:hint="default"/>
        <w:lang w:val="es-ES" w:eastAsia="en-US" w:bidi="ar-SA"/>
      </w:rPr>
    </w:lvl>
    <w:lvl w:ilvl="5" w:tplc="426A271E">
      <w:numFmt w:val="bullet"/>
      <w:lvlText w:val="•"/>
      <w:lvlJc w:val="left"/>
      <w:pPr>
        <w:ind w:left="5620" w:hanging="273"/>
      </w:pPr>
      <w:rPr>
        <w:rFonts w:hint="default"/>
        <w:lang w:val="es-ES" w:eastAsia="en-US" w:bidi="ar-SA"/>
      </w:rPr>
    </w:lvl>
    <w:lvl w:ilvl="6" w:tplc="FA5EA6F2">
      <w:numFmt w:val="bullet"/>
      <w:lvlText w:val="•"/>
      <w:lvlJc w:val="left"/>
      <w:pPr>
        <w:ind w:left="6668" w:hanging="273"/>
      </w:pPr>
      <w:rPr>
        <w:rFonts w:hint="default"/>
        <w:lang w:val="es-ES" w:eastAsia="en-US" w:bidi="ar-SA"/>
      </w:rPr>
    </w:lvl>
    <w:lvl w:ilvl="7" w:tplc="359C0A3A">
      <w:numFmt w:val="bullet"/>
      <w:lvlText w:val="•"/>
      <w:lvlJc w:val="left"/>
      <w:pPr>
        <w:ind w:left="7716" w:hanging="273"/>
      </w:pPr>
      <w:rPr>
        <w:rFonts w:hint="default"/>
        <w:lang w:val="es-ES" w:eastAsia="en-US" w:bidi="ar-SA"/>
      </w:rPr>
    </w:lvl>
    <w:lvl w:ilvl="8" w:tplc="D33E685C">
      <w:numFmt w:val="bullet"/>
      <w:lvlText w:val="•"/>
      <w:lvlJc w:val="left"/>
      <w:pPr>
        <w:ind w:left="8764" w:hanging="273"/>
      </w:pPr>
      <w:rPr>
        <w:rFonts w:hint="default"/>
        <w:lang w:val="es-ES" w:eastAsia="en-US" w:bidi="ar-SA"/>
      </w:rPr>
    </w:lvl>
  </w:abstractNum>
  <w:abstractNum w:abstractNumId="23" w15:restartNumberingAfterBreak="0">
    <w:nsid w:val="518D6267"/>
    <w:multiLevelType w:val="hybridMultilevel"/>
    <w:tmpl w:val="CC124658"/>
    <w:lvl w:ilvl="0" w:tplc="EB5818F8">
      <w:start w:val="1"/>
      <w:numFmt w:val="decimal"/>
      <w:lvlText w:val="%1."/>
      <w:lvlJc w:val="left"/>
      <w:pPr>
        <w:ind w:left="112" w:hanging="272"/>
        <w:jc w:val="left"/>
      </w:pPr>
      <w:rPr>
        <w:rFonts w:ascii="Arial" w:eastAsia="Arial" w:hAnsi="Arial" w:cs="Arial" w:hint="default"/>
        <w:b w:val="0"/>
        <w:bCs w:val="0"/>
        <w:i w:val="0"/>
        <w:iCs w:val="0"/>
        <w:w w:val="101"/>
        <w:sz w:val="23"/>
        <w:szCs w:val="23"/>
        <w:lang w:val="es-ES" w:eastAsia="en-US" w:bidi="ar-SA"/>
      </w:rPr>
    </w:lvl>
    <w:lvl w:ilvl="1" w:tplc="509C070E">
      <w:start w:val="1"/>
      <w:numFmt w:val="lowerLetter"/>
      <w:lvlText w:val="%2)"/>
      <w:lvlJc w:val="left"/>
      <w:pPr>
        <w:ind w:left="384" w:hanging="273"/>
        <w:jc w:val="left"/>
      </w:pPr>
      <w:rPr>
        <w:rFonts w:ascii="Arial" w:eastAsia="Arial" w:hAnsi="Arial" w:cs="Arial" w:hint="default"/>
        <w:b/>
        <w:bCs/>
        <w:i w:val="0"/>
        <w:iCs w:val="0"/>
        <w:w w:val="101"/>
        <w:sz w:val="23"/>
        <w:szCs w:val="23"/>
        <w:lang w:val="es-ES" w:eastAsia="en-US" w:bidi="ar-SA"/>
      </w:rPr>
    </w:lvl>
    <w:lvl w:ilvl="2" w:tplc="0336967A">
      <w:numFmt w:val="bullet"/>
      <w:lvlText w:val="•"/>
      <w:lvlJc w:val="left"/>
      <w:pPr>
        <w:ind w:left="1544" w:hanging="273"/>
      </w:pPr>
      <w:rPr>
        <w:rFonts w:hint="default"/>
        <w:lang w:val="es-ES" w:eastAsia="en-US" w:bidi="ar-SA"/>
      </w:rPr>
    </w:lvl>
    <w:lvl w:ilvl="3" w:tplc="72B87CC8">
      <w:numFmt w:val="bullet"/>
      <w:lvlText w:val="•"/>
      <w:lvlJc w:val="left"/>
      <w:pPr>
        <w:ind w:left="2708" w:hanging="273"/>
      </w:pPr>
      <w:rPr>
        <w:rFonts w:hint="default"/>
        <w:lang w:val="es-ES" w:eastAsia="en-US" w:bidi="ar-SA"/>
      </w:rPr>
    </w:lvl>
    <w:lvl w:ilvl="4" w:tplc="85989EB0">
      <w:numFmt w:val="bullet"/>
      <w:lvlText w:val="•"/>
      <w:lvlJc w:val="left"/>
      <w:pPr>
        <w:ind w:left="3873" w:hanging="273"/>
      </w:pPr>
      <w:rPr>
        <w:rFonts w:hint="default"/>
        <w:lang w:val="es-ES" w:eastAsia="en-US" w:bidi="ar-SA"/>
      </w:rPr>
    </w:lvl>
    <w:lvl w:ilvl="5" w:tplc="2BAA7380">
      <w:numFmt w:val="bullet"/>
      <w:lvlText w:val="•"/>
      <w:lvlJc w:val="left"/>
      <w:pPr>
        <w:ind w:left="5037" w:hanging="273"/>
      </w:pPr>
      <w:rPr>
        <w:rFonts w:hint="default"/>
        <w:lang w:val="es-ES" w:eastAsia="en-US" w:bidi="ar-SA"/>
      </w:rPr>
    </w:lvl>
    <w:lvl w:ilvl="6" w:tplc="7804B268">
      <w:numFmt w:val="bullet"/>
      <w:lvlText w:val="•"/>
      <w:lvlJc w:val="left"/>
      <w:pPr>
        <w:ind w:left="6202" w:hanging="273"/>
      </w:pPr>
      <w:rPr>
        <w:rFonts w:hint="default"/>
        <w:lang w:val="es-ES" w:eastAsia="en-US" w:bidi="ar-SA"/>
      </w:rPr>
    </w:lvl>
    <w:lvl w:ilvl="7" w:tplc="F0245936">
      <w:numFmt w:val="bullet"/>
      <w:lvlText w:val="•"/>
      <w:lvlJc w:val="left"/>
      <w:pPr>
        <w:ind w:left="7366" w:hanging="273"/>
      </w:pPr>
      <w:rPr>
        <w:rFonts w:hint="default"/>
        <w:lang w:val="es-ES" w:eastAsia="en-US" w:bidi="ar-SA"/>
      </w:rPr>
    </w:lvl>
    <w:lvl w:ilvl="8" w:tplc="D7CE9582">
      <w:numFmt w:val="bullet"/>
      <w:lvlText w:val="•"/>
      <w:lvlJc w:val="left"/>
      <w:pPr>
        <w:ind w:left="8531" w:hanging="273"/>
      </w:pPr>
      <w:rPr>
        <w:rFonts w:hint="default"/>
        <w:lang w:val="es-ES" w:eastAsia="en-US" w:bidi="ar-SA"/>
      </w:rPr>
    </w:lvl>
  </w:abstractNum>
  <w:abstractNum w:abstractNumId="24" w15:restartNumberingAfterBreak="0">
    <w:nsid w:val="530F1D91"/>
    <w:multiLevelType w:val="hybridMultilevel"/>
    <w:tmpl w:val="FF9A7142"/>
    <w:lvl w:ilvl="0" w:tplc="57E451F8">
      <w:start w:val="1"/>
      <w:numFmt w:val="decimal"/>
      <w:lvlText w:val="%1."/>
      <w:lvlJc w:val="left"/>
      <w:pPr>
        <w:ind w:left="112" w:hanging="260"/>
        <w:jc w:val="left"/>
      </w:pPr>
      <w:rPr>
        <w:rFonts w:ascii="Arial" w:eastAsia="Arial" w:hAnsi="Arial" w:cs="Arial" w:hint="default"/>
        <w:b/>
        <w:bCs/>
        <w:i w:val="0"/>
        <w:iCs w:val="0"/>
        <w:w w:val="101"/>
        <w:sz w:val="23"/>
        <w:szCs w:val="23"/>
        <w:lang w:val="es-ES" w:eastAsia="en-US" w:bidi="ar-SA"/>
      </w:rPr>
    </w:lvl>
    <w:lvl w:ilvl="1" w:tplc="26141E5E">
      <w:start w:val="1"/>
      <w:numFmt w:val="lowerLetter"/>
      <w:lvlText w:val="%2)"/>
      <w:lvlJc w:val="left"/>
      <w:pPr>
        <w:ind w:left="112" w:hanging="288"/>
        <w:jc w:val="left"/>
      </w:pPr>
      <w:rPr>
        <w:rFonts w:hint="default"/>
        <w:w w:val="101"/>
        <w:lang w:val="es-ES" w:eastAsia="en-US" w:bidi="ar-SA"/>
      </w:rPr>
    </w:lvl>
    <w:lvl w:ilvl="2" w:tplc="60CCC6F6">
      <w:numFmt w:val="bullet"/>
      <w:lvlText w:val="•"/>
      <w:lvlJc w:val="left"/>
      <w:pPr>
        <w:ind w:left="2268" w:hanging="288"/>
      </w:pPr>
      <w:rPr>
        <w:rFonts w:hint="default"/>
        <w:lang w:val="es-ES" w:eastAsia="en-US" w:bidi="ar-SA"/>
      </w:rPr>
    </w:lvl>
    <w:lvl w:ilvl="3" w:tplc="70029176">
      <w:numFmt w:val="bullet"/>
      <w:lvlText w:val="•"/>
      <w:lvlJc w:val="left"/>
      <w:pPr>
        <w:ind w:left="3342" w:hanging="288"/>
      </w:pPr>
      <w:rPr>
        <w:rFonts w:hint="default"/>
        <w:lang w:val="es-ES" w:eastAsia="en-US" w:bidi="ar-SA"/>
      </w:rPr>
    </w:lvl>
    <w:lvl w:ilvl="4" w:tplc="E85EE5CA">
      <w:numFmt w:val="bullet"/>
      <w:lvlText w:val="•"/>
      <w:lvlJc w:val="left"/>
      <w:pPr>
        <w:ind w:left="4416" w:hanging="288"/>
      </w:pPr>
      <w:rPr>
        <w:rFonts w:hint="default"/>
        <w:lang w:val="es-ES" w:eastAsia="en-US" w:bidi="ar-SA"/>
      </w:rPr>
    </w:lvl>
    <w:lvl w:ilvl="5" w:tplc="1F463EE0">
      <w:numFmt w:val="bullet"/>
      <w:lvlText w:val="•"/>
      <w:lvlJc w:val="left"/>
      <w:pPr>
        <w:ind w:left="5490" w:hanging="288"/>
      </w:pPr>
      <w:rPr>
        <w:rFonts w:hint="default"/>
        <w:lang w:val="es-ES" w:eastAsia="en-US" w:bidi="ar-SA"/>
      </w:rPr>
    </w:lvl>
    <w:lvl w:ilvl="6" w:tplc="9552DCBA">
      <w:numFmt w:val="bullet"/>
      <w:lvlText w:val="•"/>
      <w:lvlJc w:val="left"/>
      <w:pPr>
        <w:ind w:left="6564" w:hanging="288"/>
      </w:pPr>
      <w:rPr>
        <w:rFonts w:hint="default"/>
        <w:lang w:val="es-ES" w:eastAsia="en-US" w:bidi="ar-SA"/>
      </w:rPr>
    </w:lvl>
    <w:lvl w:ilvl="7" w:tplc="590A310A">
      <w:numFmt w:val="bullet"/>
      <w:lvlText w:val="•"/>
      <w:lvlJc w:val="left"/>
      <w:pPr>
        <w:ind w:left="7638" w:hanging="288"/>
      </w:pPr>
      <w:rPr>
        <w:rFonts w:hint="default"/>
        <w:lang w:val="es-ES" w:eastAsia="en-US" w:bidi="ar-SA"/>
      </w:rPr>
    </w:lvl>
    <w:lvl w:ilvl="8" w:tplc="C1AC978C">
      <w:numFmt w:val="bullet"/>
      <w:lvlText w:val="•"/>
      <w:lvlJc w:val="left"/>
      <w:pPr>
        <w:ind w:left="8712" w:hanging="288"/>
      </w:pPr>
      <w:rPr>
        <w:rFonts w:hint="default"/>
        <w:lang w:val="es-ES" w:eastAsia="en-US" w:bidi="ar-SA"/>
      </w:rPr>
    </w:lvl>
  </w:abstractNum>
  <w:abstractNum w:abstractNumId="25" w15:restartNumberingAfterBreak="0">
    <w:nsid w:val="57510360"/>
    <w:multiLevelType w:val="hybridMultilevel"/>
    <w:tmpl w:val="32368CBC"/>
    <w:lvl w:ilvl="0" w:tplc="A40CE4FE">
      <w:start w:val="1"/>
      <w:numFmt w:val="lowerLetter"/>
      <w:lvlText w:val="%1)"/>
      <w:lvlJc w:val="left"/>
      <w:pPr>
        <w:ind w:left="445" w:hanging="334"/>
        <w:jc w:val="left"/>
      </w:pPr>
      <w:rPr>
        <w:rFonts w:ascii="Arial" w:eastAsia="Arial" w:hAnsi="Arial" w:cs="Arial" w:hint="default"/>
        <w:b/>
        <w:bCs/>
        <w:i w:val="0"/>
        <w:iCs w:val="0"/>
        <w:w w:val="101"/>
        <w:sz w:val="23"/>
        <w:szCs w:val="23"/>
        <w:lang w:val="es-ES" w:eastAsia="en-US" w:bidi="ar-SA"/>
      </w:rPr>
    </w:lvl>
    <w:lvl w:ilvl="1" w:tplc="9A927478">
      <w:numFmt w:val="bullet"/>
      <w:lvlText w:val="•"/>
      <w:lvlJc w:val="left"/>
      <w:pPr>
        <w:ind w:left="1482" w:hanging="334"/>
      </w:pPr>
      <w:rPr>
        <w:rFonts w:hint="default"/>
        <w:lang w:val="es-ES" w:eastAsia="en-US" w:bidi="ar-SA"/>
      </w:rPr>
    </w:lvl>
    <w:lvl w:ilvl="2" w:tplc="9640B996">
      <w:numFmt w:val="bullet"/>
      <w:lvlText w:val="•"/>
      <w:lvlJc w:val="left"/>
      <w:pPr>
        <w:ind w:left="2524" w:hanging="334"/>
      </w:pPr>
      <w:rPr>
        <w:rFonts w:hint="default"/>
        <w:lang w:val="es-ES" w:eastAsia="en-US" w:bidi="ar-SA"/>
      </w:rPr>
    </w:lvl>
    <w:lvl w:ilvl="3" w:tplc="2778B014">
      <w:numFmt w:val="bullet"/>
      <w:lvlText w:val="•"/>
      <w:lvlJc w:val="left"/>
      <w:pPr>
        <w:ind w:left="3566" w:hanging="334"/>
      </w:pPr>
      <w:rPr>
        <w:rFonts w:hint="default"/>
        <w:lang w:val="es-ES" w:eastAsia="en-US" w:bidi="ar-SA"/>
      </w:rPr>
    </w:lvl>
    <w:lvl w:ilvl="4" w:tplc="99F00A98">
      <w:numFmt w:val="bullet"/>
      <w:lvlText w:val="•"/>
      <w:lvlJc w:val="left"/>
      <w:pPr>
        <w:ind w:left="4608" w:hanging="334"/>
      </w:pPr>
      <w:rPr>
        <w:rFonts w:hint="default"/>
        <w:lang w:val="es-ES" w:eastAsia="en-US" w:bidi="ar-SA"/>
      </w:rPr>
    </w:lvl>
    <w:lvl w:ilvl="5" w:tplc="C8608262">
      <w:numFmt w:val="bullet"/>
      <w:lvlText w:val="•"/>
      <w:lvlJc w:val="left"/>
      <w:pPr>
        <w:ind w:left="5650" w:hanging="334"/>
      </w:pPr>
      <w:rPr>
        <w:rFonts w:hint="default"/>
        <w:lang w:val="es-ES" w:eastAsia="en-US" w:bidi="ar-SA"/>
      </w:rPr>
    </w:lvl>
    <w:lvl w:ilvl="6" w:tplc="6598FBA0">
      <w:numFmt w:val="bullet"/>
      <w:lvlText w:val="•"/>
      <w:lvlJc w:val="left"/>
      <w:pPr>
        <w:ind w:left="6692" w:hanging="334"/>
      </w:pPr>
      <w:rPr>
        <w:rFonts w:hint="default"/>
        <w:lang w:val="es-ES" w:eastAsia="en-US" w:bidi="ar-SA"/>
      </w:rPr>
    </w:lvl>
    <w:lvl w:ilvl="7" w:tplc="E51049D6">
      <w:numFmt w:val="bullet"/>
      <w:lvlText w:val="•"/>
      <w:lvlJc w:val="left"/>
      <w:pPr>
        <w:ind w:left="7734" w:hanging="334"/>
      </w:pPr>
      <w:rPr>
        <w:rFonts w:hint="default"/>
        <w:lang w:val="es-ES" w:eastAsia="en-US" w:bidi="ar-SA"/>
      </w:rPr>
    </w:lvl>
    <w:lvl w:ilvl="8" w:tplc="2536E204">
      <w:numFmt w:val="bullet"/>
      <w:lvlText w:val="•"/>
      <w:lvlJc w:val="left"/>
      <w:pPr>
        <w:ind w:left="8776" w:hanging="334"/>
      </w:pPr>
      <w:rPr>
        <w:rFonts w:hint="default"/>
        <w:lang w:val="es-ES" w:eastAsia="en-US" w:bidi="ar-SA"/>
      </w:rPr>
    </w:lvl>
  </w:abstractNum>
  <w:abstractNum w:abstractNumId="26" w15:restartNumberingAfterBreak="0">
    <w:nsid w:val="5C671BAC"/>
    <w:multiLevelType w:val="hybridMultilevel"/>
    <w:tmpl w:val="A34E9998"/>
    <w:lvl w:ilvl="0" w:tplc="D21C14E0">
      <w:start w:val="1"/>
      <w:numFmt w:val="decimal"/>
      <w:lvlText w:val="%1."/>
      <w:lvlJc w:val="left"/>
      <w:pPr>
        <w:ind w:left="112" w:hanging="348"/>
        <w:jc w:val="left"/>
      </w:pPr>
      <w:rPr>
        <w:rFonts w:ascii="Arial" w:eastAsia="Arial" w:hAnsi="Arial" w:cs="Arial" w:hint="default"/>
        <w:b/>
        <w:bCs/>
        <w:i w:val="0"/>
        <w:iCs w:val="0"/>
        <w:w w:val="101"/>
        <w:sz w:val="23"/>
        <w:szCs w:val="23"/>
        <w:lang w:val="es-ES" w:eastAsia="en-US" w:bidi="ar-SA"/>
      </w:rPr>
    </w:lvl>
    <w:lvl w:ilvl="1" w:tplc="29A03D54">
      <w:numFmt w:val="bullet"/>
      <w:lvlText w:val="•"/>
      <w:lvlJc w:val="left"/>
      <w:pPr>
        <w:ind w:left="1194" w:hanging="348"/>
      </w:pPr>
      <w:rPr>
        <w:rFonts w:hint="default"/>
        <w:lang w:val="es-ES" w:eastAsia="en-US" w:bidi="ar-SA"/>
      </w:rPr>
    </w:lvl>
    <w:lvl w:ilvl="2" w:tplc="234091F4">
      <w:numFmt w:val="bullet"/>
      <w:lvlText w:val="•"/>
      <w:lvlJc w:val="left"/>
      <w:pPr>
        <w:ind w:left="2268" w:hanging="348"/>
      </w:pPr>
      <w:rPr>
        <w:rFonts w:hint="default"/>
        <w:lang w:val="es-ES" w:eastAsia="en-US" w:bidi="ar-SA"/>
      </w:rPr>
    </w:lvl>
    <w:lvl w:ilvl="3" w:tplc="C1DA3996">
      <w:numFmt w:val="bullet"/>
      <w:lvlText w:val="•"/>
      <w:lvlJc w:val="left"/>
      <w:pPr>
        <w:ind w:left="3342" w:hanging="348"/>
      </w:pPr>
      <w:rPr>
        <w:rFonts w:hint="default"/>
        <w:lang w:val="es-ES" w:eastAsia="en-US" w:bidi="ar-SA"/>
      </w:rPr>
    </w:lvl>
    <w:lvl w:ilvl="4" w:tplc="A14448D6">
      <w:numFmt w:val="bullet"/>
      <w:lvlText w:val="•"/>
      <w:lvlJc w:val="left"/>
      <w:pPr>
        <w:ind w:left="4416" w:hanging="348"/>
      </w:pPr>
      <w:rPr>
        <w:rFonts w:hint="default"/>
        <w:lang w:val="es-ES" w:eastAsia="en-US" w:bidi="ar-SA"/>
      </w:rPr>
    </w:lvl>
    <w:lvl w:ilvl="5" w:tplc="B7CA33B2">
      <w:numFmt w:val="bullet"/>
      <w:lvlText w:val="•"/>
      <w:lvlJc w:val="left"/>
      <w:pPr>
        <w:ind w:left="5490" w:hanging="348"/>
      </w:pPr>
      <w:rPr>
        <w:rFonts w:hint="default"/>
        <w:lang w:val="es-ES" w:eastAsia="en-US" w:bidi="ar-SA"/>
      </w:rPr>
    </w:lvl>
    <w:lvl w:ilvl="6" w:tplc="B9EE4FF4">
      <w:numFmt w:val="bullet"/>
      <w:lvlText w:val="•"/>
      <w:lvlJc w:val="left"/>
      <w:pPr>
        <w:ind w:left="6564" w:hanging="348"/>
      </w:pPr>
      <w:rPr>
        <w:rFonts w:hint="default"/>
        <w:lang w:val="es-ES" w:eastAsia="en-US" w:bidi="ar-SA"/>
      </w:rPr>
    </w:lvl>
    <w:lvl w:ilvl="7" w:tplc="CEFE8DFE">
      <w:numFmt w:val="bullet"/>
      <w:lvlText w:val="•"/>
      <w:lvlJc w:val="left"/>
      <w:pPr>
        <w:ind w:left="7638" w:hanging="348"/>
      </w:pPr>
      <w:rPr>
        <w:rFonts w:hint="default"/>
        <w:lang w:val="es-ES" w:eastAsia="en-US" w:bidi="ar-SA"/>
      </w:rPr>
    </w:lvl>
    <w:lvl w:ilvl="8" w:tplc="CBC856CA">
      <w:numFmt w:val="bullet"/>
      <w:lvlText w:val="•"/>
      <w:lvlJc w:val="left"/>
      <w:pPr>
        <w:ind w:left="8712" w:hanging="348"/>
      </w:pPr>
      <w:rPr>
        <w:rFonts w:hint="default"/>
        <w:lang w:val="es-ES" w:eastAsia="en-US" w:bidi="ar-SA"/>
      </w:rPr>
    </w:lvl>
  </w:abstractNum>
  <w:abstractNum w:abstractNumId="27" w15:restartNumberingAfterBreak="0">
    <w:nsid w:val="5F602604"/>
    <w:multiLevelType w:val="hybridMultilevel"/>
    <w:tmpl w:val="3FE48DC8"/>
    <w:lvl w:ilvl="0" w:tplc="A1468F4A">
      <w:start w:val="1"/>
      <w:numFmt w:val="decimal"/>
      <w:lvlText w:val="%1."/>
      <w:lvlJc w:val="left"/>
      <w:pPr>
        <w:ind w:left="428" w:hanging="317"/>
        <w:jc w:val="left"/>
      </w:pPr>
      <w:rPr>
        <w:rFonts w:hint="default"/>
        <w:w w:val="101"/>
        <w:lang w:val="es-ES" w:eastAsia="en-US" w:bidi="ar-SA"/>
      </w:rPr>
    </w:lvl>
    <w:lvl w:ilvl="1" w:tplc="92BC9E94">
      <w:numFmt w:val="bullet"/>
      <w:lvlText w:val="•"/>
      <w:lvlJc w:val="left"/>
      <w:pPr>
        <w:ind w:left="1464" w:hanging="317"/>
      </w:pPr>
      <w:rPr>
        <w:rFonts w:hint="default"/>
        <w:lang w:val="es-ES" w:eastAsia="en-US" w:bidi="ar-SA"/>
      </w:rPr>
    </w:lvl>
    <w:lvl w:ilvl="2" w:tplc="0C5A25C2">
      <w:numFmt w:val="bullet"/>
      <w:lvlText w:val="•"/>
      <w:lvlJc w:val="left"/>
      <w:pPr>
        <w:ind w:left="2508" w:hanging="317"/>
      </w:pPr>
      <w:rPr>
        <w:rFonts w:hint="default"/>
        <w:lang w:val="es-ES" w:eastAsia="en-US" w:bidi="ar-SA"/>
      </w:rPr>
    </w:lvl>
    <w:lvl w:ilvl="3" w:tplc="F3327744">
      <w:numFmt w:val="bullet"/>
      <w:lvlText w:val="•"/>
      <w:lvlJc w:val="left"/>
      <w:pPr>
        <w:ind w:left="3552" w:hanging="317"/>
      </w:pPr>
      <w:rPr>
        <w:rFonts w:hint="default"/>
        <w:lang w:val="es-ES" w:eastAsia="en-US" w:bidi="ar-SA"/>
      </w:rPr>
    </w:lvl>
    <w:lvl w:ilvl="4" w:tplc="006444AA">
      <w:numFmt w:val="bullet"/>
      <w:lvlText w:val="•"/>
      <w:lvlJc w:val="left"/>
      <w:pPr>
        <w:ind w:left="4596" w:hanging="317"/>
      </w:pPr>
      <w:rPr>
        <w:rFonts w:hint="default"/>
        <w:lang w:val="es-ES" w:eastAsia="en-US" w:bidi="ar-SA"/>
      </w:rPr>
    </w:lvl>
    <w:lvl w:ilvl="5" w:tplc="A35230A6">
      <w:numFmt w:val="bullet"/>
      <w:lvlText w:val="•"/>
      <w:lvlJc w:val="left"/>
      <w:pPr>
        <w:ind w:left="5640" w:hanging="317"/>
      </w:pPr>
      <w:rPr>
        <w:rFonts w:hint="default"/>
        <w:lang w:val="es-ES" w:eastAsia="en-US" w:bidi="ar-SA"/>
      </w:rPr>
    </w:lvl>
    <w:lvl w:ilvl="6" w:tplc="B9CEB8C0">
      <w:numFmt w:val="bullet"/>
      <w:lvlText w:val="•"/>
      <w:lvlJc w:val="left"/>
      <w:pPr>
        <w:ind w:left="6684" w:hanging="317"/>
      </w:pPr>
      <w:rPr>
        <w:rFonts w:hint="default"/>
        <w:lang w:val="es-ES" w:eastAsia="en-US" w:bidi="ar-SA"/>
      </w:rPr>
    </w:lvl>
    <w:lvl w:ilvl="7" w:tplc="4A841D7E">
      <w:numFmt w:val="bullet"/>
      <w:lvlText w:val="•"/>
      <w:lvlJc w:val="left"/>
      <w:pPr>
        <w:ind w:left="7728" w:hanging="317"/>
      </w:pPr>
      <w:rPr>
        <w:rFonts w:hint="default"/>
        <w:lang w:val="es-ES" w:eastAsia="en-US" w:bidi="ar-SA"/>
      </w:rPr>
    </w:lvl>
    <w:lvl w:ilvl="8" w:tplc="CDF84BFA">
      <w:numFmt w:val="bullet"/>
      <w:lvlText w:val="•"/>
      <w:lvlJc w:val="left"/>
      <w:pPr>
        <w:ind w:left="8772" w:hanging="317"/>
      </w:pPr>
      <w:rPr>
        <w:rFonts w:hint="default"/>
        <w:lang w:val="es-ES" w:eastAsia="en-US" w:bidi="ar-SA"/>
      </w:rPr>
    </w:lvl>
  </w:abstractNum>
  <w:abstractNum w:abstractNumId="28" w15:restartNumberingAfterBreak="0">
    <w:nsid w:val="615240D3"/>
    <w:multiLevelType w:val="hybridMultilevel"/>
    <w:tmpl w:val="39EEDD04"/>
    <w:lvl w:ilvl="0" w:tplc="910C0B74">
      <w:start w:val="1"/>
      <w:numFmt w:val="lowerLetter"/>
      <w:lvlText w:val="%1)"/>
      <w:lvlJc w:val="left"/>
      <w:pPr>
        <w:ind w:left="384" w:hanging="273"/>
        <w:jc w:val="left"/>
      </w:pPr>
      <w:rPr>
        <w:rFonts w:ascii="Arial" w:eastAsia="Arial" w:hAnsi="Arial" w:cs="Arial" w:hint="default"/>
        <w:b/>
        <w:bCs/>
        <w:i w:val="0"/>
        <w:iCs w:val="0"/>
        <w:w w:val="101"/>
        <w:sz w:val="23"/>
        <w:szCs w:val="23"/>
        <w:lang w:val="es-ES" w:eastAsia="en-US" w:bidi="ar-SA"/>
      </w:rPr>
    </w:lvl>
    <w:lvl w:ilvl="1" w:tplc="B55C275C">
      <w:numFmt w:val="bullet"/>
      <w:lvlText w:val="•"/>
      <w:lvlJc w:val="left"/>
      <w:pPr>
        <w:ind w:left="1428" w:hanging="273"/>
      </w:pPr>
      <w:rPr>
        <w:rFonts w:hint="default"/>
        <w:lang w:val="es-ES" w:eastAsia="en-US" w:bidi="ar-SA"/>
      </w:rPr>
    </w:lvl>
    <w:lvl w:ilvl="2" w:tplc="3AD44454">
      <w:numFmt w:val="bullet"/>
      <w:lvlText w:val="•"/>
      <w:lvlJc w:val="left"/>
      <w:pPr>
        <w:ind w:left="2476" w:hanging="273"/>
      </w:pPr>
      <w:rPr>
        <w:rFonts w:hint="default"/>
        <w:lang w:val="es-ES" w:eastAsia="en-US" w:bidi="ar-SA"/>
      </w:rPr>
    </w:lvl>
    <w:lvl w:ilvl="3" w:tplc="AE268F6A">
      <w:numFmt w:val="bullet"/>
      <w:lvlText w:val="•"/>
      <w:lvlJc w:val="left"/>
      <w:pPr>
        <w:ind w:left="3524" w:hanging="273"/>
      </w:pPr>
      <w:rPr>
        <w:rFonts w:hint="default"/>
        <w:lang w:val="es-ES" w:eastAsia="en-US" w:bidi="ar-SA"/>
      </w:rPr>
    </w:lvl>
    <w:lvl w:ilvl="4" w:tplc="5EBE225C">
      <w:numFmt w:val="bullet"/>
      <w:lvlText w:val="•"/>
      <w:lvlJc w:val="left"/>
      <w:pPr>
        <w:ind w:left="4572" w:hanging="273"/>
      </w:pPr>
      <w:rPr>
        <w:rFonts w:hint="default"/>
        <w:lang w:val="es-ES" w:eastAsia="en-US" w:bidi="ar-SA"/>
      </w:rPr>
    </w:lvl>
    <w:lvl w:ilvl="5" w:tplc="7AD6CD86">
      <w:numFmt w:val="bullet"/>
      <w:lvlText w:val="•"/>
      <w:lvlJc w:val="left"/>
      <w:pPr>
        <w:ind w:left="5620" w:hanging="273"/>
      </w:pPr>
      <w:rPr>
        <w:rFonts w:hint="default"/>
        <w:lang w:val="es-ES" w:eastAsia="en-US" w:bidi="ar-SA"/>
      </w:rPr>
    </w:lvl>
    <w:lvl w:ilvl="6" w:tplc="31945226">
      <w:numFmt w:val="bullet"/>
      <w:lvlText w:val="•"/>
      <w:lvlJc w:val="left"/>
      <w:pPr>
        <w:ind w:left="6668" w:hanging="273"/>
      </w:pPr>
      <w:rPr>
        <w:rFonts w:hint="default"/>
        <w:lang w:val="es-ES" w:eastAsia="en-US" w:bidi="ar-SA"/>
      </w:rPr>
    </w:lvl>
    <w:lvl w:ilvl="7" w:tplc="065E9E84">
      <w:numFmt w:val="bullet"/>
      <w:lvlText w:val="•"/>
      <w:lvlJc w:val="left"/>
      <w:pPr>
        <w:ind w:left="7716" w:hanging="273"/>
      </w:pPr>
      <w:rPr>
        <w:rFonts w:hint="default"/>
        <w:lang w:val="es-ES" w:eastAsia="en-US" w:bidi="ar-SA"/>
      </w:rPr>
    </w:lvl>
    <w:lvl w:ilvl="8" w:tplc="BF141E3A">
      <w:numFmt w:val="bullet"/>
      <w:lvlText w:val="•"/>
      <w:lvlJc w:val="left"/>
      <w:pPr>
        <w:ind w:left="8764" w:hanging="273"/>
      </w:pPr>
      <w:rPr>
        <w:rFonts w:hint="default"/>
        <w:lang w:val="es-ES" w:eastAsia="en-US" w:bidi="ar-SA"/>
      </w:rPr>
    </w:lvl>
  </w:abstractNum>
  <w:abstractNum w:abstractNumId="29" w15:restartNumberingAfterBreak="0">
    <w:nsid w:val="651522BE"/>
    <w:multiLevelType w:val="hybridMultilevel"/>
    <w:tmpl w:val="F4EA58C6"/>
    <w:lvl w:ilvl="0" w:tplc="12DCC496">
      <w:start w:val="1"/>
      <w:numFmt w:val="lowerLetter"/>
      <w:lvlText w:val="%1)"/>
      <w:lvlJc w:val="left"/>
      <w:pPr>
        <w:ind w:left="384" w:hanging="273"/>
        <w:jc w:val="left"/>
      </w:pPr>
      <w:rPr>
        <w:rFonts w:ascii="Arial" w:eastAsia="Arial" w:hAnsi="Arial" w:cs="Arial" w:hint="default"/>
        <w:b/>
        <w:bCs/>
        <w:i w:val="0"/>
        <w:iCs w:val="0"/>
        <w:w w:val="101"/>
        <w:sz w:val="23"/>
        <w:szCs w:val="23"/>
        <w:lang w:val="es-ES" w:eastAsia="en-US" w:bidi="ar-SA"/>
      </w:rPr>
    </w:lvl>
    <w:lvl w:ilvl="1" w:tplc="2CBA4880">
      <w:numFmt w:val="bullet"/>
      <w:lvlText w:val="•"/>
      <w:lvlJc w:val="left"/>
      <w:pPr>
        <w:ind w:left="1428" w:hanging="273"/>
      </w:pPr>
      <w:rPr>
        <w:rFonts w:hint="default"/>
        <w:lang w:val="es-ES" w:eastAsia="en-US" w:bidi="ar-SA"/>
      </w:rPr>
    </w:lvl>
    <w:lvl w:ilvl="2" w:tplc="B4141166">
      <w:numFmt w:val="bullet"/>
      <w:lvlText w:val="•"/>
      <w:lvlJc w:val="left"/>
      <w:pPr>
        <w:ind w:left="2476" w:hanging="273"/>
      </w:pPr>
      <w:rPr>
        <w:rFonts w:hint="default"/>
        <w:lang w:val="es-ES" w:eastAsia="en-US" w:bidi="ar-SA"/>
      </w:rPr>
    </w:lvl>
    <w:lvl w:ilvl="3" w:tplc="CF50C66E">
      <w:numFmt w:val="bullet"/>
      <w:lvlText w:val="•"/>
      <w:lvlJc w:val="left"/>
      <w:pPr>
        <w:ind w:left="3524" w:hanging="273"/>
      </w:pPr>
      <w:rPr>
        <w:rFonts w:hint="default"/>
        <w:lang w:val="es-ES" w:eastAsia="en-US" w:bidi="ar-SA"/>
      </w:rPr>
    </w:lvl>
    <w:lvl w:ilvl="4" w:tplc="FD868D9E">
      <w:numFmt w:val="bullet"/>
      <w:lvlText w:val="•"/>
      <w:lvlJc w:val="left"/>
      <w:pPr>
        <w:ind w:left="4572" w:hanging="273"/>
      </w:pPr>
      <w:rPr>
        <w:rFonts w:hint="default"/>
        <w:lang w:val="es-ES" w:eastAsia="en-US" w:bidi="ar-SA"/>
      </w:rPr>
    </w:lvl>
    <w:lvl w:ilvl="5" w:tplc="69FA0D68">
      <w:numFmt w:val="bullet"/>
      <w:lvlText w:val="•"/>
      <w:lvlJc w:val="left"/>
      <w:pPr>
        <w:ind w:left="5620" w:hanging="273"/>
      </w:pPr>
      <w:rPr>
        <w:rFonts w:hint="default"/>
        <w:lang w:val="es-ES" w:eastAsia="en-US" w:bidi="ar-SA"/>
      </w:rPr>
    </w:lvl>
    <w:lvl w:ilvl="6" w:tplc="B14EA74A">
      <w:numFmt w:val="bullet"/>
      <w:lvlText w:val="•"/>
      <w:lvlJc w:val="left"/>
      <w:pPr>
        <w:ind w:left="6668" w:hanging="273"/>
      </w:pPr>
      <w:rPr>
        <w:rFonts w:hint="default"/>
        <w:lang w:val="es-ES" w:eastAsia="en-US" w:bidi="ar-SA"/>
      </w:rPr>
    </w:lvl>
    <w:lvl w:ilvl="7" w:tplc="31504640">
      <w:numFmt w:val="bullet"/>
      <w:lvlText w:val="•"/>
      <w:lvlJc w:val="left"/>
      <w:pPr>
        <w:ind w:left="7716" w:hanging="273"/>
      </w:pPr>
      <w:rPr>
        <w:rFonts w:hint="default"/>
        <w:lang w:val="es-ES" w:eastAsia="en-US" w:bidi="ar-SA"/>
      </w:rPr>
    </w:lvl>
    <w:lvl w:ilvl="8" w:tplc="9612A37A">
      <w:numFmt w:val="bullet"/>
      <w:lvlText w:val="•"/>
      <w:lvlJc w:val="left"/>
      <w:pPr>
        <w:ind w:left="8764" w:hanging="273"/>
      </w:pPr>
      <w:rPr>
        <w:rFonts w:hint="default"/>
        <w:lang w:val="es-ES" w:eastAsia="en-US" w:bidi="ar-SA"/>
      </w:rPr>
    </w:lvl>
  </w:abstractNum>
  <w:abstractNum w:abstractNumId="30" w15:restartNumberingAfterBreak="0">
    <w:nsid w:val="65D976F6"/>
    <w:multiLevelType w:val="hybridMultilevel"/>
    <w:tmpl w:val="FBFA2ECA"/>
    <w:lvl w:ilvl="0" w:tplc="47D29E16">
      <w:start w:val="1"/>
      <w:numFmt w:val="decimal"/>
      <w:lvlText w:val="%1."/>
      <w:lvlJc w:val="left"/>
      <w:pPr>
        <w:ind w:left="112" w:hanging="271"/>
        <w:jc w:val="left"/>
      </w:pPr>
      <w:rPr>
        <w:rFonts w:ascii="Arial" w:eastAsia="Arial" w:hAnsi="Arial" w:cs="Arial" w:hint="default"/>
        <w:b w:val="0"/>
        <w:bCs w:val="0"/>
        <w:i w:val="0"/>
        <w:iCs w:val="0"/>
        <w:w w:val="101"/>
        <w:sz w:val="23"/>
        <w:szCs w:val="23"/>
        <w:lang w:val="es-ES" w:eastAsia="en-US" w:bidi="ar-SA"/>
      </w:rPr>
    </w:lvl>
    <w:lvl w:ilvl="1" w:tplc="1B3E7CAC">
      <w:numFmt w:val="bullet"/>
      <w:lvlText w:val="•"/>
      <w:lvlJc w:val="left"/>
      <w:pPr>
        <w:ind w:left="1194" w:hanging="271"/>
      </w:pPr>
      <w:rPr>
        <w:rFonts w:hint="default"/>
        <w:lang w:val="es-ES" w:eastAsia="en-US" w:bidi="ar-SA"/>
      </w:rPr>
    </w:lvl>
    <w:lvl w:ilvl="2" w:tplc="42BEFCC8">
      <w:numFmt w:val="bullet"/>
      <w:lvlText w:val="•"/>
      <w:lvlJc w:val="left"/>
      <w:pPr>
        <w:ind w:left="2268" w:hanging="271"/>
      </w:pPr>
      <w:rPr>
        <w:rFonts w:hint="default"/>
        <w:lang w:val="es-ES" w:eastAsia="en-US" w:bidi="ar-SA"/>
      </w:rPr>
    </w:lvl>
    <w:lvl w:ilvl="3" w:tplc="27D46582">
      <w:numFmt w:val="bullet"/>
      <w:lvlText w:val="•"/>
      <w:lvlJc w:val="left"/>
      <w:pPr>
        <w:ind w:left="3342" w:hanging="271"/>
      </w:pPr>
      <w:rPr>
        <w:rFonts w:hint="default"/>
        <w:lang w:val="es-ES" w:eastAsia="en-US" w:bidi="ar-SA"/>
      </w:rPr>
    </w:lvl>
    <w:lvl w:ilvl="4" w:tplc="C7520D40">
      <w:numFmt w:val="bullet"/>
      <w:lvlText w:val="•"/>
      <w:lvlJc w:val="left"/>
      <w:pPr>
        <w:ind w:left="4416" w:hanging="271"/>
      </w:pPr>
      <w:rPr>
        <w:rFonts w:hint="default"/>
        <w:lang w:val="es-ES" w:eastAsia="en-US" w:bidi="ar-SA"/>
      </w:rPr>
    </w:lvl>
    <w:lvl w:ilvl="5" w:tplc="8A764D40">
      <w:numFmt w:val="bullet"/>
      <w:lvlText w:val="•"/>
      <w:lvlJc w:val="left"/>
      <w:pPr>
        <w:ind w:left="5490" w:hanging="271"/>
      </w:pPr>
      <w:rPr>
        <w:rFonts w:hint="default"/>
        <w:lang w:val="es-ES" w:eastAsia="en-US" w:bidi="ar-SA"/>
      </w:rPr>
    </w:lvl>
    <w:lvl w:ilvl="6" w:tplc="0270023A">
      <w:numFmt w:val="bullet"/>
      <w:lvlText w:val="•"/>
      <w:lvlJc w:val="left"/>
      <w:pPr>
        <w:ind w:left="6564" w:hanging="271"/>
      </w:pPr>
      <w:rPr>
        <w:rFonts w:hint="default"/>
        <w:lang w:val="es-ES" w:eastAsia="en-US" w:bidi="ar-SA"/>
      </w:rPr>
    </w:lvl>
    <w:lvl w:ilvl="7" w:tplc="D750C438">
      <w:numFmt w:val="bullet"/>
      <w:lvlText w:val="•"/>
      <w:lvlJc w:val="left"/>
      <w:pPr>
        <w:ind w:left="7638" w:hanging="271"/>
      </w:pPr>
      <w:rPr>
        <w:rFonts w:hint="default"/>
        <w:lang w:val="es-ES" w:eastAsia="en-US" w:bidi="ar-SA"/>
      </w:rPr>
    </w:lvl>
    <w:lvl w:ilvl="8" w:tplc="1996091C">
      <w:numFmt w:val="bullet"/>
      <w:lvlText w:val="•"/>
      <w:lvlJc w:val="left"/>
      <w:pPr>
        <w:ind w:left="8712" w:hanging="271"/>
      </w:pPr>
      <w:rPr>
        <w:rFonts w:hint="default"/>
        <w:lang w:val="es-ES" w:eastAsia="en-US" w:bidi="ar-SA"/>
      </w:rPr>
    </w:lvl>
  </w:abstractNum>
  <w:abstractNum w:abstractNumId="31" w15:restartNumberingAfterBreak="0">
    <w:nsid w:val="667265CC"/>
    <w:multiLevelType w:val="hybridMultilevel"/>
    <w:tmpl w:val="15C20A7E"/>
    <w:lvl w:ilvl="0" w:tplc="EDE29C68">
      <w:start w:val="1"/>
      <w:numFmt w:val="lowerLetter"/>
      <w:lvlText w:val="%1)"/>
      <w:lvlJc w:val="left"/>
      <w:pPr>
        <w:ind w:left="384" w:hanging="273"/>
        <w:jc w:val="left"/>
      </w:pPr>
      <w:rPr>
        <w:rFonts w:ascii="Arial" w:eastAsia="Arial" w:hAnsi="Arial" w:cs="Arial" w:hint="default"/>
        <w:b/>
        <w:bCs/>
        <w:i w:val="0"/>
        <w:iCs w:val="0"/>
        <w:w w:val="101"/>
        <w:sz w:val="23"/>
        <w:szCs w:val="23"/>
        <w:lang w:val="es-ES" w:eastAsia="en-US" w:bidi="ar-SA"/>
      </w:rPr>
    </w:lvl>
    <w:lvl w:ilvl="1" w:tplc="BDB8ECA4">
      <w:numFmt w:val="bullet"/>
      <w:lvlText w:val="•"/>
      <w:lvlJc w:val="left"/>
      <w:pPr>
        <w:ind w:left="1428" w:hanging="273"/>
      </w:pPr>
      <w:rPr>
        <w:rFonts w:hint="default"/>
        <w:lang w:val="es-ES" w:eastAsia="en-US" w:bidi="ar-SA"/>
      </w:rPr>
    </w:lvl>
    <w:lvl w:ilvl="2" w:tplc="069CCAFC">
      <w:numFmt w:val="bullet"/>
      <w:lvlText w:val="•"/>
      <w:lvlJc w:val="left"/>
      <w:pPr>
        <w:ind w:left="2476" w:hanging="273"/>
      </w:pPr>
      <w:rPr>
        <w:rFonts w:hint="default"/>
        <w:lang w:val="es-ES" w:eastAsia="en-US" w:bidi="ar-SA"/>
      </w:rPr>
    </w:lvl>
    <w:lvl w:ilvl="3" w:tplc="D820E4D8">
      <w:numFmt w:val="bullet"/>
      <w:lvlText w:val="•"/>
      <w:lvlJc w:val="left"/>
      <w:pPr>
        <w:ind w:left="3524" w:hanging="273"/>
      </w:pPr>
      <w:rPr>
        <w:rFonts w:hint="default"/>
        <w:lang w:val="es-ES" w:eastAsia="en-US" w:bidi="ar-SA"/>
      </w:rPr>
    </w:lvl>
    <w:lvl w:ilvl="4" w:tplc="D2CA23A0">
      <w:numFmt w:val="bullet"/>
      <w:lvlText w:val="•"/>
      <w:lvlJc w:val="left"/>
      <w:pPr>
        <w:ind w:left="4572" w:hanging="273"/>
      </w:pPr>
      <w:rPr>
        <w:rFonts w:hint="default"/>
        <w:lang w:val="es-ES" w:eastAsia="en-US" w:bidi="ar-SA"/>
      </w:rPr>
    </w:lvl>
    <w:lvl w:ilvl="5" w:tplc="297000EE">
      <w:numFmt w:val="bullet"/>
      <w:lvlText w:val="•"/>
      <w:lvlJc w:val="left"/>
      <w:pPr>
        <w:ind w:left="5620" w:hanging="273"/>
      </w:pPr>
      <w:rPr>
        <w:rFonts w:hint="default"/>
        <w:lang w:val="es-ES" w:eastAsia="en-US" w:bidi="ar-SA"/>
      </w:rPr>
    </w:lvl>
    <w:lvl w:ilvl="6" w:tplc="F56CD41C">
      <w:numFmt w:val="bullet"/>
      <w:lvlText w:val="•"/>
      <w:lvlJc w:val="left"/>
      <w:pPr>
        <w:ind w:left="6668" w:hanging="273"/>
      </w:pPr>
      <w:rPr>
        <w:rFonts w:hint="default"/>
        <w:lang w:val="es-ES" w:eastAsia="en-US" w:bidi="ar-SA"/>
      </w:rPr>
    </w:lvl>
    <w:lvl w:ilvl="7" w:tplc="E7DA12BA">
      <w:numFmt w:val="bullet"/>
      <w:lvlText w:val="•"/>
      <w:lvlJc w:val="left"/>
      <w:pPr>
        <w:ind w:left="7716" w:hanging="273"/>
      </w:pPr>
      <w:rPr>
        <w:rFonts w:hint="default"/>
        <w:lang w:val="es-ES" w:eastAsia="en-US" w:bidi="ar-SA"/>
      </w:rPr>
    </w:lvl>
    <w:lvl w:ilvl="8" w:tplc="C4D8063C">
      <w:numFmt w:val="bullet"/>
      <w:lvlText w:val="•"/>
      <w:lvlJc w:val="left"/>
      <w:pPr>
        <w:ind w:left="8764" w:hanging="273"/>
      </w:pPr>
      <w:rPr>
        <w:rFonts w:hint="default"/>
        <w:lang w:val="es-ES" w:eastAsia="en-US" w:bidi="ar-SA"/>
      </w:rPr>
    </w:lvl>
  </w:abstractNum>
  <w:abstractNum w:abstractNumId="32" w15:restartNumberingAfterBreak="0">
    <w:nsid w:val="674F1135"/>
    <w:multiLevelType w:val="hybridMultilevel"/>
    <w:tmpl w:val="C4D48ECA"/>
    <w:lvl w:ilvl="0" w:tplc="64CA0ECA">
      <w:start w:val="1"/>
      <w:numFmt w:val="decimal"/>
      <w:lvlText w:val="%1."/>
      <w:lvlJc w:val="left"/>
      <w:pPr>
        <w:ind w:left="112" w:hanging="260"/>
        <w:jc w:val="left"/>
      </w:pPr>
      <w:rPr>
        <w:rFonts w:ascii="Arial" w:eastAsia="Arial" w:hAnsi="Arial" w:cs="Arial" w:hint="default"/>
        <w:b/>
        <w:bCs/>
        <w:i w:val="0"/>
        <w:iCs w:val="0"/>
        <w:w w:val="101"/>
        <w:sz w:val="23"/>
        <w:szCs w:val="23"/>
        <w:lang w:val="es-ES" w:eastAsia="en-US" w:bidi="ar-SA"/>
      </w:rPr>
    </w:lvl>
    <w:lvl w:ilvl="1" w:tplc="C366AC74">
      <w:start w:val="1"/>
      <w:numFmt w:val="lowerLetter"/>
      <w:lvlText w:val="%2)"/>
      <w:lvlJc w:val="left"/>
      <w:pPr>
        <w:ind w:left="384" w:hanging="273"/>
        <w:jc w:val="left"/>
      </w:pPr>
      <w:rPr>
        <w:rFonts w:ascii="Arial" w:eastAsia="Arial" w:hAnsi="Arial" w:cs="Arial" w:hint="default"/>
        <w:b/>
        <w:bCs/>
        <w:i w:val="0"/>
        <w:iCs w:val="0"/>
        <w:w w:val="101"/>
        <w:sz w:val="23"/>
        <w:szCs w:val="23"/>
        <w:lang w:val="es-ES" w:eastAsia="en-US" w:bidi="ar-SA"/>
      </w:rPr>
    </w:lvl>
    <w:lvl w:ilvl="2" w:tplc="50A675C8">
      <w:numFmt w:val="bullet"/>
      <w:lvlText w:val="•"/>
      <w:lvlJc w:val="left"/>
      <w:pPr>
        <w:ind w:left="1544" w:hanging="273"/>
      </w:pPr>
      <w:rPr>
        <w:rFonts w:hint="default"/>
        <w:lang w:val="es-ES" w:eastAsia="en-US" w:bidi="ar-SA"/>
      </w:rPr>
    </w:lvl>
    <w:lvl w:ilvl="3" w:tplc="E4089906">
      <w:numFmt w:val="bullet"/>
      <w:lvlText w:val="•"/>
      <w:lvlJc w:val="left"/>
      <w:pPr>
        <w:ind w:left="2708" w:hanging="273"/>
      </w:pPr>
      <w:rPr>
        <w:rFonts w:hint="default"/>
        <w:lang w:val="es-ES" w:eastAsia="en-US" w:bidi="ar-SA"/>
      </w:rPr>
    </w:lvl>
    <w:lvl w:ilvl="4" w:tplc="F6F269A6">
      <w:numFmt w:val="bullet"/>
      <w:lvlText w:val="•"/>
      <w:lvlJc w:val="left"/>
      <w:pPr>
        <w:ind w:left="3873" w:hanging="273"/>
      </w:pPr>
      <w:rPr>
        <w:rFonts w:hint="default"/>
        <w:lang w:val="es-ES" w:eastAsia="en-US" w:bidi="ar-SA"/>
      </w:rPr>
    </w:lvl>
    <w:lvl w:ilvl="5" w:tplc="92962D8E">
      <w:numFmt w:val="bullet"/>
      <w:lvlText w:val="•"/>
      <w:lvlJc w:val="left"/>
      <w:pPr>
        <w:ind w:left="5037" w:hanging="273"/>
      </w:pPr>
      <w:rPr>
        <w:rFonts w:hint="default"/>
        <w:lang w:val="es-ES" w:eastAsia="en-US" w:bidi="ar-SA"/>
      </w:rPr>
    </w:lvl>
    <w:lvl w:ilvl="6" w:tplc="082CBE06">
      <w:numFmt w:val="bullet"/>
      <w:lvlText w:val="•"/>
      <w:lvlJc w:val="left"/>
      <w:pPr>
        <w:ind w:left="6202" w:hanging="273"/>
      </w:pPr>
      <w:rPr>
        <w:rFonts w:hint="default"/>
        <w:lang w:val="es-ES" w:eastAsia="en-US" w:bidi="ar-SA"/>
      </w:rPr>
    </w:lvl>
    <w:lvl w:ilvl="7" w:tplc="A6FCB262">
      <w:numFmt w:val="bullet"/>
      <w:lvlText w:val="•"/>
      <w:lvlJc w:val="left"/>
      <w:pPr>
        <w:ind w:left="7366" w:hanging="273"/>
      </w:pPr>
      <w:rPr>
        <w:rFonts w:hint="default"/>
        <w:lang w:val="es-ES" w:eastAsia="en-US" w:bidi="ar-SA"/>
      </w:rPr>
    </w:lvl>
    <w:lvl w:ilvl="8" w:tplc="D8FCE7E2">
      <w:numFmt w:val="bullet"/>
      <w:lvlText w:val="•"/>
      <w:lvlJc w:val="left"/>
      <w:pPr>
        <w:ind w:left="8531" w:hanging="273"/>
      </w:pPr>
      <w:rPr>
        <w:rFonts w:hint="default"/>
        <w:lang w:val="es-ES" w:eastAsia="en-US" w:bidi="ar-SA"/>
      </w:rPr>
    </w:lvl>
  </w:abstractNum>
  <w:abstractNum w:abstractNumId="33" w15:restartNumberingAfterBreak="0">
    <w:nsid w:val="6CB539F9"/>
    <w:multiLevelType w:val="hybridMultilevel"/>
    <w:tmpl w:val="7B641F9A"/>
    <w:lvl w:ilvl="0" w:tplc="DFAEB856">
      <w:start w:val="1"/>
      <w:numFmt w:val="lowerLetter"/>
      <w:lvlText w:val="%1)"/>
      <w:lvlJc w:val="left"/>
      <w:pPr>
        <w:ind w:left="112" w:hanging="288"/>
        <w:jc w:val="left"/>
      </w:pPr>
      <w:rPr>
        <w:rFonts w:ascii="Arial" w:eastAsia="Arial" w:hAnsi="Arial" w:cs="Arial" w:hint="default"/>
        <w:b/>
        <w:bCs/>
        <w:i w:val="0"/>
        <w:iCs w:val="0"/>
        <w:w w:val="101"/>
        <w:sz w:val="23"/>
        <w:szCs w:val="23"/>
        <w:lang w:val="es-ES" w:eastAsia="en-US" w:bidi="ar-SA"/>
      </w:rPr>
    </w:lvl>
    <w:lvl w:ilvl="1" w:tplc="6A940658">
      <w:numFmt w:val="bullet"/>
      <w:lvlText w:val="•"/>
      <w:lvlJc w:val="left"/>
      <w:pPr>
        <w:ind w:left="1194" w:hanging="288"/>
      </w:pPr>
      <w:rPr>
        <w:rFonts w:hint="default"/>
        <w:lang w:val="es-ES" w:eastAsia="en-US" w:bidi="ar-SA"/>
      </w:rPr>
    </w:lvl>
    <w:lvl w:ilvl="2" w:tplc="D81A1968">
      <w:numFmt w:val="bullet"/>
      <w:lvlText w:val="•"/>
      <w:lvlJc w:val="left"/>
      <w:pPr>
        <w:ind w:left="2268" w:hanging="288"/>
      </w:pPr>
      <w:rPr>
        <w:rFonts w:hint="default"/>
        <w:lang w:val="es-ES" w:eastAsia="en-US" w:bidi="ar-SA"/>
      </w:rPr>
    </w:lvl>
    <w:lvl w:ilvl="3" w:tplc="FE5EEF24">
      <w:numFmt w:val="bullet"/>
      <w:lvlText w:val="•"/>
      <w:lvlJc w:val="left"/>
      <w:pPr>
        <w:ind w:left="3342" w:hanging="288"/>
      </w:pPr>
      <w:rPr>
        <w:rFonts w:hint="default"/>
        <w:lang w:val="es-ES" w:eastAsia="en-US" w:bidi="ar-SA"/>
      </w:rPr>
    </w:lvl>
    <w:lvl w:ilvl="4" w:tplc="EA36B85A">
      <w:numFmt w:val="bullet"/>
      <w:lvlText w:val="•"/>
      <w:lvlJc w:val="left"/>
      <w:pPr>
        <w:ind w:left="4416" w:hanging="288"/>
      </w:pPr>
      <w:rPr>
        <w:rFonts w:hint="default"/>
        <w:lang w:val="es-ES" w:eastAsia="en-US" w:bidi="ar-SA"/>
      </w:rPr>
    </w:lvl>
    <w:lvl w:ilvl="5" w:tplc="CC985CA6">
      <w:numFmt w:val="bullet"/>
      <w:lvlText w:val="•"/>
      <w:lvlJc w:val="left"/>
      <w:pPr>
        <w:ind w:left="5490" w:hanging="288"/>
      </w:pPr>
      <w:rPr>
        <w:rFonts w:hint="default"/>
        <w:lang w:val="es-ES" w:eastAsia="en-US" w:bidi="ar-SA"/>
      </w:rPr>
    </w:lvl>
    <w:lvl w:ilvl="6" w:tplc="E38022A4">
      <w:numFmt w:val="bullet"/>
      <w:lvlText w:val="•"/>
      <w:lvlJc w:val="left"/>
      <w:pPr>
        <w:ind w:left="6564" w:hanging="288"/>
      </w:pPr>
      <w:rPr>
        <w:rFonts w:hint="default"/>
        <w:lang w:val="es-ES" w:eastAsia="en-US" w:bidi="ar-SA"/>
      </w:rPr>
    </w:lvl>
    <w:lvl w:ilvl="7" w:tplc="51523882">
      <w:numFmt w:val="bullet"/>
      <w:lvlText w:val="•"/>
      <w:lvlJc w:val="left"/>
      <w:pPr>
        <w:ind w:left="7638" w:hanging="288"/>
      </w:pPr>
      <w:rPr>
        <w:rFonts w:hint="default"/>
        <w:lang w:val="es-ES" w:eastAsia="en-US" w:bidi="ar-SA"/>
      </w:rPr>
    </w:lvl>
    <w:lvl w:ilvl="8" w:tplc="3AF8CF34">
      <w:numFmt w:val="bullet"/>
      <w:lvlText w:val="•"/>
      <w:lvlJc w:val="left"/>
      <w:pPr>
        <w:ind w:left="8712" w:hanging="288"/>
      </w:pPr>
      <w:rPr>
        <w:rFonts w:hint="default"/>
        <w:lang w:val="es-ES" w:eastAsia="en-US" w:bidi="ar-SA"/>
      </w:rPr>
    </w:lvl>
  </w:abstractNum>
  <w:abstractNum w:abstractNumId="34" w15:restartNumberingAfterBreak="0">
    <w:nsid w:val="6D27503B"/>
    <w:multiLevelType w:val="hybridMultilevel"/>
    <w:tmpl w:val="73D05406"/>
    <w:lvl w:ilvl="0" w:tplc="C4046FB8">
      <w:start w:val="1"/>
      <w:numFmt w:val="decimal"/>
      <w:lvlText w:val="%1."/>
      <w:lvlJc w:val="left"/>
      <w:pPr>
        <w:ind w:left="371" w:hanging="260"/>
        <w:jc w:val="left"/>
      </w:pPr>
      <w:rPr>
        <w:rFonts w:ascii="Arial" w:eastAsia="Arial" w:hAnsi="Arial" w:cs="Arial" w:hint="default"/>
        <w:b w:val="0"/>
        <w:bCs w:val="0"/>
        <w:i w:val="0"/>
        <w:iCs w:val="0"/>
        <w:w w:val="101"/>
        <w:sz w:val="23"/>
        <w:szCs w:val="23"/>
        <w:lang w:val="es-ES" w:eastAsia="en-US" w:bidi="ar-SA"/>
      </w:rPr>
    </w:lvl>
    <w:lvl w:ilvl="1" w:tplc="408A71AC">
      <w:start w:val="1"/>
      <w:numFmt w:val="lowerRoman"/>
      <w:lvlText w:val="%2)"/>
      <w:lvlJc w:val="left"/>
      <w:pPr>
        <w:ind w:left="112" w:hanging="272"/>
        <w:jc w:val="left"/>
      </w:pPr>
      <w:rPr>
        <w:rFonts w:ascii="Arial" w:eastAsia="Arial" w:hAnsi="Arial" w:cs="Arial" w:hint="default"/>
        <w:b w:val="0"/>
        <w:bCs w:val="0"/>
        <w:i w:val="0"/>
        <w:iCs w:val="0"/>
        <w:w w:val="101"/>
        <w:sz w:val="23"/>
        <w:szCs w:val="23"/>
        <w:lang w:val="es-ES" w:eastAsia="en-US" w:bidi="ar-SA"/>
      </w:rPr>
    </w:lvl>
    <w:lvl w:ilvl="2" w:tplc="5ACE1AF4">
      <w:start w:val="1"/>
      <w:numFmt w:val="decimal"/>
      <w:lvlText w:val="%3."/>
      <w:lvlJc w:val="left"/>
      <w:pPr>
        <w:ind w:left="112" w:hanging="260"/>
        <w:jc w:val="left"/>
      </w:pPr>
      <w:rPr>
        <w:rFonts w:ascii="Arial" w:eastAsia="Arial" w:hAnsi="Arial" w:cs="Arial" w:hint="default"/>
        <w:b w:val="0"/>
        <w:bCs w:val="0"/>
        <w:i w:val="0"/>
        <w:iCs w:val="0"/>
        <w:w w:val="101"/>
        <w:sz w:val="23"/>
        <w:szCs w:val="23"/>
        <w:lang w:val="es-ES" w:eastAsia="en-US" w:bidi="ar-SA"/>
      </w:rPr>
    </w:lvl>
    <w:lvl w:ilvl="3" w:tplc="743CA820">
      <w:numFmt w:val="bullet"/>
      <w:lvlText w:val="•"/>
      <w:lvlJc w:val="left"/>
      <w:pPr>
        <w:ind w:left="2708" w:hanging="260"/>
      </w:pPr>
      <w:rPr>
        <w:rFonts w:hint="default"/>
        <w:lang w:val="es-ES" w:eastAsia="en-US" w:bidi="ar-SA"/>
      </w:rPr>
    </w:lvl>
    <w:lvl w:ilvl="4" w:tplc="84C060F6">
      <w:numFmt w:val="bullet"/>
      <w:lvlText w:val="•"/>
      <w:lvlJc w:val="left"/>
      <w:pPr>
        <w:ind w:left="3873" w:hanging="260"/>
      </w:pPr>
      <w:rPr>
        <w:rFonts w:hint="default"/>
        <w:lang w:val="es-ES" w:eastAsia="en-US" w:bidi="ar-SA"/>
      </w:rPr>
    </w:lvl>
    <w:lvl w:ilvl="5" w:tplc="326251DC">
      <w:numFmt w:val="bullet"/>
      <w:lvlText w:val="•"/>
      <w:lvlJc w:val="left"/>
      <w:pPr>
        <w:ind w:left="5037" w:hanging="260"/>
      </w:pPr>
      <w:rPr>
        <w:rFonts w:hint="default"/>
        <w:lang w:val="es-ES" w:eastAsia="en-US" w:bidi="ar-SA"/>
      </w:rPr>
    </w:lvl>
    <w:lvl w:ilvl="6" w:tplc="BC56D930">
      <w:numFmt w:val="bullet"/>
      <w:lvlText w:val="•"/>
      <w:lvlJc w:val="left"/>
      <w:pPr>
        <w:ind w:left="6202" w:hanging="260"/>
      </w:pPr>
      <w:rPr>
        <w:rFonts w:hint="default"/>
        <w:lang w:val="es-ES" w:eastAsia="en-US" w:bidi="ar-SA"/>
      </w:rPr>
    </w:lvl>
    <w:lvl w:ilvl="7" w:tplc="7EBA36FC">
      <w:numFmt w:val="bullet"/>
      <w:lvlText w:val="•"/>
      <w:lvlJc w:val="left"/>
      <w:pPr>
        <w:ind w:left="7366" w:hanging="260"/>
      </w:pPr>
      <w:rPr>
        <w:rFonts w:hint="default"/>
        <w:lang w:val="es-ES" w:eastAsia="en-US" w:bidi="ar-SA"/>
      </w:rPr>
    </w:lvl>
    <w:lvl w:ilvl="8" w:tplc="F1E81914">
      <w:numFmt w:val="bullet"/>
      <w:lvlText w:val="•"/>
      <w:lvlJc w:val="left"/>
      <w:pPr>
        <w:ind w:left="8531" w:hanging="260"/>
      </w:pPr>
      <w:rPr>
        <w:rFonts w:hint="default"/>
        <w:lang w:val="es-ES" w:eastAsia="en-US" w:bidi="ar-SA"/>
      </w:rPr>
    </w:lvl>
  </w:abstractNum>
  <w:abstractNum w:abstractNumId="35" w15:restartNumberingAfterBreak="0">
    <w:nsid w:val="6E1B52F7"/>
    <w:multiLevelType w:val="hybridMultilevel"/>
    <w:tmpl w:val="360A6462"/>
    <w:lvl w:ilvl="0" w:tplc="705C1BDE">
      <w:start w:val="1"/>
      <w:numFmt w:val="lowerLetter"/>
      <w:lvlText w:val="%1)"/>
      <w:lvlJc w:val="left"/>
      <w:pPr>
        <w:ind w:left="112" w:hanging="289"/>
        <w:jc w:val="left"/>
      </w:pPr>
      <w:rPr>
        <w:rFonts w:ascii="Arial" w:eastAsia="Arial" w:hAnsi="Arial" w:cs="Arial" w:hint="default"/>
        <w:b/>
        <w:bCs/>
        <w:i w:val="0"/>
        <w:iCs w:val="0"/>
        <w:w w:val="101"/>
        <w:sz w:val="23"/>
        <w:szCs w:val="23"/>
        <w:lang w:val="es-ES" w:eastAsia="en-US" w:bidi="ar-SA"/>
      </w:rPr>
    </w:lvl>
    <w:lvl w:ilvl="1" w:tplc="658C1C3A">
      <w:numFmt w:val="bullet"/>
      <w:lvlText w:val="•"/>
      <w:lvlJc w:val="left"/>
      <w:pPr>
        <w:ind w:left="1194" w:hanging="289"/>
      </w:pPr>
      <w:rPr>
        <w:rFonts w:hint="default"/>
        <w:lang w:val="es-ES" w:eastAsia="en-US" w:bidi="ar-SA"/>
      </w:rPr>
    </w:lvl>
    <w:lvl w:ilvl="2" w:tplc="23583BD4">
      <w:numFmt w:val="bullet"/>
      <w:lvlText w:val="•"/>
      <w:lvlJc w:val="left"/>
      <w:pPr>
        <w:ind w:left="2268" w:hanging="289"/>
      </w:pPr>
      <w:rPr>
        <w:rFonts w:hint="default"/>
        <w:lang w:val="es-ES" w:eastAsia="en-US" w:bidi="ar-SA"/>
      </w:rPr>
    </w:lvl>
    <w:lvl w:ilvl="3" w:tplc="AC222B0E">
      <w:numFmt w:val="bullet"/>
      <w:lvlText w:val="•"/>
      <w:lvlJc w:val="left"/>
      <w:pPr>
        <w:ind w:left="3342" w:hanging="289"/>
      </w:pPr>
      <w:rPr>
        <w:rFonts w:hint="default"/>
        <w:lang w:val="es-ES" w:eastAsia="en-US" w:bidi="ar-SA"/>
      </w:rPr>
    </w:lvl>
    <w:lvl w:ilvl="4" w:tplc="039E1354">
      <w:numFmt w:val="bullet"/>
      <w:lvlText w:val="•"/>
      <w:lvlJc w:val="left"/>
      <w:pPr>
        <w:ind w:left="4416" w:hanging="289"/>
      </w:pPr>
      <w:rPr>
        <w:rFonts w:hint="default"/>
        <w:lang w:val="es-ES" w:eastAsia="en-US" w:bidi="ar-SA"/>
      </w:rPr>
    </w:lvl>
    <w:lvl w:ilvl="5" w:tplc="F8964CCA">
      <w:numFmt w:val="bullet"/>
      <w:lvlText w:val="•"/>
      <w:lvlJc w:val="left"/>
      <w:pPr>
        <w:ind w:left="5490" w:hanging="289"/>
      </w:pPr>
      <w:rPr>
        <w:rFonts w:hint="default"/>
        <w:lang w:val="es-ES" w:eastAsia="en-US" w:bidi="ar-SA"/>
      </w:rPr>
    </w:lvl>
    <w:lvl w:ilvl="6" w:tplc="48C0636A">
      <w:numFmt w:val="bullet"/>
      <w:lvlText w:val="•"/>
      <w:lvlJc w:val="left"/>
      <w:pPr>
        <w:ind w:left="6564" w:hanging="289"/>
      </w:pPr>
      <w:rPr>
        <w:rFonts w:hint="default"/>
        <w:lang w:val="es-ES" w:eastAsia="en-US" w:bidi="ar-SA"/>
      </w:rPr>
    </w:lvl>
    <w:lvl w:ilvl="7" w:tplc="73D637E8">
      <w:numFmt w:val="bullet"/>
      <w:lvlText w:val="•"/>
      <w:lvlJc w:val="left"/>
      <w:pPr>
        <w:ind w:left="7638" w:hanging="289"/>
      </w:pPr>
      <w:rPr>
        <w:rFonts w:hint="default"/>
        <w:lang w:val="es-ES" w:eastAsia="en-US" w:bidi="ar-SA"/>
      </w:rPr>
    </w:lvl>
    <w:lvl w:ilvl="8" w:tplc="3A0EA348">
      <w:numFmt w:val="bullet"/>
      <w:lvlText w:val="•"/>
      <w:lvlJc w:val="left"/>
      <w:pPr>
        <w:ind w:left="8712" w:hanging="289"/>
      </w:pPr>
      <w:rPr>
        <w:rFonts w:hint="default"/>
        <w:lang w:val="es-ES" w:eastAsia="en-US" w:bidi="ar-SA"/>
      </w:rPr>
    </w:lvl>
  </w:abstractNum>
  <w:abstractNum w:abstractNumId="36" w15:restartNumberingAfterBreak="0">
    <w:nsid w:val="6E71399B"/>
    <w:multiLevelType w:val="hybridMultilevel"/>
    <w:tmpl w:val="71E85534"/>
    <w:lvl w:ilvl="0" w:tplc="3D4A9FC4">
      <w:start w:val="1"/>
      <w:numFmt w:val="decimal"/>
      <w:lvlText w:val="%1."/>
      <w:lvlJc w:val="left"/>
      <w:pPr>
        <w:ind w:left="112" w:hanging="338"/>
        <w:jc w:val="left"/>
      </w:pPr>
      <w:rPr>
        <w:rFonts w:ascii="Arial" w:eastAsia="Arial" w:hAnsi="Arial" w:cs="Arial" w:hint="default"/>
        <w:b w:val="0"/>
        <w:bCs w:val="0"/>
        <w:i w:val="0"/>
        <w:iCs w:val="0"/>
        <w:w w:val="101"/>
        <w:sz w:val="23"/>
        <w:szCs w:val="23"/>
        <w:lang w:val="es-ES" w:eastAsia="en-US" w:bidi="ar-SA"/>
      </w:rPr>
    </w:lvl>
    <w:lvl w:ilvl="1" w:tplc="C6E6DEEE">
      <w:numFmt w:val="bullet"/>
      <w:lvlText w:val="•"/>
      <w:lvlJc w:val="left"/>
      <w:pPr>
        <w:ind w:left="1194" w:hanging="338"/>
      </w:pPr>
      <w:rPr>
        <w:rFonts w:hint="default"/>
        <w:lang w:val="es-ES" w:eastAsia="en-US" w:bidi="ar-SA"/>
      </w:rPr>
    </w:lvl>
    <w:lvl w:ilvl="2" w:tplc="F2B4A076">
      <w:numFmt w:val="bullet"/>
      <w:lvlText w:val="•"/>
      <w:lvlJc w:val="left"/>
      <w:pPr>
        <w:ind w:left="2268" w:hanging="338"/>
      </w:pPr>
      <w:rPr>
        <w:rFonts w:hint="default"/>
        <w:lang w:val="es-ES" w:eastAsia="en-US" w:bidi="ar-SA"/>
      </w:rPr>
    </w:lvl>
    <w:lvl w:ilvl="3" w:tplc="7FB01D56">
      <w:numFmt w:val="bullet"/>
      <w:lvlText w:val="•"/>
      <w:lvlJc w:val="left"/>
      <w:pPr>
        <w:ind w:left="3342" w:hanging="338"/>
      </w:pPr>
      <w:rPr>
        <w:rFonts w:hint="default"/>
        <w:lang w:val="es-ES" w:eastAsia="en-US" w:bidi="ar-SA"/>
      </w:rPr>
    </w:lvl>
    <w:lvl w:ilvl="4" w:tplc="D5E8A818">
      <w:numFmt w:val="bullet"/>
      <w:lvlText w:val="•"/>
      <w:lvlJc w:val="left"/>
      <w:pPr>
        <w:ind w:left="4416" w:hanging="338"/>
      </w:pPr>
      <w:rPr>
        <w:rFonts w:hint="default"/>
        <w:lang w:val="es-ES" w:eastAsia="en-US" w:bidi="ar-SA"/>
      </w:rPr>
    </w:lvl>
    <w:lvl w:ilvl="5" w:tplc="3BF0BC2E">
      <w:numFmt w:val="bullet"/>
      <w:lvlText w:val="•"/>
      <w:lvlJc w:val="left"/>
      <w:pPr>
        <w:ind w:left="5490" w:hanging="338"/>
      </w:pPr>
      <w:rPr>
        <w:rFonts w:hint="default"/>
        <w:lang w:val="es-ES" w:eastAsia="en-US" w:bidi="ar-SA"/>
      </w:rPr>
    </w:lvl>
    <w:lvl w:ilvl="6" w:tplc="A71A024A">
      <w:numFmt w:val="bullet"/>
      <w:lvlText w:val="•"/>
      <w:lvlJc w:val="left"/>
      <w:pPr>
        <w:ind w:left="6564" w:hanging="338"/>
      </w:pPr>
      <w:rPr>
        <w:rFonts w:hint="default"/>
        <w:lang w:val="es-ES" w:eastAsia="en-US" w:bidi="ar-SA"/>
      </w:rPr>
    </w:lvl>
    <w:lvl w:ilvl="7" w:tplc="1E446220">
      <w:numFmt w:val="bullet"/>
      <w:lvlText w:val="•"/>
      <w:lvlJc w:val="left"/>
      <w:pPr>
        <w:ind w:left="7638" w:hanging="338"/>
      </w:pPr>
      <w:rPr>
        <w:rFonts w:hint="default"/>
        <w:lang w:val="es-ES" w:eastAsia="en-US" w:bidi="ar-SA"/>
      </w:rPr>
    </w:lvl>
    <w:lvl w:ilvl="8" w:tplc="CEE814AE">
      <w:numFmt w:val="bullet"/>
      <w:lvlText w:val="•"/>
      <w:lvlJc w:val="left"/>
      <w:pPr>
        <w:ind w:left="8712" w:hanging="338"/>
      </w:pPr>
      <w:rPr>
        <w:rFonts w:hint="default"/>
        <w:lang w:val="es-ES" w:eastAsia="en-US" w:bidi="ar-SA"/>
      </w:rPr>
    </w:lvl>
  </w:abstractNum>
  <w:abstractNum w:abstractNumId="37" w15:restartNumberingAfterBreak="0">
    <w:nsid w:val="6F031045"/>
    <w:multiLevelType w:val="hybridMultilevel"/>
    <w:tmpl w:val="DA5C8178"/>
    <w:lvl w:ilvl="0" w:tplc="7D5219F8">
      <w:start w:val="1"/>
      <w:numFmt w:val="lowerLetter"/>
      <w:lvlText w:val="%1)"/>
      <w:lvlJc w:val="left"/>
      <w:pPr>
        <w:ind w:left="112" w:hanging="278"/>
        <w:jc w:val="left"/>
      </w:pPr>
      <w:rPr>
        <w:rFonts w:ascii="Arial" w:eastAsia="Arial" w:hAnsi="Arial" w:cs="Arial" w:hint="default"/>
        <w:b w:val="0"/>
        <w:bCs w:val="0"/>
        <w:i w:val="0"/>
        <w:iCs w:val="0"/>
        <w:w w:val="101"/>
        <w:sz w:val="23"/>
        <w:szCs w:val="23"/>
        <w:lang w:val="es-ES" w:eastAsia="en-US" w:bidi="ar-SA"/>
      </w:rPr>
    </w:lvl>
    <w:lvl w:ilvl="1" w:tplc="BB649122">
      <w:numFmt w:val="bullet"/>
      <w:lvlText w:val="•"/>
      <w:lvlJc w:val="left"/>
      <w:pPr>
        <w:ind w:left="1194" w:hanging="278"/>
      </w:pPr>
      <w:rPr>
        <w:rFonts w:hint="default"/>
        <w:lang w:val="es-ES" w:eastAsia="en-US" w:bidi="ar-SA"/>
      </w:rPr>
    </w:lvl>
    <w:lvl w:ilvl="2" w:tplc="5DCE2A38">
      <w:numFmt w:val="bullet"/>
      <w:lvlText w:val="•"/>
      <w:lvlJc w:val="left"/>
      <w:pPr>
        <w:ind w:left="2268" w:hanging="278"/>
      </w:pPr>
      <w:rPr>
        <w:rFonts w:hint="default"/>
        <w:lang w:val="es-ES" w:eastAsia="en-US" w:bidi="ar-SA"/>
      </w:rPr>
    </w:lvl>
    <w:lvl w:ilvl="3" w:tplc="F6AA5CDA">
      <w:numFmt w:val="bullet"/>
      <w:lvlText w:val="•"/>
      <w:lvlJc w:val="left"/>
      <w:pPr>
        <w:ind w:left="3342" w:hanging="278"/>
      </w:pPr>
      <w:rPr>
        <w:rFonts w:hint="default"/>
        <w:lang w:val="es-ES" w:eastAsia="en-US" w:bidi="ar-SA"/>
      </w:rPr>
    </w:lvl>
    <w:lvl w:ilvl="4" w:tplc="A52C300A">
      <w:numFmt w:val="bullet"/>
      <w:lvlText w:val="•"/>
      <w:lvlJc w:val="left"/>
      <w:pPr>
        <w:ind w:left="4416" w:hanging="278"/>
      </w:pPr>
      <w:rPr>
        <w:rFonts w:hint="default"/>
        <w:lang w:val="es-ES" w:eastAsia="en-US" w:bidi="ar-SA"/>
      </w:rPr>
    </w:lvl>
    <w:lvl w:ilvl="5" w:tplc="51F6E464">
      <w:numFmt w:val="bullet"/>
      <w:lvlText w:val="•"/>
      <w:lvlJc w:val="left"/>
      <w:pPr>
        <w:ind w:left="5490" w:hanging="278"/>
      </w:pPr>
      <w:rPr>
        <w:rFonts w:hint="default"/>
        <w:lang w:val="es-ES" w:eastAsia="en-US" w:bidi="ar-SA"/>
      </w:rPr>
    </w:lvl>
    <w:lvl w:ilvl="6" w:tplc="8D1A9F96">
      <w:numFmt w:val="bullet"/>
      <w:lvlText w:val="•"/>
      <w:lvlJc w:val="left"/>
      <w:pPr>
        <w:ind w:left="6564" w:hanging="278"/>
      </w:pPr>
      <w:rPr>
        <w:rFonts w:hint="default"/>
        <w:lang w:val="es-ES" w:eastAsia="en-US" w:bidi="ar-SA"/>
      </w:rPr>
    </w:lvl>
    <w:lvl w:ilvl="7" w:tplc="D104FBEE">
      <w:numFmt w:val="bullet"/>
      <w:lvlText w:val="•"/>
      <w:lvlJc w:val="left"/>
      <w:pPr>
        <w:ind w:left="7638" w:hanging="278"/>
      </w:pPr>
      <w:rPr>
        <w:rFonts w:hint="default"/>
        <w:lang w:val="es-ES" w:eastAsia="en-US" w:bidi="ar-SA"/>
      </w:rPr>
    </w:lvl>
    <w:lvl w:ilvl="8" w:tplc="9E42E9D8">
      <w:numFmt w:val="bullet"/>
      <w:lvlText w:val="•"/>
      <w:lvlJc w:val="left"/>
      <w:pPr>
        <w:ind w:left="8712" w:hanging="278"/>
      </w:pPr>
      <w:rPr>
        <w:rFonts w:hint="default"/>
        <w:lang w:val="es-ES" w:eastAsia="en-US" w:bidi="ar-SA"/>
      </w:rPr>
    </w:lvl>
  </w:abstractNum>
  <w:abstractNum w:abstractNumId="38" w15:restartNumberingAfterBreak="0">
    <w:nsid w:val="7DCF3DC1"/>
    <w:multiLevelType w:val="hybridMultilevel"/>
    <w:tmpl w:val="A1802814"/>
    <w:lvl w:ilvl="0" w:tplc="F8C67C44">
      <w:start w:val="1"/>
      <w:numFmt w:val="lowerLetter"/>
      <w:lvlText w:val="%1)"/>
      <w:lvlJc w:val="left"/>
      <w:pPr>
        <w:ind w:left="112" w:hanging="273"/>
        <w:jc w:val="left"/>
      </w:pPr>
      <w:rPr>
        <w:rFonts w:ascii="Arial" w:eastAsia="Arial" w:hAnsi="Arial" w:cs="Arial" w:hint="default"/>
        <w:b/>
        <w:bCs/>
        <w:i w:val="0"/>
        <w:iCs w:val="0"/>
        <w:w w:val="101"/>
        <w:sz w:val="23"/>
        <w:szCs w:val="23"/>
        <w:lang w:val="es-ES" w:eastAsia="en-US" w:bidi="ar-SA"/>
      </w:rPr>
    </w:lvl>
    <w:lvl w:ilvl="1" w:tplc="BCD0F8EC">
      <w:numFmt w:val="bullet"/>
      <w:lvlText w:val="•"/>
      <w:lvlJc w:val="left"/>
      <w:pPr>
        <w:ind w:left="1194" w:hanging="273"/>
      </w:pPr>
      <w:rPr>
        <w:rFonts w:hint="default"/>
        <w:lang w:val="es-ES" w:eastAsia="en-US" w:bidi="ar-SA"/>
      </w:rPr>
    </w:lvl>
    <w:lvl w:ilvl="2" w:tplc="FDA0837A">
      <w:numFmt w:val="bullet"/>
      <w:lvlText w:val="•"/>
      <w:lvlJc w:val="left"/>
      <w:pPr>
        <w:ind w:left="2268" w:hanging="273"/>
      </w:pPr>
      <w:rPr>
        <w:rFonts w:hint="default"/>
        <w:lang w:val="es-ES" w:eastAsia="en-US" w:bidi="ar-SA"/>
      </w:rPr>
    </w:lvl>
    <w:lvl w:ilvl="3" w:tplc="6448A506">
      <w:numFmt w:val="bullet"/>
      <w:lvlText w:val="•"/>
      <w:lvlJc w:val="left"/>
      <w:pPr>
        <w:ind w:left="3342" w:hanging="273"/>
      </w:pPr>
      <w:rPr>
        <w:rFonts w:hint="default"/>
        <w:lang w:val="es-ES" w:eastAsia="en-US" w:bidi="ar-SA"/>
      </w:rPr>
    </w:lvl>
    <w:lvl w:ilvl="4" w:tplc="4E6E3C70">
      <w:numFmt w:val="bullet"/>
      <w:lvlText w:val="•"/>
      <w:lvlJc w:val="left"/>
      <w:pPr>
        <w:ind w:left="4416" w:hanging="273"/>
      </w:pPr>
      <w:rPr>
        <w:rFonts w:hint="default"/>
        <w:lang w:val="es-ES" w:eastAsia="en-US" w:bidi="ar-SA"/>
      </w:rPr>
    </w:lvl>
    <w:lvl w:ilvl="5" w:tplc="E6609D78">
      <w:numFmt w:val="bullet"/>
      <w:lvlText w:val="•"/>
      <w:lvlJc w:val="left"/>
      <w:pPr>
        <w:ind w:left="5490" w:hanging="273"/>
      </w:pPr>
      <w:rPr>
        <w:rFonts w:hint="default"/>
        <w:lang w:val="es-ES" w:eastAsia="en-US" w:bidi="ar-SA"/>
      </w:rPr>
    </w:lvl>
    <w:lvl w:ilvl="6" w:tplc="975AC5FC">
      <w:numFmt w:val="bullet"/>
      <w:lvlText w:val="•"/>
      <w:lvlJc w:val="left"/>
      <w:pPr>
        <w:ind w:left="6564" w:hanging="273"/>
      </w:pPr>
      <w:rPr>
        <w:rFonts w:hint="default"/>
        <w:lang w:val="es-ES" w:eastAsia="en-US" w:bidi="ar-SA"/>
      </w:rPr>
    </w:lvl>
    <w:lvl w:ilvl="7" w:tplc="01209586">
      <w:numFmt w:val="bullet"/>
      <w:lvlText w:val="•"/>
      <w:lvlJc w:val="left"/>
      <w:pPr>
        <w:ind w:left="7638" w:hanging="273"/>
      </w:pPr>
      <w:rPr>
        <w:rFonts w:hint="default"/>
        <w:lang w:val="es-ES" w:eastAsia="en-US" w:bidi="ar-SA"/>
      </w:rPr>
    </w:lvl>
    <w:lvl w:ilvl="8" w:tplc="B1AED27A">
      <w:numFmt w:val="bullet"/>
      <w:lvlText w:val="•"/>
      <w:lvlJc w:val="left"/>
      <w:pPr>
        <w:ind w:left="8712" w:hanging="273"/>
      </w:pPr>
      <w:rPr>
        <w:rFonts w:hint="default"/>
        <w:lang w:val="es-ES" w:eastAsia="en-US" w:bidi="ar-SA"/>
      </w:rPr>
    </w:lvl>
  </w:abstractNum>
  <w:num w:numId="1" w16cid:durableId="257180608">
    <w:abstractNumId w:val="20"/>
  </w:num>
  <w:num w:numId="2" w16cid:durableId="653219311">
    <w:abstractNumId w:val="9"/>
  </w:num>
  <w:num w:numId="3" w16cid:durableId="157426316">
    <w:abstractNumId w:val="26"/>
  </w:num>
  <w:num w:numId="4" w16cid:durableId="1699771592">
    <w:abstractNumId w:val="16"/>
  </w:num>
  <w:num w:numId="5" w16cid:durableId="685450393">
    <w:abstractNumId w:val="11"/>
  </w:num>
  <w:num w:numId="6" w16cid:durableId="1981956990">
    <w:abstractNumId w:val="3"/>
  </w:num>
  <w:num w:numId="7" w16cid:durableId="1021472136">
    <w:abstractNumId w:val="32"/>
  </w:num>
  <w:num w:numId="8" w16cid:durableId="204216542">
    <w:abstractNumId w:val="27"/>
  </w:num>
  <w:num w:numId="9" w16cid:durableId="724766473">
    <w:abstractNumId w:val="19"/>
  </w:num>
  <w:num w:numId="10" w16cid:durableId="1778331317">
    <w:abstractNumId w:val="6"/>
  </w:num>
  <w:num w:numId="11" w16cid:durableId="625939198">
    <w:abstractNumId w:val="10"/>
  </w:num>
  <w:num w:numId="12" w16cid:durableId="1182205897">
    <w:abstractNumId w:val="37"/>
  </w:num>
  <w:num w:numId="13" w16cid:durableId="1459254514">
    <w:abstractNumId w:val="0"/>
  </w:num>
  <w:num w:numId="14" w16cid:durableId="428157221">
    <w:abstractNumId w:val="29"/>
  </w:num>
  <w:num w:numId="15" w16cid:durableId="252397082">
    <w:abstractNumId w:val="15"/>
  </w:num>
  <w:num w:numId="16" w16cid:durableId="282150753">
    <w:abstractNumId w:val="24"/>
  </w:num>
  <w:num w:numId="17" w16cid:durableId="1529415363">
    <w:abstractNumId w:val="14"/>
  </w:num>
  <w:num w:numId="18" w16cid:durableId="1711026599">
    <w:abstractNumId w:val="35"/>
  </w:num>
  <w:num w:numId="19" w16cid:durableId="598950252">
    <w:abstractNumId w:val="25"/>
  </w:num>
  <w:num w:numId="20" w16cid:durableId="1996295395">
    <w:abstractNumId w:val="4"/>
  </w:num>
  <w:num w:numId="21" w16cid:durableId="269318235">
    <w:abstractNumId w:val="1"/>
  </w:num>
  <w:num w:numId="22" w16cid:durableId="41102795">
    <w:abstractNumId w:val="33"/>
  </w:num>
  <w:num w:numId="23" w16cid:durableId="25840205">
    <w:abstractNumId w:val="31"/>
  </w:num>
  <w:num w:numId="24" w16cid:durableId="1012797273">
    <w:abstractNumId w:val="30"/>
  </w:num>
  <w:num w:numId="25" w16cid:durableId="1910842513">
    <w:abstractNumId w:val="8"/>
  </w:num>
  <w:num w:numId="26" w16cid:durableId="1854228098">
    <w:abstractNumId w:val="23"/>
  </w:num>
  <w:num w:numId="27" w16cid:durableId="1231619826">
    <w:abstractNumId w:val="38"/>
  </w:num>
  <w:num w:numId="28" w16cid:durableId="2013992511">
    <w:abstractNumId w:val="22"/>
  </w:num>
  <w:num w:numId="29" w16cid:durableId="833767524">
    <w:abstractNumId w:val="18"/>
  </w:num>
  <w:num w:numId="30" w16cid:durableId="837309003">
    <w:abstractNumId w:val="28"/>
  </w:num>
  <w:num w:numId="31" w16cid:durableId="312873234">
    <w:abstractNumId w:val="12"/>
  </w:num>
  <w:num w:numId="32" w16cid:durableId="498351219">
    <w:abstractNumId w:val="2"/>
  </w:num>
  <w:num w:numId="33" w16cid:durableId="1254363747">
    <w:abstractNumId w:val="7"/>
  </w:num>
  <w:num w:numId="34" w16cid:durableId="2039040207">
    <w:abstractNumId w:val="17"/>
  </w:num>
  <w:num w:numId="35" w16cid:durableId="1678968387">
    <w:abstractNumId w:val="21"/>
  </w:num>
  <w:num w:numId="36" w16cid:durableId="2008055242">
    <w:abstractNumId w:val="36"/>
  </w:num>
  <w:num w:numId="37" w16cid:durableId="845241942">
    <w:abstractNumId w:val="34"/>
  </w:num>
  <w:num w:numId="38" w16cid:durableId="1194465726">
    <w:abstractNumId w:val="13"/>
  </w:num>
  <w:num w:numId="39" w16cid:durableId="6446264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B507F"/>
    <w:rsid w:val="00413A96"/>
    <w:rsid w:val="004B5E69"/>
    <w:rsid w:val="008B507F"/>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A4360"/>
  <w15:docId w15:val="{02DB0628-B643-4440-8CA0-31492BF6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Heading1">
    <w:name w:val="heading 1"/>
    <w:basedOn w:val="Normal"/>
    <w:uiPriority w:val="9"/>
    <w:qFormat/>
    <w:pPr>
      <w:ind w:left="112"/>
      <w:jc w:val="both"/>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12"/>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13A96"/>
    <w:pPr>
      <w:tabs>
        <w:tab w:val="center" w:pos="4680"/>
        <w:tab w:val="right" w:pos="9360"/>
      </w:tabs>
    </w:pPr>
  </w:style>
  <w:style w:type="character" w:customStyle="1" w:styleId="HeaderChar">
    <w:name w:val="Header Char"/>
    <w:basedOn w:val="DefaultParagraphFont"/>
    <w:link w:val="Header"/>
    <w:uiPriority w:val="99"/>
    <w:rsid w:val="00413A96"/>
    <w:rPr>
      <w:rFonts w:ascii="Arial" w:eastAsia="Arial" w:hAnsi="Arial" w:cs="Arial"/>
      <w:lang w:val="es-ES"/>
    </w:rPr>
  </w:style>
  <w:style w:type="paragraph" w:styleId="Footer">
    <w:name w:val="footer"/>
    <w:basedOn w:val="Normal"/>
    <w:link w:val="FooterChar"/>
    <w:uiPriority w:val="99"/>
    <w:unhideWhenUsed/>
    <w:rsid w:val="00413A96"/>
    <w:pPr>
      <w:tabs>
        <w:tab w:val="center" w:pos="4680"/>
        <w:tab w:val="right" w:pos="9360"/>
      </w:tabs>
    </w:pPr>
  </w:style>
  <w:style w:type="character" w:customStyle="1" w:styleId="FooterChar">
    <w:name w:val="Footer Char"/>
    <w:basedOn w:val="DefaultParagraphFont"/>
    <w:link w:val="Footer"/>
    <w:uiPriority w:val="99"/>
    <w:rsid w:val="00413A96"/>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106</Pages>
  <Words>62757</Words>
  <Characters>357720</Characters>
  <Application>Microsoft Office Word</Application>
  <DocSecurity>0</DocSecurity>
  <Lines>2981</Lines>
  <Paragraphs>839</Paragraphs>
  <ScaleCrop>false</ScaleCrop>
  <Company/>
  <LinksUpToDate>false</LinksUpToDate>
  <CharactersWithSpaces>419638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Davila</cp:lastModifiedBy>
  <cp:revision>2</cp:revision>
  <dcterms:created xsi:type="dcterms:W3CDTF">2022-11-25T02:00:00Z</dcterms:created>
  <dcterms:modified xsi:type="dcterms:W3CDTF">2022-11-25T02:18:00Z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2016-07-01T00:00:00Z</vt:filetime>
  </property>
  <property fmtid="{D5CDD505-2E9C-101B-9397-08002B2CF9AE}" pid="3" name="Creator">
    <vt:lpwstr>Mozilla/5.0 (Windows NT 6.3; WOW64) AppleWebKit/537.36 (KHTML, like Gecko) Chrome/51.0.2704.103 Safari/537.36</vt:lpwstr>
  </property>
  <property fmtid="{D5CDD505-2E9C-101B-9397-08002B2CF9AE}" pid="4" name="LastSaved">
    <vt:filetime>2022-11-25T00:00:00Z</vt:filetime>
  </property>
  <property fmtid="{D5CDD505-2E9C-101B-9397-08002B2CF9AE}" pid="5" name="Producer">
    <vt:lpwstr>Skia/PDF m51</vt:lpwstr>
  </property>
</Properties>
</file>