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0F5C66"/>
          <w:sz w:val="18"/>
          <w:szCs w:val="18"/>
        </w:rPr>
        <w:t xml:space="preserve">PLANTILLA DESCARGABLE</w:t>
      </w:r>
    </w:p>
    <w:p>
      <w:pPr>
        <w:spacing w:after="160"/>
      </w:pPr>
      <w:r>
        <w:rPr>
          <w:b/>
          <w:bCs/>
          <w:color w:val="16202B"/>
          <w:sz w:val="40"/>
          <w:szCs w:val="40"/>
        </w:rPr>
        <w:t xml:space="preserve">Nota Técnica de Proveedor de Salud a EPS</w:t>
      </w:r>
    </w:p>
    <w:p>
      <w:pPr>
        <w:spacing w:after="200"/>
      </w:pPr>
      <w:r>
        <w:rPr>
          <w:color w:val="57667A"/>
          <w:sz w:val="24"/>
          <w:szCs w:val="24"/>
        </w:rPr>
        <w:t xml:space="preserve">Elementos clave para estructurar una nota técnica de IPS y otros prestadores hacia una EPS</w:t>
      </w:r>
    </w:p>
    <w:p>
      <w:pPr>
        <w:spacing w:after="60"/>
      </w:pPr>
      <w:r>
        <w:rPr>
          <w:color w:val="57667A"/>
          <w:sz w:val="20"/>
          <w:szCs w:val="20"/>
        </w:rPr>
        <w:t xml:space="preserve">Elaborada por </w:t>
      </w:r>
      <w:r>
        <w:rPr>
          <w:b/>
          <w:bCs/>
          <w:color w:val="16202B"/>
          <w:sz w:val="20"/>
          <w:szCs w:val="20"/>
        </w:rPr>
        <w:t xml:space="preserve">Fabian Dávila Ramírez, MD, MBA, PhD</w:t>
      </w:r>
      <w:r>
        <w:rPr>
          <w:color w:val="57667A"/>
          <w:sz w:val="20"/>
          <w:szCs w:val="20"/>
        </w:rPr>
        <w:t xml:space="preserve"> — a partir de la síntesis del XXI Congreso Nacional de Salud 2026 (sesión 22, “Modelación contractual avanzada para IPS: costos, notas técnicas y gestión de contratos prospectivos”).</w:t>
      </w:r>
    </w:p>
    <w:p>
      <w:pPr>
        <w:spacing w:after="60"/>
      </w:pPr>
      <w:r>
        <w:rPr>
          <w:color w:val="57667A"/>
          <w:sz w:val="20"/>
          <w:szCs w:val="20"/>
        </w:rPr>
        <w:t xml:space="preserve">Explorador interactivo: </w:t>
      </w:r>
      <w:hyperlink w:history="1" r:id="rIdyc7iehufl0aq0nrvbjubx">
        <w:r>
          <w:rPr>
            <w:color w:val="0F5C66"/>
            <w:sz w:val="20"/>
            <w:szCs w:val="20"/>
            <w:u w:val="single"/>
          </w:rPr>
          <w:t xml:space="preserve">fadavilar.github.io/xxi-congreso-nacional-salud-2026</w:t>
        </w:r>
      </w:hyperlink>
    </w:p>
    <w:p>
      <w:pPr>
        <w:spacing w:after="280"/>
      </w:pPr>
      <w:r>
        <w:rPr>
          <w:i/>
          <w:iCs/>
          <w:color w:val="57667A"/>
          <w:sz w:val="18"/>
          <w:szCs w:val="18"/>
        </w:rPr>
        <w:t xml:space="preserve">Licencia Creative Commons Atribución 4.0 Internacional (CC BY 4.0) — puede adaptarse y reutilizarse libremente citando al autor.</w:t>
      </w:r>
    </w:p>
    <w:p>
      <w:pPr>
        <w:pBdr>
          <w:bottom w:val="single" w:color="D7DEE6" w:sz="6" w:space="8"/>
        </w:pBdr>
        <w:spacing w:after="280"/>
      </w:pPr>
      <w:r>
        <w:rPr>
          <w:color w:val="16202B"/>
          <w:sz w:val="21"/>
          <w:szCs w:val="21"/>
        </w:rPr>
        <w:t xml:space="preserve">Esta plantilla no es un documento oficial ni un formato exigido por ninguna EPS o entidad regulatoria: es una guía práctica de los elementos que, según la evidencia sintetizada del congreso, una nota técnica sólida debería considerar. Reemplace el texto entre [corchetes] con la información específica de cada contrato o servicio.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1. Identificación y alcance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Defina con precisión el prestador, el alcance del servicio y el periodo de vigencia del contrato o de la propuesta.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IPS / nombre del prestador y nivel de complejidad: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Línea de servicio o especialidad objeto de la nota: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EPS o pagador destinatario: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Vigencia y período cubierto: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Población objetivo (número de afiliados o beneficiarios cubiertos): [completar]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2. Marco tarifario de referencia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Explicite qué manual tarifario o referencia de precios sustenta los valores propuestos, y documente cualquier brecha frente a la clasificación de procedimientos vigente.</w:t>
      </w:r>
    </w:p>
    <w:p>
      <w:pPr>
        <w:shd w:fill="F4F6FA" w:val="clear"/>
        <w:spacing w:after="120" w:before="60"/>
      </w:pPr>
      <w:r>
        <w:rPr>
          <w:color w:val="57667A"/>
          <w:sz w:val="20"/>
          <w:szCs w:val="20"/>
        </w:rPr>
        <w:t xml:space="preserve">Nota del congreso (sesión 14): el tarifario SOAT vigente cubre 3.281 códigos frente a los 10.024 procedimientos de la Clasificación Única de Procedimientos en Salud (Resolución 2706 de 2025) — verifique si su nota técnica cae en esa brecha antes de anclarse a una tarifa histórica.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tarifario aplicado (SOAT, ISS 2001, tarifario propio de la EPS, otro):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Códigos CUPS cubiertos vs. no cubiertos por el tarifario de referencia: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Ajustes o incrementos pactados frente al período anterior: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Justificación de cualquier desviación frente a tarifas históricas: [completar]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3. Estructura de costos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Desagregue los costos reales del servicio — no las tarifas históricas — como base de la negociación.</w:t>
      </w:r>
    </w:p>
    <w:tbl>
      <w:tblPr>
        <w:tblW w:type="dxa" w:w="102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3200"/>
        <w:gridCol w:w="3600"/>
        <w:gridCol w:w="3400"/>
      </w:tblGrid>
      <w:tr>
        <w:trPr>
          <w:tblHeader/>
        </w:trPr>
        <w:tc>
          <w:tcPr>
            <w:tcW w:type="dxa" w:w="32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Categoría de costo</w:t>
            </w:r>
          </w:p>
        </w:tc>
        <w:tc>
          <w:tcPr>
            <w:tcW w:type="dxa" w:w="36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Valor / supuesto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Costos directos — personal asistencial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Costos directos — insumos y medicamentos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Costos indirectos / overhead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Costos fijos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Costos variables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Punto de equilibrio (break-even)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Volumen mínimo para cubrir costos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4. Supuestos de utilización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Sustente las proyecciones de volumen en datos reales de frecuencia de uso y, cuando sea posible, en evidencia epidemiológica.</w:t>
      </w:r>
    </w:p>
    <w:p>
      <w:pPr>
        <w:shd w:fill="F4F6FA" w:val="clear"/>
        <w:spacing w:after="120" w:before="60"/>
      </w:pPr>
      <w:r>
        <w:rPr>
          <w:color w:val="57667A"/>
          <w:sz w:val="20"/>
          <w:szCs w:val="20"/>
        </w:rPr>
        <w:t xml:space="preserve">Nota del congreso (sesión 5): la directora del INS presentó transiciones epidemiológicas activas (dengue, fiebre amarilla, infecciones asociadas a la atención en salud) — considere si alguna aplica como base de demanda proyectada para su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Frecuencia de uso esperada por afiliado o por procedimiento: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epidemiológica o demanda proyectada: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Estacionalidad o variabilidad esperada: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Fuente de los datos históricos utilizados: [completar]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5. Modelo de pago propuesto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Explicite y justifique el mecanismo de pago propuesto — no dé por sentado que el modelo histórico es el más adecuado.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Modalidad (capitación, pago por evento, paquete/grupo relacionado, pago por resultado):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Justificación técnica de la modalidad elegida: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Mecanismo de ajuste por inflación o IPC: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Periodicidad de revisión tarifaria: [completar]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6. Riesgo compartido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Documente cómo se distribuye el riesgo financiero entre asegurador y prestador.</w:t>
      </w:r>
    </w:p>
    <w:tbl>
      <w:tblPr>
        <w:tblW w:type="dxa" w:w="10200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2600"/>
        <w:gridCol w:w="4200"/>
        <w:gridCol w:w="3400"/>
      </w:tblGrid>
      <w:tr>
        <w:trPr>
          <w:tblHeader/>
        </w:trPr>
        <w:tc>
          <w:tcPr>
            <w:tcW w:type="dxa" w:w="26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Mecanismo</w:t>
            </w:r>
          </w:p>
        </w:tc>
        <w:tc>
          <w:tcPr>
            <w:tcW w:type="dxa" w:w="42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shd w:fill="E3F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5C66"/>
                <w:sz w:val="20"/>
                <w:szCs w:val="20"/>
              </w:rPr>
              <w:t xml:space="preserve">Umbral / parámetro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Corredor de riesgo (risk corridor)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Techo (stop-loss)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Piso de garantía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Responsabilidad por desviaciones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6202B"/>
                <w:sz w:val="21"/>
                <w:szCs w:val="21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7. Indicadores de calidad y resultado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Asocie el pago, cuando sea posible, a métricas de calidad y no solo a volumen.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Indicadores de calidad asociados al pago: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Metas de oportunidad de atención: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Indicadores de satisfacción del usuario: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Incentivos o penalidades ligadas al cumplimiento: [completar]</w:t>
      </w:r>
    </w:p>
    <w:p>
      <w:pPr>
        <w:pStyle w:val="Heading1"/>
        <w:spacing w:after="120" w:before="360"/>
      </w:pPr>
      <w:r>
        <w:rPr>
          <w:b/>
          <w:bCs/>
          <w:color w:val="0F5C66"/>
        </w:rPr>
        <w:t xml:space="preserve">8. Anexos y soportes</w:t>
      </w:r>
    </w:p>
    <w:p>
      <w:pPr>
        <w:spacing w:after="120"/>
      </w:pPr>
      <w:r>
        <w:rPr>
          <w:i/>
          <w:iCs/>
          <w:color w:val="57667A"/>
          <w:sz w:val="21"/>
          <w:szCs w:val="21"/>
        </w:rPr>
        <w:t xml:space="preserve">Toda nota técnica debe poder auditarse: adjunte la evidencia que sustenta cada supuesto.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Histórico de utilización o facturación (últimos 12–24 meses):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Benchmarks de mercado o de la red: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Memoria de cálculo / hoja de costeo detallada: [completar]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Soportes normativos citados: [completar]</w:t>
      </w:r>
    </w:p>
    <w:p>
      <w:pPr>
        <w:pBdr>
          <w:top w:val="single" w:color="D7DEE6" w:sz="6" w:space="8"/>
        </w:pBdr>
        <w:spacing w:before="360"/>
      </w:pPr>
      <w:r>
        <w:rPr>
          <w:i/>
          <w:iCs/>
          <w:color w:val="57667A"/>
          <w:sz w:val="18"/>
          <w:szCs w:val="18"/>
        </w:rPr>
        <w:t xml:space="preserve">Plantilla elaborada como recurso complementario al explorador interactivo del XXI Congreso Nacional de Salud 2026 — sección “Nota técnica”. No sustituye asesoría actuarial, jurídica o financiera especializada.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c7iehufl0aq0nrvbjubx" Type="http://schemas.openxmlformats.org/officeDocument/2006/relationships/hyperlink" Target="https://fadavilar.github.io/xxi-congreso-nacional-salud-2026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Nota Técnica de Proveedor de Salud a EPS</dc:title>
  <dc:creator>Fabian Dávila Ramírez</dc:creator>
  <dc:description>Plantilla descargable elaborada a partir de la síntesis del XXI Congreso Nacional de Salud 2026</dc:description>
  <cp:lastModifiedBy>Un-named</cp:lastModifiedBy>
  <cp:revision>1</cp:revision>
  <dcterms:created xsi:type="dcterms:W3CDTF">2026-09-15T19:15:20.494Z</dcterms:created>
  <dcterms:modified xsi:type="dcterms:W3CDTF">2026-09-15T19:15:20.497Z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