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eastAsia"/>
          <w:b/>
          <w:bCs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《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Analysis of microRNA-target interactions across diverse </w:t>
      </w:r>
      <w:r>
        <w:rPr>
          <w:rFonts w:hint="default"/>
          <w:b/>
          <w:bCs/>
          <w:sz w:val="24"/>
          <w:szCs w:val="32"/>
          <w:lang w:val="en-US" w:eastAsia="zh-CN"/>
        </w:rPr>
        <w:t>cancer types</w:t>
      </w:r>
      <w:r>
        <w:rPr>
          <w:rFonts w:hint="eastAsia"/>
          <w:b/>
          <w:bCs/>
          <w:sz w:val="24"/>
          <w:szCs w:val="32"/>
          <w:lang w:eastAsia="zh-CN"/>
        </w:rPr>
        <w:t>》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miRNA 是一类通过与目标mRNA结合来调控基因表达的非编码单链RNA分子，肿瘤的产生和发展可能与miRNA的失调有关。虽然可以根据序列的互补性来判断miRNA所作用的mRNA，但细胞类型，条件，和其与辅因子的结合等因素，都会影响实际的作用关系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为了从肿瘤样本的失调miRNA表达谱中获取（与肿瘤的产生与发展）相关的靶基因和通路，一般采用实验性地扰动细胞系或小鼠中的miRNA的表达的方法，但这种方法忽略了病人产生肿瘤的复杂环境。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因为miRNA会不稳定化或降解目标mRNA，两者的表达理论上呈负相关。可以利用TCGA（The Cancer Genome Atlas ）提供的不同肿瘤中mRNA和miRNA的表达信息，来获得miRNA到mRNA的作用关系的预测。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对分别的癌症类型，这样的分析已颇有成效。而本文旨在利用在不同癌症类型中共有的mRNA与miRNA的联系，找出可能的在不同组织和器官中影响肿瘤发生的共有的miRNA调控过程。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</w:rPr>
      </w:pPr>
      <w:r>
        <w:rPr>
          <w:rFonts w:hint="eastAsia"/>
          <w:b/>
          <w:bCs/>
        </w:rPr>
        <w:t>数据来源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所有的miRNA和mRNA表达数据来自TCGA 数据库，本文使用了9种上皮癌和1种多形性胶质母细胞瘤的数据，每种包括94到671个肿瘤样本，共计3290个样本。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DNA拷贝数数据(aCGH) 和DNA甲基化数据来自firehose。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</w:rPr>
      </w:pPr>
      <w:r>
        <w:rPr>
          <w:rFonts w:hint="eastAsia"/>
          <w:b/>
          <w:bCs/>
        </w:rPr>
        <w:t>分析方法</w:t>
      </w:r>
      <w:r>
        <w:rPr>
          <w:rFonts w:hint="eastAsia"/>
          <w:b/>
          <w:bCs/>
          <w:lang w:val="en-US" w:eastAsia="zh-CN"/>
        </w:rPr>
        <w:t>与主要结果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本文设计了一种叫做REC（association recurrence score）的指标，其利用不同类型癌症中的miRNA和mRNA的表达，来推断在各种类型癌症中可能存在的miRNA-target作用关系。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具体地（图1），对每个miRNA-mRNA对，可以建立一个如图的多元线性方程，先消除DNA拷贝数和mRNA附近的启动子甲基化的影响，从而获得miRNA表达向量的系数。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不同的癌症种类，分别计算这对miRNA-mRNA的相关性并进行排序（图2），综合这些相关性即可获得REC指标。可以看出，REC指标既能筛选出在少数种类癌症中有很高的负相关性的miRNA-mRNA对，也能筛选出在多数种类癌症中都有中等负相关性的miRNA-mRNA对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         </w:t>
      </w:r>
      <w:r>
        <w:drawing>
          <wp:inline distT="0" distB="0" distL="114300" distR="114300">
            <wp:extent cx="3627120" cy="25374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1680" w:firstLineChars="8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图1：获得一对miRNA与mRNA相关关系的线性模型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             </w:t>
      </w:r>
      <w:r>
        <w:drawing>
          <wp:inline distT="0" distB="0" distL="114300" distR="114300">
            <wp:extent cx="3436620" cy="22936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1680" w:firstLineChars="8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图2：获得一对miRNA与mRNA相关关系的线性模型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验证REC指标的有效性，本文对同时在至少5种（共10种）癌症中表达的miRNA-mRNA对计算REC得分（图4），发现有最高负分的10对中有8对被miRanda和TargetScan这种基于序列的方法同时预测为会发生结合或保守结合，其中两对在之前的研究中被发现在癌症环境下的确存在作用关系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从图3可以看出，对所有的癌症类型，观测到的或者预计会发生作用的miRNA-mRNA对都聚集在两者有较高负相关的区间，也就是说对所有10种癌症类型，miRNA与mRNA的负相关越高，越有可能该对miRNA-mRNA存在作用关系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综上说明一对miRNA-mRNA的REC得分越低，它们就越有可能在所有癌症中存在作用关系，REC指标具有一定的合理性。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               </w:t>
      </w:r>
      <w:r>
        <w:drawing>
          <wp:inline distT="0" distB="0" distL="114300" distR="114300">
            <wp:extent cx="3009900" cy="24079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图3：横轴为miRNA-mRNA对的相关性，纵轴为观察到或预计两者会发生作用的对的数量</w:t>
      </w:r>
    </w:p>
    <w:p>
      <w:pPr>
        <w:keepNext w:val="0"/>
        <w:keepLines w:val="0"/>
        <w:widowControl/>
        <w:suppressLineNumbers w:val="0"/>
        <w:ind w:firstLine="1680" w:firstLineChars="800"/>
        <w:jc w:val="left"/>
      </w:pPr>
      <w:r>
        <w:drawing>
          <wp:inline distT="0" distB="0" distL="114300" distR="114300">
            <wp:extent cx="3413760" cy="179070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1050" w:firstLineChars="5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图4：REC得分最低的组合对应的其他target预测方法的结果（Target site）</w:t>
      </w:r>
    </w:p>
    <w:p>
      <w:pPr>
        <w:keepNext w:val="0"/>
        <w:keepLines w:val="0"/>
        <w:widowControl/>
        <w:suppressLineNumbers w:val="0"/>
        <w:ind w:firstLine="1050" w:firstLineChars="50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为了验证REC指标能否真的找出在不同癌症类型中共有的miRNA调控关系。实验选用有很多较低REC得分的miRNA，在不同癌细胞系里对这些miRNA进行抑制或者过表达扰动。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发现（图5）在不同的癌细胞系这些miRNA扰动都会对mRNA产生明显影响，说明在不同癌症类型中共有的miRNA调控关系存在并能被找出，而且泛癌中miRNA与mRNA的相关性的确蕴含了miRNA的调控关系。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bookmarkStart w:id="0" w:name="_GoBack"/>
      <w:bookmarkEnd w:id="0"/>
      <w:r>
        <w:drawing>
          <wp:inline distT="0" distB="0" distL="114300" distR="114300">
            <wp:extent cx="5268595" cy="3112135"/>
            <wp:effectExtent l="0" t="0" r="444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620" w:firstLineChars="2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有较高负REC得分的miRNA-mRNA对，结合之前提到的TargetScan等三种基于序列的方法共同进行筛选（图6），获得143组高可信的miRNA-mRNA对。这些miRNA-mRNA对里，有61对是有实验验证的，甚至有23对被验证为与癌症调控有关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由143对miRNA-mRNA，40种miRNA和72种mRNA组成的泛癌网络如图7。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因为根据以上方法获得的泛癌网络中，有很高的比例被证实与癌症调控相关，因此剩下被筛选出来的部分可以为miRNA调控癌症的研究提供可能的方向。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                   </w:t>
      </w:r>
      <w:r>
        <w:drawing>
          <wp:inline distT="0" distB="0" distL="114300" distR="114300">
            <wp:extent cx="3032760" cy="23774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42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图6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960" cy="3809365"/>
            <wp:effectExtent l="0" t="0" r="508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80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图7：线条越粗说明REC得分越低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外，为了验证是否有一部分miRNA是由体细胞遗传和表观遗传修饰调控的。本实验（图8）比较了泛癌网络中的miRNA和其它miRNA。发现在不同的癌症类型中，泛癌网络中的miRNA更容易受到DNA拷贝数变化以及启动子DNA甲基化的调控。又因为DNA拷贝数变化以及启动子DNA甲基化与肿瘤的发生过程密切相关，这从某种程度上说明了泛癌网络中的miRNA-mRNA作用关系很可能对不同癌症的肿瘤发生起到一定作用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                   </w:t>
      </w:r>
      <w:r>
        <w:drawing>
          <wp:inline distT="0" distB="0" distL="114300" distR="114300">
            <wp:extent cx="3215640" cy="230886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378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图8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最后，利用得到的泛癌网络进行验证性的研究。包括miR-106 miRNA家族对TGF-β信号通路的调控，miR-29调节激活DNA脱甲基通路，miR-29b和NREP组成双负反馈环等。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b/>
          <w:bCs/>
        </w:rPr>
      </w:pPr>
      <w:r>
        <w:rPr>
          <w:rFonts w:hint="eastAsia"/>
          <w:b/>
          <w:bCs/>
        </w:rPr>
        <w:t>总结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研究提出病人肿瘤中miRNA与mRNA的相关性可以用于推测存在于多种癌症类型中的miRNA-mRNA作用关系对。并通过比较已有实验和在不同癌细胞系中使用找出的miRNA进行扰动证明了所找出的miRNA-mRNA作用关系对的合理性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统计方法结合基于序列的miRNA靶位点预测方法，对超过3000组肿瘤样本进行处理，获得了包含143对miRNA-mRNA，40种miRNA，72种mRNA的泛癌网络，其中许多的miRNA和miRNA-mRNA作用关系已在癌症领域被广泛研究。而且所得网络中的miRNA更可能被DNA拷贝数变化以及启动子DNA甲基化扰动，与这些作用关系可能与癌症发生有关的假设相符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使用基于10种癌症获得的泛癌网络，做了一些验证实验。但更重要的是，本文提供的构建泛癌网络的方法，能够找出较可能发生的miRNA对mRNA的调控组合，为未来其它对miRNA与癌症产生和发展的关系的研究提供了可能的方向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[1] Jacobsen A ,  Silber J ,  Harinath G , et al. Analysis of microRNA-target interactions across diverse cancer types[J]. Nature Structural &amp; Molecular Biology, 2013, 20(11):1325-U131.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910C75"/>
    <w:multiLevelType w:val="singleLevel"/>
    <w:tmpl w:val="AF910C7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74645"/>
    <w:rsid w:val="01D106A7"/>
    <w:rsid w:val="04990CAF"/>
    <w:rsid w:val="05215B24"/>
    <w:rsid w:val="05E57875"/>
    <w:rsid w:val="05F311D7"/>
    <w:rsid w:val="064A29E5"/>
    <w:rsid w:val="06CC176F"/>
    <w:rsid w:val="071B12D1"/>
    <w:rsid w:val="074C767B"/>
    <w:rsid w:val="08136D99"/>
    <w:rsid w:val="082655F2"/>
    <w:rsid w:val="084E3AC6"/>
    <w:rsid w:val="0892481A"/>
    <w:rsid w:val="0B4E13B6"/>
    <w:rsid w:val="0C846CA3"/>
    <w:rsid w:val="0DCB7779"/>
    <w:rsid w:val="0F590195"/>
    <w:rsid w:val="122514F7"/>
    <w:rsid w:val="1261791E"/>
    <w:rsid w:val="12A50BB8"/>
    <w:rsid w:val="13586ED3"/>
    <w:rsid w:val="14450882"/>
    <w:rsid w:val="15333021"/>
    <w:rsid w:val="15921E52"/>
    <w:rsid w:val="16AE3101"/>
    <w:rsid w:val="17280434"/>
    <w:rsid w:val="17834378"/>
    <w:rsid w:val="17AC5AB2"/>
    <w:rsid w:val="18A06C24"/>
    <w:rsid w:val="18A24043"/>
    <w:rsid w:val="19CE515C"/>
    <w:rsid w:val="1A6A5882"/>
    <w:rsid w:val="1AC45301"/>
    <w:rsid w:val="1AF60F0F"/>
    <w:rsid w:val="1B0B78C0"/>
    <w:rsid w:val="1BF653FF"/>
    <w:rsid w:val="1C9D6C23"/>
    <w:rsid w:val="1CD1764F"/>
    <w:rsid w:val="1D3C710A"/>
    <w:rsid w:val="1D593832"/>
    <w:rsid w:val="1FC53322"/>
    <w:rsid w:val="212F6BDF"/>
    <w:rsid w:val="21310392"/>
    <w:rsid w:val="21BB7362"/>
    <w:rsid w:val="21D80821"/>
    <w:rsid w:val="222939BA"/>
    <w:rsid w:val="230F0E03"/>
    <w:rsid w:val="234D050F"/>
    <w:rsid w:val="23702433"/>
    <w:rsid w:val="23C42FA8"/>
    <w:rsid w:val="23E53B90"/>
    <w:rsid w:val="23EA56E9"/>
    <w:rsid w:val="2479391F"/>
    <w:rsid w:val="24814ABE"/>
    <w:rsid w:val="2498612E"/>
    <w:rsid w:val="2581669C"/>
    <w:rsid w:val="25B23E69"/>
    <w:rsid w:val="265F11A6"/>
    <w:rsid w:val="26DE0EBB"/>
    <w:rsid w:val="27784974"/>
    <w:rsid w:val="29D30165"/>
    <w:rsid w:val="29E34E07"/>
    <w:rsid w:val="2A0049CE"/>
    <w:rsid w:val="2AA60B04"/>
    <w:rsid w:val="2B010BB5"/>
    <w:rsid w:val="2B376595"/>
    <w:rsid w:val="2B480B6A"/>
    <w:rsid w:val="2CAE71B0"/>
    <w:rsid w:val="2DFC7AFC"/>
    <w:rsid w:val="2E206557"/>
    <w:rsid w:val="2E492C91"/>
    <w:rsid w:val="2EEE04F7"/>
    <w:rsid w:val="2F2975A7"/>
    <w:rsid w:val="2F393E07"/>
    <w:rsid w:val="2F881554"/>
    <w:rsid w:val="2F881D88"/>
    <w:rsid w:val="30010092"/>
    <w:rsid w:val="30B128F7"/>
    <w:rsid w:val="3114766E"/>
    <w:rsid w:val="325005C6"/>
    <w:rsid w:val="32603817"/>
    <w:rsid w:val="32956722"/>
    <w:rsid w:val="32AB27BE"/>
    <w:rsid w:val="32B0004A"/>
    <w:rsid w:val="336450B6"/>
    <w:rsid w:val="346B2351"/>
    <w:rsid w:val="35ED68AC"/>
    <w:rsid w:val="36D36B65"/>
    <w:rsid w:val="37075A2D"/>
    <w:rsid w:val="39231B9A"/>
    <w:rsid w:val="394D062E"/>
    <w:rsid w:val="3ACD47ED"/>
    <w:rsid w:val="3AFF60BF"/>
    <w:rsid w:val="3B246D7A"/>
    <w:rsid w:val="3C52417A"/>
    <w:rsid w:val="3C5A5C81"/>
    <w:rsid w:val="3C6A63E4"/>
    <w:rsid w:val="3CEE2E3A"/>
    <w:rsid w:val="3D607BB1"/>
    <w:rsid w:val="3D864503"/>
    <w:rsid w:val="3DC41F22"/>
    <w:rsid w:val="3DD7266C"/>
    <w:rsid w:val="3DF67BB2"/>
    <w:rsid w:val="3F44696D"/>
    <w:rsid w:val="3F7D223A"/>
    <w:rsid w:val="3F9E5685"/>
    <w:rsid w:val="3FE358AF"/>
    <w:rsid w:val="40AF4D4B"/>
    <w:rsid w:val="40C07D2A"/>
    <w:rsid w:val="4143679F"/>
    <w:rsid w:val="42CD25A0"/>
    <w:rsid w:val="446E6423"/>
    <w:rsid w:val="448F4C45"/>
    <w:rsid w:val="44D73603"/>
    <w:rsid w:val="454B0BB8"/>
    <w:rsid w:val="45BC0F0D"/>
    <w:rsid w:val="4668715B"/>
    <w:rsid w:val="46B65D0C"/>
    <w:rsid w:val="46FE5C8B"/>
    <w:rsid w:val="47021D3B"/>
    <w:rsid w:val="4776611B"/>
    <w:rsid w:val="477F691F"/>
    <w:rsid w:val="47B05558"/>
    <w:rsid w:val="4822722D"/>
    <w:rsid w:val="48277A40"/>
    <w:rsid w:val="4971154F"/>
    <w:rsid w:val="4A1A0CEE"/>
    <w:rsid w:val="4B624FCF"/>
    <w:rsid w:val="4C2F250E"/>
    <w:rsid w:val="4CB5312C"/>
    <w:rsid w:val="4E5B603F"/>
    <w:rsid w:val="4ECC0004"/>
    <w:rsid w:val="4F6224C6"/>
    <w:rsid w:val="4F9040E0"/>
    <w:rsid w:val="4FAD0EE9"/>
    <w:rsid w:val="4FC60E6B"/>
    <w:rsid w:val="4FE2557C"/>
    <w:rsid w:val="4FF0390F"/>
    <w:rsid w:val="50165AFF"/>
    <w:rsid w:val="50CE4019"/>
    <w:rsid w:val="518A08AF"/>
    <w:rsid w:val="52110157"/>
    <w:rsid w:val="52E97A67"/>
    <w:rsid w:val="538A0FEF"/>
    <w:rsid w:val="54A6637B"/>
    <w:rsid w:val="55174D8F"/>
    <w:rsid w:val="561C1DE4"/>
    <w:rsid w:val="56AC0302"/>
    <w:rsid w:val="56C42DF7"/>
    <w:rsid w:val="570E1D49"/>
    <w:rsid w:val="577F442B"/>
    <w:rsid w:val="57D51EC6"/>
    <w:rsid w:val="585F072F"/>
    <w:rsid w:val="5A670A5A"/>
    <w:rsid w:val="5AF5054E"/>
    <w:rsid w:val="5B656E72"/>
    <w:rsid w:val="5BEC56EC"/>
    <w:rsid w:val="5C495462"/>
    <w:rsid w:val="5C805253"/>
    <w:rsid w:val="5D0C5C44"/>
    <w:rsid w:val="5D6D337A"/>
    <w:rsid w:val="5EF10F13"/>
    <w:rsid w:val="5F1D0410"/>
    <w:rsid w:val="5F53105C"/>
    <w:rsid w:val="5F603ED7"/>
    <w:rsid w:val="5FB820D4"/>
    <w:rsid w:val="5FD14DD9"/>
    <w:rsid w:val="60871BBA"/>
    <w:rsid w:val="61260894"/>
    <w:rsid w:val="618D0739"/>
    <w:rsid w:val="61A203D2"/>
    <w:rsid w:val="62A45232"/>
    <w:rsid w:val="62FF35BF"/>
    <w:rsid w:val="637275F5"/>
    <w:rsid w:val="63E057FB"/>
    <w:rsid w:val="64B9256A"/>
    <w:rsid w:val="652F2F89"/>
    <w:rsid w:val="65B56C85"/>
    <w:rsid w:val="65CE4D04"/>
    <w:rsid w:val="65E501DE"/>
    <w:rsid w:val="66C73EC5"/>
    <w:rsid w:val="67750AD8"/>
    <w:rsid w:val="67BC34B7"/>
    <w:rsid w:val="68367DA5"/>
    <w:rsid w:val="693F5A67"/>
    <w:rsid w:val="6997320E"/>
    <w:rsid w:val="69BA740A"/>
    <w:rsid w:val="6A2314A9"/>
    <w:rsid w:val="6A793489"/>
    <w:rsid w:val="6B773CDA"/>
    <w:rsid w:val="6C1F5B5D"/>
    <w:rsid w:val="6C73316D"/>
    <w:rsid w:val="6CE174EF"/>
    <w:rsid w:val="6CF6693A"/>
    <w:rsid w:val="6E59126F"/>
    <w:rsid w:val="6EE8392F"/>
    <w:rsid w:val="6F20337F"/>
    <w:rsid w:val="6FD95516"/>
    <w:rsid w:val="703C1CE0"/>
    <w:rsid w:val="70694BDA"/>
    <w:rsid w:val="719A7E6C"/>
    <w:rsid w:val="727843AD"/>
    <w:rsid w:val="72973D93"/>
    <w:rsid w:val="73933BA9"/>
    <w:rsid w:val="73F33C8F"/>
    <w:rsid w:val="747D1AD3"/>
    <w:rsid w:val="74C605E4"/>
    <w:rsid w:val="75D92CCC"/>
    <w:rsid w:val="76751825"/>
    <w:rsid w:val="7732351B"/>
    <w:rsid w:val="77864EB1"/>
    <w:rsid w:val="77E003CA"/>
    <w:rsid w:val="787B05B0"/>
    <w:rsid w:val="78CB27BE"/>
    <w:rsid w:val="7B22542C"/>
    <w:rsid w:val="7B3E11D0"/>
    <w:rsid w:val="7B875D3C"/>
    <w:rsid w:val="7BCF198D"/>
    <w:rsid w:val="7C047237"/>
    <w:rsid w:val="7C3A6F44"/>
    <w:rsid w:val="7CC23181"/>
    <w:rsid w:val="7D0017BD"/>
    <w:rsid w:val="7DA53ECA"/>
    <w:rsid w:val="7EE07923"/>
    <w:rsid w:val="7EFB16C7"/>
    <w:rsid w:val="7F1120F4"/>
    <w:rsid w:val="7F67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Office_11.1.0.9998_F1E327BC-269C-435d-A152-05C5408002CA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2021-07-03T10:32:00Z</dcterms:created>
  <dc:creator>17126</dc:creator>
  <cp:lastModifiedBy>朱淼松</cp:lastModifiedBy>
  <dcterms:modified xsi:type="dcterms:W3CDTF">2021-07-08T01:11:12Z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2052-11.1.0.9998</vt:lpwstr>
  </property>
</Properties>
</file>