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E035" w14:textId="30E3F3F4" w:rsidR="00CB71F4" w:rsidRDefault="00B5021E">
      <w:pPr>
        <w:rPr>
          <w:lang w:val="fr-FR"/>
        </w:rPr>
      </w:pPr>
      <w:r>
        <w:rPr>
          <w:lang w:val="fr-FR"/>
        </w:rPr>
        <w:t xml:space="preserve">                        </w:t>
      </w:r>
    </w:p>
    <w:p w14:paraId="4B38587A" w14:textId="77777777" w:rsidR="00B5021E" w:rsidRDefault="00B5021E">
      <w:pPr>
        <w:rPr>
          <w:lang w:val="fr-FR"/>
        </w:rPr>
      </w:pPr>
    </w:p>
    <w:p w14:paraId="54FFA120" w14:textId="1B7994CD" w:rsidR="00B5021E" w:rsidRDefault="00B5021E">
      <w:pPr>
        <w:rPr>
          <w:lang w:val="fr-FR"/>
        </w:rPr>
      </w:pPr>
      <w:r>
        <w:rPr>
          <w:lang w:val="fr-FR"/>
        </w:rPr>
        <w:t xml:space="preserve">      </w:t>
      </w:r>
      <w:r w:rsidR="00F85D73">
        <w:rPr>
          <w:lang w:val="fr-FR"/>
        </w:rPr>
        <w:t>PREAMBUL</w:t>
      </w:r>
      <w:r w:rsidR="00D85DD1">
        <w:rPr>
          <w:lang w:val="fr-FR"/>
        </w:rPr>
        <w:t>E</w:t>
      </w:r>
    </w:p>
    <w:p w14:paraId="71B3A9E2" w14:textId="64A17A0B" w:rsidR="00F85D73" w:rsidRDefault="00F85D73">
      <w:pPr>
        <w:rPr>
          <w:lang w:val="fr-FR"/>
        </w:rPr>
      </w:pPr>
      <w:r>
        <w:rPr>
          <w:lang w:val="fr-FR"/>
        </w:rPr>
        <w:t xml:space="preserve">Dans le </w:t>
      </w:r>
      <w:r w:rsidR="00AB3603">
        <w:rPr>
          <w:lang w:val="fr-FR"/>
        </w:rPr>
        <w:t>préambule</w:t>
      </w:r>
      <w:r>
        <w:rPr>
          <w:lang w:val="fr-FR"/>
        </w:rPr>
        <w:t xml:space="preserve">, il est explicitement </w:t>
      </w:r>
      <w:r w:rsidR="00AB3603">
        <w:rPr>
          <w:lang w:val="fr-FR"/>
        </w:rPr>
        <w:t>énoncé</w:t>
      </w:r>
      <w:r>
        <w:rPr>
          <w:lang w:val="fr-FR"/>
        </w:rPr>
        <w:t xml:space="preserve"> l’objectif et l’objet du contrat. Par contre il est </w:t>
      </w:r>
      <w:r w:rsidR="00AB3603">
        <w:rPr>
          <w:lang w:val="fr-FR"/>
        </w:rPr>
        <w:t>nécessaire</w:t>
      </w:r>
      <w:r>
        <w:rPr>
          <w:lang w:val="fr-FR"/>
        </w:rPr>
        <w:t xml:space="preserve"> de préciser</w:t>
      </w:r>
    </w:p>
    <w:p w14:paraId="7A1C5AB4" w14:textId="3FF0FCE6" w:rsidR="00655C2F" w:rsidRDefault="00F85D73" w:rsidP="00655C2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 contexte factuel du </w:t>
      </w:r>
      <w:r w:rsidR="00AB3603">
        <w:rPr>
          <w:lang w:val="fr-FR"/>
        </w:rPr>
        <w:t>partenariat (</w:t>
      </w:r>
      <w:r>
        <w:rPr>
          <w:lang w:val="fr-FR"/>
        </w:rPr>
        <w:t xml:space="preserve">les circonstances ou les conditions dans lesquelles les parties ont </w:t>
      </w:r>
      <w:r w:rsidR="00AB3603">
        <w:rPr>
          <w:lang w:val="fr-FR"/>
        </w:rPr>
        <w:t>décidées</w:t>
      </w:r>
      <w:r>
        <w:rPr>
          <w:lang w:val="fr-FR"/>
        </w:rPr>
        <w:t xml:space="preserve"> de conclure le partenariat</w:t>
      </w:r>
      <w:r w:rsidR="00655C2F">
        <w:rPr>
          <w:lang w:val="fr-FR"/>
        </w:rPr>
        <w:t xml:space="preserve">) Ex : </w:t>
      </w:r>
      <w:r w:rsidR="00AB3603">
        <w:rPr>
          <w:lang w:val="fr-FR"/>
        </w:rPr>
        <w:t>Nécessité</w:t>
      </w:r>
      <w:r w:rsidR="00655C2F">
        <w:rPr>
          <w:lang w:val="fr-FR"/>
        </w:rPr>
        <w:t xml:space="preserve"> du marché, limites rencontrées individuellement, opportunité du </w:t>
      </w:r>
      <w:r w:rsidR="00AB3603">
        <w:rPr>
          <w:lang w:val="fr-FR"/>
        </w:rPr>
        <w:t>marché</w:t>
      </w:r>
      <w:r w:rsidR="00655C2F">
        <w:rPr>
          <w:lang w:val="fr-FR"/>
        </w:rPr>
        <w:t xml:space="preserve">,…) Cela permet de montrer que le partenariat répond à un besoin réel et non effectué juste sur un coup de </w:t>
      </w:r>
      <w:r w:rsidR="00AB3603">
        <w:rPr>
          <w:lang w:val="fr-FR"/>
        </w:rPr>
        <w:t>tête</w:t>
      </w:r>
      <w:r w:rsidR="00655C2F">
        <w:rPr>
          <w:lang w:val="fr-FR"/>
        </w:rPr>
        <w:t xml:space="preserve"> et aide pour une bonne </w:t>
      </w:r>
      <w:r w:rsidR="00AB3603">
        <w:rPr>
          <w:lang w:val="fr-FR"/>
        </w:rPr>
        <w:t>interprétation</w:t>
      </w:r>
      <w:r w:rsidR="00655C2F">
        <w:rPr>
          <w:lang w:val="fr-FR"/>
        </w:rPr>
        <w:t xml:space="preserve"> du contrat en cas de litige.</w:t>
      </w:r>
    </w:p>
    <w:p w14:paraId="25D3ED91" w14:textId="24A05C0A" w:rsidR="00655C2F" w:rsidRDefault="00655C2F" w:rsidP="00655C2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Aussi &lt;&lt;…Le </w:t>
      </w:r>
      <w:r w:rsidR="00AB3603">
        <w:rPr>
          <w:lang w:val="fr-FR"/>
        </w:rPr>
        <w:t>présent</w:t>
      </w:r>
      <w:r>
        <w:rPr>
          <w:lang w:val="fr-FR"/>
        </w:rPr>
        <w:t xml:space="preserve"> contrat a pour objectif…et non objet car l’objet est </w:t>
      </w:r>
      <w:r w:rsidR="00AB3603">
        <w:rPr>
          <w:lang w:val="fr-FR"/>
        </w:rPr>
        <w:t>défini</w:t>
      </w:r>
      <w:r>
        <w:rPr>
          <w:lang w:val="fr-FR"/>
        </w:rPr>
        <w:t xml:space="preserve"> à l’article premier</w:t>
      </w:r>
    </w:p>
    <w:p w14:paraId="2CD8CDE3" w14:textId="1E049A8B" w:rsidR="00655C2F" w:rsidRDefault="00655C2F" w:rsidP="00655C2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La </w:t>
      </w:r>
      <w:r w:rsidR="00AB3603">
        <w:rPr>
          <w:lang w:val="fr-FR"/>
        </w:rPr>
        <w:t>définition</w:t>
      </w:r>
      <w:r>
        <w:rPr>
          <w:lang w:val="fr-FR"/>
        </w:rPr>
        <w:t xml:space="preserve"> des termes</w:t>
      </w:r>
      <w:r w:rsidR="001B040F">
        <w:rPr>
          <w:lang w:val="fr-FR"/>
        </w:rPr>
        <w:t xml:space="preserve"> qui </w:t>
      </w:r>
      <w:r w:rsidR="00AB3603">
        <w:rPr>
          <w:lang w:val="fr-FR"/>
        </w:rPr>
        <w:t>pourrait</w:t>
      </w:r>
      <w:r w:rsidR="001B040F">
        <w:rPr>
          <w:lang w:val="fr-FR"/>
        </w:rPr>
        <w:t xml:space="preserve"> </w:t>
      </w:r>
      <w:r w:rsidR="00AB3603">
        <w:rPr>
          <w:lang w:val="fr-FR"/>
        </w:rPr>
        <w:t>prêter</w:t>
      </w:r>
      <w:r w:rsidR="001B040F">
        <w:rPr>
          <w:lang w:val="fr-FR"/>
        </w:rPr>
        <w:t xml:space="preserve"> à confusion</w:t>
      </w:r>
    </w:p>
    <w:p w14:paraId="53EFAADA" w14:textId="77777777" w:rsidR="001B040F" w:rsidRDefault="001B040F" w:rsidP="001B040F">
      <w:pPr>
        <w:pStyle w:val="ListParagraph"/>
        <w:rPr>
          <w:lang w:val="fr-FR"/>
        </w:rPr>
      </w:pPr>
    </w:p>
    <w:p w14:paraId="292A0DD7" w14:textId="57423AC2" w:rsidR="001B040F" w:rsidRPr="00655C2F" w:rsidRDefault="001B040F" w:rsidP="001B040F">
      <w:pPr>
        <w:pStyle w:val="ListParagraph"/>
        <w:rPr>
          <w:lang w:val="fr-FR"/>
        </w:rPr>
      </w:pPr>
      <w:r>
        <w:rPr>
          <w:lang w:val="fr-FR"/>
        </w:rPr>
        <w:t>Article 1 : OBJET</w:t>
      </w:r>
    </w:p>
    <w:p w14:paraId="65A5341D" w14:textId="6436255B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Objet général (services informatiques, web &amp; mobile). OK en l’esprit, mais trop large : il faut préciser l’activité (prestation de service, commercialisation, conditions d’intervention) et exclure/penser aux sous-traitances. </w:t>
      </w:r>
      <w:r w:rsidR="001B040F">
        <w:rPr>
          <w:rFonts w:ascii="Calibri"/>
          <w:lang w:val="fr-FR"/>
        </w:rPr>
        <w:t xml:space="preserve">Une </w:t>
      </w:r>
      <w:r w:rsidR="00AB3603">
        <w:rPr>
          <w:rFonts w:ascii="Calibri"/>
          <w:lang w:val="fr-FR"/>
        </w:rPr>
        <w:t>définition</w:t>
      </w:r>
      <w:r w:rsidR="001B040F">
        <w:rPr>
          <w:rFonts w:ascii="Calibri"/>
          <w:lang w:val="fr-FR"/>
        </w:rPr>
        <w:t xml:space="preserve"> des termes plus haut aurait donc pu éviter tout cela. La </w:t>
      </w:r>
      <w:r w:rsidR="00AB3603">
        <w:rPr>
          <w:rFonts w:ascii="Calibri"/>
          <w:lang w:val="fr-FR"/>
        </w:rPr>
        <w:t>compréhension</w:t>
      </w:r>
      <w:r w:rsidR="001B040F">
        <w:rPr>
          <w:rFonts w:ascii="Calibri"/>
          <w:lang w:val="fr-FR"/>
        </w:rPr>
        <w:t xml:space="preserve"> de ces termes doit </w:t>
      </w:r>
      <w:r w:rsidR="00AB3603">
        <w:rPr>
          <w:rFonts w:ascii="Calibri"/>
          <w:lang w:val="fr-FR"/>
        </w:rPr>
        <w:t>être</w:t>
      </w:r>
      <w:r w:rsidR="001B040F">
        <w:rPr>
          <w:rFonts w:ascii="Calibri"/>
          <w:lang w:val="fr-FR"/>
        </w:rPr>
        <w:t xml:space="preserve"> la </w:t>
      </w:r>
      <w:r w:rsidR="00AB3603">
        <w:rPr>
          <w:rFonts w:ascii="Calibri"/>
          <w:lang w:val="fr-FR"/>
        </w:rPr>
        <w:t>même</w:t>
      </w:r>
      <w:r w:rsidR="001B040F">
        <w:rPr>
          <w:rFonts w:ascii="Calibri"/>
          <w:lang w:val="fr-FR"/>
        </w:rPr>
        <w:t xml:space="preserve"> pour chaque partenaire.</w:t>
      </w:r>
    </w:p>
    <w:p w14:paraId="4D5A6F6E" w14:textId="77777777" w:rsidR="00CB71F4" w:rsidRPr="00D6120B" w:rsidRDefault="00CB71F4">
      <w:pPr>
        <w:rPr>
          <w:lang w:val="fr-FR"/>
        </w:rPr>
      </w:pPr>
    </w:p>
    <w:p w14:paraId="2171AA4D" w14:textId="0FE85855" w:rsidR="00CB71F4" w:rsidRPr="00D6120B" w:rsidRDefault="001B040F">
      <w:pPr>
        <w:rPr>
          <w:lang w:val="fr-FR"/>
        </w:rPr>
      </w:pPr>
      <w:r>
        <w:rPr>
          <w:rFonts w:ascii="Calibri"/>
          <w:lang w:val="fr-FR"/>
        </w:rPr>
        <w:t xml:space="preserve">              </w:t>
      </w:r>
      <w:r w:rsidRPr="00D6120B">
        <w:rPr>
          <w:rFonts w:ascii="Calibri"/>
          <w:lang w:val="fr-FR"/>
        </w:rPr>
        <w:t>Article 2 — D</w:t>
      </w:r>
      <w:r>
        <w:rPr>
          <w:rFonts w:ascii="Calibri"/>
          <w:lang w:val="fr-FR"/>
        </w:rPr>
        <w:t>UREE DU PARTENARIAT</w:t>
      </w:r>
    </w:p>
    <w:p w14:paraId="1124B4A6" w14:textId="112958F2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>Durée d’un an à compter de la signature ; renouvellement possible par accord écrit.</w:t>
      </w:r>
      <w:r w:rsidR="00816F88">
        <w:rPr>
          <w:rFonts w:ascii="Calibri"/>
          <w:lang w:val="fr-FR"/>
        </w:rPr>
        <w:t xml:space="preserve"> Bien </w:t>
      </w:r>
      <w:r w:rsidRPr="00D6120B">
        <w:rPr>
          <w:rFonts w:ascii="Calibri"/>
          <w:lang w:val="fr-FR"/>
        </w:rPr>
        <w:t xml:space="preserve"> </w:t>
      </w:r>
    </w:p>
    <w:p w14:paraId="4832F3A9" w14:textId="70DE6FC8" w:rsidR="00CB71F4" w:rsidRPr="00D6120B" w:rsidRDefault="00816F88">
      <w:pPr>
        <w:rPr>
          <w:lang w:val="fr-FR"/>
        </w:rPr>
      </w:pPr>
      <w:r>
        <w:rPr>
          <w:rFonts w:ascii="Calibri"/>
          <w:lang w:val="fr-FR"/>
        </w:rPr>
        <w:t xml:space="preserve">Cependant, il n’y a </w:t>
      </w:r>
      <w:r w:rsidRPr="00D6120B">
        <w:rPr>
          <w:rFonts w:ascii="Calibri"/>
          <w:lang w:val="fr-FR"/>
        </w:rPr>
        <w:t>pas de date de prise d’effet concrète</w:t>
      </w:r>
      <w:r>
        <w:rPr>
          <w:rFonts w:ascii="Calibri"/>
          <w:lang w:val="fr-FR"/>
        </w:rPr>
        <w:t xml:space="preserve"> </w:t>
      </w:r>
      <w:r w:rsidR="00AB3603">
        <w:rPr>
          <w:rFonts w:ascii="Calibri"/>
          <w:lang w:val="fr-FR"/>
        </w:rPr>
        <w:t>(est</w:t>
      </w:r>
      <w:r>
        <w:rPr>
          <w:rFonts w:ascii="Calibri"/>
          <w:lang w:val="fr-FR"/>
        </w:rPr>
        <w:t xml:space="preserve">-ce </w:t>
      </w:r>
      <w:r w:rsidR="00AB3603">
        <w:rPr>
          <w:rFonts w:ascii="Calibri"/>
          <w:lang w:val="fr-FR"/>
        </w:rPr>
        <w:t>après</w:t>
      </w:r>
      <w:r>
        <w:rPr>
          <w:rFonts w:ascii="Calibri"/>
          <w:lang w:val="fr-FR"/>
        </w:rPr>
        <w:t xml:space="preserve"> signature ? Au </w:t>
      </w:r>
      <w:r w:rsidR="00AB3603">
        <w:rPr>
          <w:rFonts w:ascii="Calibri"/>
          <w:lang w:val="fr-FR"/>
        </w:rPr>
        <w:t>démarrage</w:t>
      </w:r>
      <w:r>
        <w:rPr>
          <w:rFonts w:ascii="Calibri"/>
          <w:lang w:val="fr-FR"/>
        </w:rPr>
        <w:t xml:space="preserve"> des travaux ?)</w:t>
      </w:r>
      <w:r w:rsidRPr="00D6120B">
        <w:rPr>
          <w:rFonts w:ascii="Calibri"/>
          <w:lang w:val="fr-FR"/>
        </w:rPr>
        <w:t>,</w:t>
      </w:r>
      <w:r>
        <w:rPr>
          <w:rFonts w:ascii="Calibri"/>
          <w:lang w:val="fr-FR"/>
        </w:rPr>
        <w:t xml:space="preserve"> il n’y a</w:t>
      </w:r>
      <w:r w:rsidRPr="00D6120B">
        <w:rPr>
          <w:rFonts w:ascii="Calibri"/>
          <w:lang w:val="fr-FR"/>
        </w:rPr>
        <w:t xml:space="preserve"> pas de mécanisme de tacite reconduction</w:t>
      </w:r>
      <w:r w:rsidR="00AB3603">
        <w:rPr>
          <w:rFonts w:ascii="Calibri"/>
          <w:lang w:val="fr-FR"/>
        </w:rPr>
        <w:t xml:space="preserve"> </w:t>
      </w:r>
      <w:r>
        <w:rPr>
          <w:rFonts w:ascii="Calibri"/>
          <w:lang w:val="fr-FR"/>
        </w:rPr>
        <w:t xml:space="preserve">(que se passera-il lorsque seulement un des partenaires </w:t>
      </w:r>
      <w:r w:rsidR="00AB3603">
        <w:rPr>
          <w:rFonts w:ascii="Calibri"/>
          <w:lang w:val="fr-FR"/>
        </w:rPr>
        <w:t>décide</w:t>
      </w:r>
      <w:r>
        <w:rPr>
          <w:rFonts w:ascii="Calibri"/>
          <w:lang w:val="fr-FR"/>
        </w:rPr>
        <w:t xml:space="preserve"> de partir)</w:t>
      </w:r>
      <w:r w:rsidRPr="00D6120B">
        <w:rPr>
          <w:rFonts w:ascii="Calibri"/>
          <w:lang w:val="fr-FR"/>
        </w:rPr>
        <w:t xml:space="preserve">, pas d’exigence de </w:t>
      </w:r>
      <w:r w:rsidR="00AB3603" w:rsidRPr="00D6120B">
        <w:rPr>
          <w:rFonts w:ascii="Calibri"/>
          <w:lang w:val="fr-FR"/>
        </w:rPr>
        <w:t>préavis.</w:t>
      </w:r>
    </w:p>
    <w:p w14:paraId="63095F55" w14:textId="77777777" w:rsidR="00816F88" w:rsidRDefault="00000000">
      <w:pPr>
        <w:rPr>
          <w:rFonts w:ascii="Calibri"/>
          <w:lang w:val="fr-FR"/>
        </w:rPr>
      </w:pPr>
      <w:r w:rsidRPr="00D6120B">
        <w:rPr>
          <w:rFonts w:ascii="Calibri"/>
          <w:lang w:val="fr-FR"/>
        </w:rPr>
        <w:t xml:space="preserve">Proposition : fixer date d’effet précise, prévoir </w:t>
      </w:r>
      <w:r w:rsidR="00816F88">
        <w:rPr>
          <w:rFonts w:ascii="Calibri"/>
          <w:lang w:val="fr-FR"/>
        </w:rPr>
        <w:t xml:space="preserve">un </w:t>
      </w:r>
      <w:r w:rsidRPr="00D6120B">
        <w:rPr>
          <w:rFonts w:ascii="Calibri"/>
          <w:lang w:val="fr-FR"/>
        </w:rPr>
        <w:t>préavis de non-renouvellement (ex. 60 jours)</w:t>
      </w:r>
    </w:p>
    <w:p w14:paraId="4C37120A" w14:textId="3FC5742D" w:rsidR="00CB71F4" w:rsidRPr="00D6120B" w:rsidRDefault="00816F88">
      <w:pPr>
        <w:rPr>
          <w:lang w:val="fr-FR"/>
        </w:rPr>
      </w:pPr>
      <w:r>
        <w:rPr>
          <w:rFonts w:ascii="Calibri"/>
          <w:lang w:val="fr-FR"/>
        </w:rPr>
        <w:t xml:space="preserve">             </w:t>
      </w:r>
      <w:r w:rsidRPr="00D6120B">
        <w:rPr>
          <w:rFonts w:ascii="Calibri"/>
          <w:lang w:val="fr-FR"/>
        </w:rPr>
        <w:t>Article 3 — Apports</w:t>
      </w:r>
      <w:r>
        <w:rPr>
          <w:rFonts w:ascii="Calibri"/>
          <w:lang w:val="fr-FR"/>
        </w:rPr>
        <w:t xml:space="preserve"> des partenaires</w:t>
      </w:r>
    </w:p>
    <w:p w14:paraId="017F2330" w14:textId="080E5001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Énoncé sommaire des apports immatériels (coordination, compétences). </w:t>
      </w:r>
      <w:r w:rsidR="00816F88">
        <w:rPr>
          <w:rFonts w:ascii="Calibri"/>
          <w:lang w:val="fr-FR"/>
        </w:rPr>
        <w:t>Très bien</w:t>
      </w:r>
    </w:p>
    <w:p w14:paraId="0575A49C" w14:textId="34392E3A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>P</w:t>
      </w:r>
      <w:r w:rsidR="00816F88">
        <w:rPr>
          <w:rFonts w:ascii="Calibri"/>
          <w:lang w:val="fr-FR"/>
        </w:rPr>
        <w:t xml:space="preserve">ar contre, </w:t>
      </w:r>
      <w:r w:rsidRPr="00D6120B">
        <w:rPr>
          <w:rFonts w:ascii="Calibri"/>
          <w:lang w:val="fr-FR"/>
        </w:rPr>
        <w:t>absence d’apports en nature/numéraire, pas d’évaluation chiffrée des apports, pas de calendrier des obligations.</w:t>
      </w:r>
    </w:p>
    <w:p w14:paraId="0D38A2AF" w14:textId="6FD07E50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Conséquence : difficulté d’évaluer </w:t>
      </w:r>
      <w:r w:rsidR="00816F88">
        <w:rPr>
          <w:rFonts w:ascii="Calibri"/>
          <w:lang w:val="fr-FR"/>
        </w:rPr>
        <w:t xml:space="preserve">les </w:t>
      </w:r>
      <w:r w:rsidRPr="00D6120B">
        <w:rPr>
          <w:rFonts w:ascii="Calibri"/>
          <w:lang w:val="fr-FR"/>
        </w:rPr>
        <w:t>parts en cas de sortie ou de litige.</w:t>
      </w:r>
      <w:r w:rsidR="00816F88">
        <w:rPr>
          <w:rFonts w:ascii="Calibri"/>
          <w:lang w:val="fr-FR"/>
        </w:rPr>
        <w:t xml:space="preserve"> Possibilité </w:t>
      </w:r>
      <w:r w:rsidR="005B364E">
        <w:rPr>
          <w:rFonts w:ascii="Calibri"/>
          <w:lang w:val="fr-FR"/>
        </w:rPr>
        <w:t xml:space="preserve">pour un des partenaires </w:t>
      </w:r>
      <w:r w:rsidR="00816F88">
        <w:rPr>
          <w:rFonts w:ascii="Calibri"/>
          <w:lang w:val="fr-FR"/>
        </w:rPr>
        <w:t xml:space="preserve">de </w:t>
      </w:r>
      <w:r w:rsidR="005B364E">
        <w:rPr>
          <w:rFonts w:ascii="Calibri"/>
          <w:lang w:val="fr-FR"/>
        </w:rPr>
        <w:t>tergiverser</w:t>
      </w:r>
      <w:r w:rsidR="00816F88">
        <w:rPr>
          <w:rFonts w:ascii="Calibri"/>
          <w:lang w:val="fr-FR"/>
        </w:rPr>
        <w:t xml:space="preserve"> sur le respect de</w:t>
      </w:r>
      <w:r w:rsidR="005B364E">
        <w:rPr>
          <w:rFonts w:ascii="Calibri"/>
          <w:lang w:val="fr-FR"/>
        </w:rPr>
        <w:t xml:space="preserve"> ses</w:t>
      </w:r>
      <w:r w:rsidR="00816F88">
        <w:rPr>
          <w:rFonts w:ascii="Calibri"/>
          <w:lang w:val="fr-FR"/>
        </w:rPr>
        <w:t xml:space="preserve"> obligations</w:t>
      </w:r>
      <w:r w:rsidR="005B364E">
        <w:rPr>
          <w:rFonts w:ascii="Calibri"/>
          <w:lang w:val="fr-FR"/>
        </w:rPr>
        <w:t>.</w:t>
      </w:r>
    </w:p>
    <w:p w14:paraId="4A4BDE8B" w14:textId="151E27F4" w:rsidR="00CB71F4" w:rsidRPr="00D6120B" w:rsidRDefault="005B364E">
      <w:pPr>
        <w:rPr>
          <w:lang w:val="fr-FR"/>
        </w:rPr>
      </w:pPr>
      <w:r>
        <w:rPr>
          <w:lang w:val="fr-FR"/>
        </w:rPr>
        <w:t xml:space="preserve">             </w:t>
      </w:r>
      <w:r w:rsidRPr="00D6120B">
        <w:rPr>
          <w:rFonts w:ascii="Calibri"/>
          <w:lang w:val="fr-FR"/>
        </w:rPr>
        <w:t>Article 4 — Gestion et prise de décision</w:t>
      </w:r>
    </w:p>
    <w:p w14:paraId="5BA56245" w14:textId="1D45A6E6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>« Majorité » non définie (majorité simple ? absolue ? sur quel</w:t>
      </w:r>
      <w:r w:rsidR="005B364E">
        <w:rPr>
          <w:rFonts w:ascii="Calibri"/>
          <w:lang w:val="fr-FR"/>
        </w:rPr>
        <w:t xml:space="preserve"> nombre de</w:t>
      </w:r>
      <w:r w:rsidRPr="00D6120B">
        <w:rPr>
          <w:rFonts w:ascii="Calibri"/>
          <w:lang w:val="fr-FR"/>
        </w:rPr>
        <w:t xml:space="preserve"> voix ?).</w:t>
      </w:r>
    </w:p>
    <w:p w14:paraId="72B7E0DB" w14:textId="77777777" w:rsidR="00CB71F4" w:rsidRPr="00D6120B" w:rsidRDefault="00CB71F4">
      <w:pPr>
        <w:rPr>
          <w:lang w:val="fr-FR"/>
        </w:rPr>
      </w:pPr>
    </w:p>
    <w:p w14:paraId="3F696255" w14:textId="70F11A2D" w:rsidR="005B364E" w:rsidRPr="005B364E" w:rsidRDefault="00000000">
      <w:pPr>
        <w:rPr>
          <w:rFonts w:ascii="Calibri"/>
          <w:lang w:val="fr-FR"/>
        </w:rPr>
      </w:pPr>
      <w:r w:rsidRPr="00D6120B">
        <w:rPr>
          <w:rFonts w:ascii="Calibri"/>
          <w:lang w:val="fr-FR"/>
        </w:rPr>
        <w:lastRenderedPageBreak/>
        <w:t>Pas de quorum minimal pour les réunions</w:t>
      </w:r>
      <w:r w:rsidR="005B364E">
        <w:rPr>
          <w:rFonts w:ascii="Calibri"/>
          <w:lang w:val="fr-FR"/>
        </w:rPr>
        <w:t xml:space="preserve"> et les </w:t>
      </w:r>
      <w:r w:rsidR="00AB3603">
        <w:rPr>
          <w:rFonts w:ascii="Calibri"/>
          <w:lang w:val="fr-FR"/>
        </w:rPr>
        <w:t>décisions</w:t>
      </w:r>
      <w:r w:rsidR="005B364E">
        <w:rPr>
          <w:rFonts w:ascii="Calibri"/>
          <w:lang w:val="fr-FR"/>
        </w:rPr>
        <w:t xml:space="preserve"> à prendre. Quel sera la procédure à suivre en cas d’égalité des votes ou de blocage.</w:t>
      </w:r>
    </w:p>
    <w:p w14:paraId="5BB8EBCF" w14:textId="590DF6A2" w:rsidR="00CB71F4" w:rsidRPr="00D6120B" w:rsidRDefault="005B364E">
      <w:pPr>
        <w:rPr>
          <w:lang w:val="fr-FR"/>
        </w:rPr>
      </w:pPr>
      <w:r>
        <w:rPr>
          <w:lang w:val="fr-FR"/>
        </w:rPr>
        <w:t>Il y a donc un r</w:t>
      </w:r>
      <w:r w:rsidRPr="00D6120B">
        <w:rPr>
          <w:rFonts w:ascii="Calibri"/>
          <w:lang w:val="fr-FR"/>
        </w:rPr>
        <w:t xml:space="preserve">isque </w:t>
      </w:r>
      <w:r>
        <w:rPr>
          <w:rFonts w:ascii="Calibri"/>
          <w:lang w:val="fr-FR"/>
        </w:rPr>
        <w:t xml:space="preserve">de </w:t>
      </w:r>
      <w:r w:rsidRPr="00D6120B">
        <w:rPr>
          <w:rFonts w:ascii="Calibri"/>
          <w:lang w:val="fr-FR"/>
        </w:rPr>
        <w:t>paralysie décisionnelle</w:t>
      </w:r>
      <w:r>
        <w:rPr>
          <w:rFonts w:ascii="Calibri"/>
          <w:lang w:val="fr-FR"/>
        </w:rPr>
        <w:t>.</w:t>
      </w:r>
    </w:p>
    <w:p w14:paraId="603B46CE" w14:textId="734DB111" w:rsidR="00CB71F4" w:rsidRPr="00D6120B" w:rsidRDefault="005B364E">
      <w:pPr>
        <w:rPr>
          <w:lang w:val="fr-FR"/>
        </w:rPr>
      </w:pPr>
      <w:r>
        <w:rPr>
          <w:rFonts w:ascii="Calibri"/>
          <w:lang w:val="fr-FR"/>
        </w:rPr>
        <w:t xml:space="preserve">                  </w:t>
      </w:r>
      <w:r w:rsidRPr="00D6120B">
        <w:rPr>
          <w:rFonts w:ascii="Calibri"/>
          <w:lang w:val="fr-FR"/>
        </w:rPr>
        <w:t>Article 5 — Répartition des bénéfices, avantages et pertes</w:t>
      </w:r>
    </w:p>
    <w:p w14:paraId="5A1BDC3B" w14:textId="77777777" w:rsidR="005B364E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 </w:t>
      </w:r>
      <w:r w:rsidR="005B364E">
        <w:rPr>
          <w:rFonts w:ascii="Calibri"/>
          <w:lang w:val="fr-FR"/>
        </w:rPr>
        <w:t>A</w:t>
      </w:r>
      <w:r w:rsidRPr="00D6120B">
        <w:rPr>
          <w:rFonts w:ascii="Calibri"/>
          <w:lang w:val="fr-FR"/>
        </w:rPr>
        <w:t>mbiguïtés :</w:t>
      </w:r>
    </w:p>
    <w:p w14:paraId="49DD24EF" w14:textId="5B127613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« Bénéfices nets » : comment </w:t>
      </w:r>
      <w:r w:rsidR="00BD4655">
        <w:rPr>
          <w:rFonts w:ascii="Calibri"/>
          <w:lang w:val="fr-FR"/>
        </w:rPr>
        <w:t xml:space="preserve">les </w:t>
      </w:r>
      <w:r w:rsidR="00AB3603" w:rsidRPr="00D6120B">
        <w:rPr>
          <w:rFonts w:ascii="Calibri"/>
          <w:lang w:val="fr-FR"/>
        </w:rPr>
        <w:t>calcul</w:t>
      </w:r>
      <w:r w:rsidR="00AB3603">
        <w:rPr>
          <w:rFonts w:ascii="Calibri"/>
          <w:lang w:val="fr-FR"/>
        </w:rPr>
        <w:t>er</w:t>
      </w:r>
      <w:r w:rsidR="00AB3603" w:rsidRPr="00D6120B">
        <w:rPr>
          <w:rFonts w:ascii="Calibri"/>
          <w:lang w:val="fr-FR"/>
        </w:rPr>
        <w:t xml:space="preserve"> ?</w:t>
      </w:r>
      <w:r w:rsidRPr="00D6120B">
        <w:rPr>
          <w:rFonts w:ascii="Calibri"/>
          <w:lang w:val="fr-FR"/>
        </w:rPr>
        <w:t xml:space="preserve"> Quelles charges déd</w:t>
      </w:r>
      <w:r w:rsidR="00BD4655">
        <w:rPr>
          <w:rFonts w:ascii="Calibri"/>
          <w:lang w:val="fr-FR"/>
        </w:rPr>
        <w:t xml:space="preserve">uire </w:t>
      </w:r>
      <w:r w:rsidRPr="00D6120B">
        <w:rPr>
          <w:rFonts w:ascii="Calibri"/>
          <w:lang w:val="fr-FR"/>
        </w:rPr>
        <w:t xml:space="preserve">(salaires, sous-traitance, </w:t>
      </w:r>
      <w:proofErr w:type="spellStart"/>
      <w:r w:rsidR="00BD4655">
        <w:rPr>
          <w:rFonts w:ascii="Calibri"/>
          <w:lang w:val="fr-FR"/>
        </w:rPr>
        <w:t>loyer,</w:t>
      </w:r>
      <w:r w:rsidRPr="00D6120B">
        <w:rPr>
          <w:rFonts w:ascii="Calibri"/>
          <w:lang w:val="fr-FR"/>
        </w:rPr>
        <w:t>frais</w:t>
      </w:r>
      <w:proofErr w:type="spellEnd"/>
      <w:r w:rsidRPr="00D6120B">
        <w:rPr>
          <w:rFonts w:ascii="Calibri"/>
          <w:lang w:val="fr-FR"/>
        </w:rPr>
        <w:t xml:space="preserve"> généraux) </w:t>
      </w:r>
      <w:r w:rsidR="00BD4655">
        <w:rPr>
          <w:rFonts w:ascii="Calibri"/>
          <w:lang w:val="fr-FR"/>
        </w:rPr>
        <w:t>et q</w:t>
      </w:r>
      <w:r w:rsidRPr="00D6120B">
        <w:rPr>
          <w:rFonts w:ascii="Calibri"/>
          <w:lang w:val="fr-FR"/>
        </w:rPr>
        <w:t>ui valide la comptabilité ?</w:t>
      </w:r>
    </w:p>
    <w:p w14:paraId="16E2196F" w14:textId="1C4002F6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Mention « pertes supportées dans les mêmes proportions » → sans mécanisme de provision ni plafond </w:t>
      </w:r>
      <w:r w:rsidR="00BD4655">
        <w:rPr>
          <w:rFonts w:ascii="Calibri"/>
          <w:lang w:val="fr-FR"/>
        </w:rPr>
        <w:t>à quel moment parler de pertes ou de zone rouge ? La priorité doit rester la survie de l’entreprise</w:t>
      </w:r>
    </w:p>
    <w:p w14:paraId="5DBEE5DD" w14:textId="455368BD" w:rsidR="00CB71F4" w:rsidRPr="00D6120B" w:rsidRDefault="00BD4655">
      <w:pPr>
        <w:rPr>
          <w:lang w:val="fr-FR"/>
        </w:rPr>
      </w:pPr>
      <w:r>
        <w:rPr>
          <w:lang w:val="fr-FR"/>
        </w:rPr>
        <w:t xml:space="preserve">                  </w:t>
      </w:r>
      <w:r w:rsidRPr="00D6120B">
        <w:rPr>
          <w:rFonts w:ascii="Calibri"/>
          <w:lang w:val="fr-FR"/>
        </w:rPr>
        <w:t>Article 6 — Obligations</w:t>
      </w:r>
      <w:r>
        <w:rPr>
          <w:rFonts w:ascii="Calibri"/>
          <w:lang w:val="fr-FR"/>
        </w:rPr>
        <w:t xml:space="preserve"> des partenaires</w:t>
      </w:r>
    </w:p>
    <w:p w14:paraId="35169EFA" w14:textId="77777777" w:rsidR="00BD4655" w:rsidRDefault="00000000">
      <w:pPr>
        <w:rPr>
          <w:lang w:val="fr-FR"/>
        </w:rPr>
      </w:pPr>
      <w:r w:rsidRPr="00D6120B">
        <w:rPr>
          <w:rFonts w:ascii="Calibri"/>
          <w:lang w:val="fr-FR"/>
        </w:rPr>
        <w:t>La confidentialité est évoquée mais sans durée, sans exception légale, sans modalités en cas de fuite.</w:t>
      </w:r>
    </w:p>
    <w:p w14:paraId="503ACA8E" w14:textId="19DC3B86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La clause anti-concurrence est </w:t>
      </w:r>
      <w:r w:rsidR="00BD4655">
        <w:rPr>
          <w:rFonts w:ascii="Calibri"/>
          <w:lang w:val="fr-FR"/>
        </w:rPr>
        <w:t>assez</w:t>
      </w:r>
      <w:r w:rsidRPr="00D6120B">
        <w:rPr>
          <w:rFonts w:ascii="Calibri"/>
          <w:lang w:val="fr-FR"/>
        </w:rPr>
        <w:t xml:space="preserve"> large : il faut la limiter dans le temps, dans l’espace et en fonction d’activités clairement définies pour être opposable.</w:t>
      </w:r>
    </w:p>
    <w:p w14:paraId="6DA4F9A7" w14:textId="25EC6AE2" w:rsidR="00CB71F4" w:rsidRPr="00D6120B" w:rsidRDefault="00BD4655">
      <w:pPr>
        <w:rPr>
          <w:lang w:val="fr-FR"/>
        </w:rPr>
      </w:pPr>
      <w:r>
        <w:rPr>
          <w:lang w:val="fr-FR"/>
        </w:rPr>
        <w:t xml:space="preserve">                   </w:t>
      </w:r>
      <w:r w:rsidRPr="00D6120B">
        <w:rPr>
          <w:rFonts w:ascii="Calibri"/>
          <w:lang w:val="fr-FR"/>
        </w:rPr>
        <w:t xml:space="preserve">Article 7 — Résiliation </w:t>
      </w:r>
      <w:r>
        <w:rPr>
          <w:rFonts w:ascii="Calibri"/>
          <w:lang w:val="fr-FR"/>
        </w:rPr>
        <w:t xml:space="preserve">et </w:t>
      </w:r>
      <w:r w:rsidRPr="00D6120B">
        <w:rPr>
          <w:rFonts w:ascii="Calibri"/>
          <w:lang w:val="fr-FR"/>
        </w:rPr>
        <w:t>sortie</w:t>
      </w:r>
      <w:r>
        <w:rPr>
          <w:rFonts w:ascii="Calibri"/>
          <w:lang w:val="fr-FR"/>
        </w:rPr>
        <w:t xml:space="preserve"> du partenariat</w:t>
      </w:r>
    </w:p>
    <w:p w14:paraId="41E0BE24" w14:textId="460484C9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 xml:space="preserve">Résiliation par accord mutuel, violation grave après mise en demeure, décès/incapacité/faillite ; modalités de sortie « selon expertise indépendante ». </w:t>
      </w:r>
      <w:r w:rsidR="0019711B">
        <w:rPr>
          <w:rFonts w:ascii="Calibri"/>
          <w:lang w:val="fr-FR"/>
        </w:rPr>
        <w:t>Bien</w:t>
      </w:r>
    </w:p>
    <w:p w14:paraId="5E4427D3" w14:textId="63FBC9AE" w:rsidR="00CB71F4" w:rsidRPr="00D6120B" w:rsidRDefault="0019711B">
      <w:pPr>
        <w:rPr>
          <w:lang w:val="fr-FR"/>
        </w:rPr>
      </w:pPr>
      <w:r>
        <w:rPr>
          <w:rFonts w:ascii="Calibri"/>
          <w:lang w:val="fr-FR"/>
        </w:rPr>
        <w:t>Cependant, p</w:t>
      </w:r>
      <w:r w:rsidRPr="00D6120B">
        <w:rPr>
          <w:rFonts w:ascii="Calibri"/>
          <w:lang w:val="fr-FR"/>
        </w:rPr>
        <w:t>as de procédure détaillée de mise en demeure (délais, contenu).</w:t>
      </w:r>
    </w:p>
    <w:p w14:paraId="77B8BE76" w14:textId="77777777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>Pas d’option de rachat, ni d’échéancier de paiement, ni de traitement des contrats en cours.</w:t>
      </w:r>
    </w:p>
    <w:p w14:paraId="056FBBE4" w14:textId="70148E98" w:rsidR="00CB71F4" w:rsidRPr="00D6120B" w:rsidRDefault="00000000">
      <w:pPr>
        <w:rPr>
          <w:lang w:val="fr-FR"/>
        </w:rPr>
      </w:pPr>
      <w:r w:rsidRPr="00D6120B">
        <w:rPr>
          <w:rFonts w:ascii="Calibri"/>
          <w:lang w:val="fr-FR"/>
        </w:rPr>
        <w:t>Recommandation : définir</w:t>
      </w:r>
      <w:r w:rsidR="0019711B">
        <w:rPr>
          <w:rFonts w:ascii="Calibri"/>
          <w:lang w:val="fr-FR"/>
        </w:rPr>
        <w:t xml:space="preserve"> </w:t>
      </w:r>
      <w:r w:rsidR="00AB3603">
        <w:rPr>
          <w:rFonts w:ascii="Calibri"/>
          <w:lang w:val="fr-FR"/>
        </w:rPr>
        <w:t xml:space="preserve">une </w:t>
      </w:r>
      <w:r w:rsidR="00AB3603" w:rsidRPr="00D6120B">
        <w:rPr>
          <w:rFonts w:ascii="Calibri"/>
          <w:lang w:val="fr-FR"/>
        </w:rPr>
        <w:t>méthode</w:t>
      </w:r>
      <w:r w:rsidRPr="00D6120B">
        <w:rPr>
          <w:rFonts w:ascii="Calibri"/>
          <w:lang w:val="fr-FR"/>
        </w:rPr>
        <w:t xml:space="preserve"> d’évaluation (expert indépendant nommé d’un commun accord ou par tirage au sort), prévoir</w:t>
      </w:r>
      <w:r w:rsidR="0019711B">
        <w:rPr>
          <w:rFonts w:ascii="Calibri"/>
          <w:lang w:val="fr-FR"/>
        </w:rPr>
        <w:t xml:space="preserve"> un</w:t>
      </w:r>
      <w:r w:rsidRPr="00D6120B">
        <w:rPr>
          <w:rFonts w:ascii="Calibri"/>
          <w:lang w:val="fr-FR"/>
        </w:rPr>
        <w:t xml:space="preserve"> délai pour</w:t>
      </w:r>
      <w:r w:rsidR="0019711B">
        <w:rPr>
          <w:rFonts w:ascii="Calibri"/>
          <w:lang w:val="fr-FR"/>
        </w:rPr>
        <w:t xml:space="preserve"> les potentiels</w:t>
      </w:r>
      <w:r w:rsidRPr="00D6120B">
        <w:rPr>
          <w:rFonts w:ascii="Calibri"/>
          <w:lang w:val="fr-FR"/>
        </w:rPr>
        <w:t xml:space="preserve"> rachat</w:t>
      </w:r>
      <w:r w:rsidR="00D85DD1">
        <w:rPr>
          <w:rFonts w:ascii="Calibri"/>
          <w:lang w:val="fr-FR"/>
        </w:rPr>
        <w:t xml:space="preserve"> et une clause de survie de la confidentialité même après la fin du contrat</w:t>
      </w:r>
    </w:p>
    <w:p w14:paraId="339702A4" w14:textId="77777777" w:rsidR="0019711B" w:rsidRDefault="0019711B">
      <w:pPr>
        <w:rPr>
          <w:rFonts w:ascii="Calibri"/>
          <w:lang w:val="fr-FR"/>
        </w:rPr>
      </w:pPr>
      <w:r>
        <w:rPr>
          <w:lang w:val="fr-FR"/>
        </w:rPr>
        <w:t xml:space="preserve">               </w:t>
      </w:r>
      <w:r w:rsidRPr="00D6120B">
        <w:rPr>
          <w:rFonts w:ascii="Calibri"/>
          <w:lang w:val="fr-FR"/>
        </w:rPr>
        <w:t>Article 8 — Confidential</w:t>
      </w:r>
      <w:r>
        <w:rPr>
          <w:rFonts w:ascii="Calibri"/>
          <w:lang w:val="fr-FR"/>
        </w:rPr>
        <w:t>ité</w:t>
      </w:r>
    </w:p>
    <w:p w14:paraId="0196F266" w14:textId="7A9261B7" w:rsidR="0019711B" w:rsidRDefault="0019711B">
      <w:pPr>
        <w:rPr>
          <w:rFonts w:ascii="Calibri"/>
          <w:lang w:val="fr-FR"/>
        </w:rPr>
      </w:pPr>
      <w:r>
        <w:rPr>
          <w:rFonts w:ascii="Calibri"/>
          <w:lang w:val="fr-FR"/>
        </w:rPr>
        <w:t>Bien</w:t>
      </w:r>
      <w:r w:rsidR="00D85DD1">
        <w:rPr>
          <w:rFonts w:ascii="Calibri"/>
          <w:lang w:val="fr-FR"/>
        </w:rPr>
        <w:t xml:space="preserve"> mais c’est en quelque sorte une répétition de l’art 6</w:t>
      </w:r>
    </w:p>
    <w:p w14:paraId="0AF95DF6" w14:textId="1A607BA8" w:rsidR="00CB71F4" w:rsidRPr="00D6120B" w:rsidRDefault="0019711B">
      <w:pPr>
        <w:rPr>
          <w:lang w:val="fr-FR"/>
        </w:rPr>
      </w:pPr>
      <w:r>
        <w:rPr>
          <w:rFonts w:ascii="Calibri"/>
          <w:lang w:val="fr-FR"/>
        </w:rPr>
        <w:t xml:space="preserve">              </w:t>
      </w:r>
      <w:r w:rsidRPr="00D6120B">
        <w:rPr>
          <w:rFonts w:ascii="Calibri"/>
          <w:lang w:val="fr-FR"/>
        </w:rPr>
        <w:t xml:space="preserve">Article 9 — Loi applicable et </w:t>
      </w:r>
      <w:r>
        <w:rPr>
          <w:rFonts w:ascii="Calibri"/>
          <w:lang w:val="fr-FR"/>
        </w:rPr>
        <w:t>litiges/ Plutôt Loi applicable et juridiction</w:t>
      </w:r>
    </w:p>
    <w:p w14:paraId="11895E2C" w14:textId="334712D8" w:rsidR="0019711B" w:rsidRDefault="0019711B">
      <w:pPr>
        <w:rPr>
          <w:rFonts w:ascii="Calibri"/>
          <w:lang w:val="fr-FR"/>
        </w:rPr>
      </w:pPr>
      <w:r>
        <w:rPr>
          <w:rFonts w:ascii="Calibri"/>
          <w:lang w:val="fr-FR"/>
        </w:rPr>
        <w:t xml:space="preserve">C’est </w:t>
      </w:r>
      <w:r w:rsidR="00AB3603">
        <w:rPr>
          <w:rFonts w:ascii="Calibri"/>
          <w:lang w:val="fr-FR"/>
        </w:rPr>
        <w:t>à la seule condition</w:t>
      </w:r>
      <w:r>
        <w:rPr>
          <w:rFonts w:ascii="Calibri"/>
          <w:lang w:val="fr-FR"/>
        </w:rPr>
        <w:t xml:space="preserve"> que cela est du ressort de tribunal de Cotonou qu’il sera le cas. Autant se </w:t>
      </w:r>
      <w:r w:rsidR="00AB3603">
        <w:rPr>
          <w:rFonts w:ascii="Calibri"/>
          <w:lang w:val="fr-FR"/>
        </w:rPr>
        <w:t>résumer</w:t>
      </w:r>
      <w:r>
        <w:rPr>
          <w:rFonts w:ascii="Calibri"/>
          <w:lang w:val="fr-FR"/>
        </w:rPr>
        <w:t xml:space="preserve"> à tribunaux compétents.</w:t>
      </w:r>
    </w:p>
    <w:p w14:paraId="35E3A704" w14:textId="2E1C1D3C" w:rsidR="00CB71F4" w:rsidRPr="00D6120B" w:rsidRDefault="00D85DD1">
      <w:pPr>
        <w:rPr>
          <w:lang w:val="fr-FR"/>
        </w:rPr>
      </w:pPr>
      <w:r>
        <w:rPr>
          <w:lang w:val="fr-FR"/>
        </w:rPr>
        <w:t xml:space="preserve">Aussi il aurait été bien mieux de prévoir une clause de médiation au préalable. </w:t>
      </w:r>
    </w:p>
    <w:p w14:paraId="455B4CD3" w14:textId="5F144796" w:rsidR="00CB71F4" w:rsidRPr="00D6120B" w:rsidRDefault="00CB71F4">
      <w:pPr>
        <w:rPr>
          <w:lang w:val="fr-FR"/>
        </w:rPr>
      </w:pPr>
    </w:p>
    <w:sectPr w:rsidR="00CB71F4" w:rsidRPr="00D612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2304"/>
    <w:multiLevelType w:val="hybridMultilevel"/>
    <w:tmpl w:val="F16A078A"/>
    <w:lvl w:ilvl="0" w:tplc="2A1E49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67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35"/>
    <w:rsid w:val="000D192F"/>
    <w:rsid w:val="0017106E"/>
    <w:rsid w:val="0019711B"/>
    <w:rsid w:val="001B040F"/>
    <w:rsid w:val="00410E3B"/>
    <w:rsid w:val="005B364E"/>
    <w:rsid w:val="00655C2F"/>
    <w:rsid w:val="007F4214"/>
    <w:rsid w:val="00816F88"/>
    <w:rsid w:val="00A44B35"/>
    <w:rsid w:val="00AA62F6"/>
    <w:rsid w:val="00AB3603"/>
    <w:rsid w:val="00B5021E"/>
    <w:rsid w:val="00BD4655"/>
    <w:rsid w:val="00CB71F4"/>
    <w:rsid w:val="00CF6261"/>
    <w:rsid w:val="00D6120B"/>
    <w:rsid w:val="00D85DD1"/>
    <w:rsid w:val="00F8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33C29"/>
  <w15:docId w15:val="{414CC4DB-7488-4D02-8CC1-596AEFB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2025-11-08T17:46:00Z</dcterms:created>
  <dcterms:modified xsi:type="dcterms:W3CDTF">2025-11-08T20:35:00Z</dcterms:modified>
</cp:coreProperties>
</file>