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Kamis, 03 Juni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Kamis, 03 Juni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Rachmad</w:t>
      </w:r>
      <w:r>
        <w:rPr>
          <w:rFonts w:ascii="Times New Roman" w:hAnsi="Times New Roman"/>
          <w:color w:val="000000"/>
        </w:rPr>
        <w:t>, warga negara Indonesia, pemegang nomor KTP </w:t>
      </w:r>
      <w:r>
        <w:rPr>
          <w:rFonts w:hint="default" w:ascii="Times New Roman" w:hAnsi="Times New Roman"/>
          <w:i/>
          <w:iCs/>
          <w:color w:val="000000"/>
          <w:highlight w:val="none"/>
        </w:rPr>
        <w:t>10299983746</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9881014321060304</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Rachmad</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Rachmad</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10299983746</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achesyahm@gmail.com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kawan bank</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1234567</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Rachmad</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Rachmad</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