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7D4" w14:textId="3641D070" w:rsidR="00DE159A" w:rsidRPr="00191D31" w:rsidRDefault="00DE159A" w:rsidP="00DE159A">
      <w:pPr>
        <w:pStyle w:val="Heading2"/>
        <w:numPr>
          <w:ilvl w:val="0"/>
          <w:numId w:val="0"/>
        </w:numPr>
        <w:spacing w:before="0" w:after="0" w:line="240" w:lineRule="auto"/>
        <w:jc w:val="both"/>
        <w:rPr>
          <w:rFonts w:ascii="Times New Roman" w:hAnsi="Times New Roman"/>
          <w:bCs w:val="0"/>
          <w:szCs w:val="24"/>
        </w:rPr>
      </w:pPr>
      <w:bookmarkStart w:id="0" w:name="_Toc14366129"/>
      <w:r w:rsidRPr="00957EFC">
        <w:rPr>
          <w:rFonts w:ascii="Times New Roman" w:hAnsi="Times New Roman"/>
          <w:bCs w:val="0"/>
          <w:szCs w:val="24"/>
        </w:rPr>
        <w:t>ST 2109:</w:t>
      </w:r>
      <w:r>
        <w:rPr>
          <w:rFonts w:ascii="Times New Roman" w:hAnsi="Times New Roman"/>
          <w:bCs w:val="0"/>
          <w:szCs w:val="24"/>
        </w:rPr>
        <w:t xml:space="preserve"> </w:t>
      </w:r>
      <w:r w:rsidRPr="00957EFC">
        <w:rPr>
          <w:rFonts w:ascii="Times New Roman" w:hAnsi="Times New Roman"/>
          <w:bCs w:val="0"/>
          <w:szCs w:val="24"/>
        </w:rPr>
        <w:t>Risk Theory</w:t>
      </w:r>
      <w:r w:rsidRPr="00191D31">
        <w:rPr>
          <w:rFonts w:ascii="Times New Roman" w:hAnsi="Times New Roman"/>
          <w:bCs w:val="0"/>
          <w:szCs w:val="24"/>
        </w:rPr>
        <w:t xml:space="preserve"> and </w:t>
      </w:r>
      <w:r w:rsidR="00905A29">
        <w:rPr>
          <w:rFonts w:ascii="Times New Roman" w:hAnsi="Times New Roman"/>
          <w:bCs w:val="0"/>
          <w:szCs w:val="24"/>
        </w:rPr>
        <w:t>M</w:t>
      </w:r>
      <w:r w:rsidRPr="00191D31">
        <w:rPr>
          <w:rFonts w:ascii="Times New Roman" w:hAnsi="Times New Roman"/>
          <w:bCs w:val="0"/>
          <w:szCs w:val="24"/>
        </w:rPr>
        <w:t>anagement</w:t>
      </w:r>
      <w:bookmarkEnd w:id="0"/>
      <w:r w:rsidRPr="00191D31">
        <w:rPr>
          <w:rFonts w:ascii="Times New Roman" w:hAnsi="Times New Roman"/>
          <w:bCs w:val="0"/>
          <w:szCs w:val="24"/>
        </w:rPr>
        <w:t xml:space="preserve"> </w:t>
      </w:r>
    </w:p>
    <w:p w14:paraId="073DB2DB" w14:textId="77777777" w:rsidR="00DE159A" w:rsidRPr="00880B16" w:rsidRDefault="00DE159A" w:rsidP="00DE159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x-none"/>
        </w:rPr>
      </w:pPr>
    </w:p>
    <w:p w14:paraId="65032FEE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x-none"/>
        </w:rPr>
      </w:pPr>
      <w:r w:rsidRPr="00A13FCB">
        <w:rPr>
          <w:rFonts w:ascii="Times New Roman" w:hAnsi="Times New Roman"/>
          <w:b/>
          <w:bCs/>
          <w:sz w:val="24"/>
          <w:szCs w:val="24"/>
          <w:lang w:eastAsia="x-none"/>
        </w:rPr>
        <w:t>Course aim</w:t>
      </w:r>
    </w:p>
    <w:p w14:paraId="4652BC64" w14:textId="7E6E1941" w:rsidR="00DE159A" w:rsidRPr="00A13FCB" w:rsidRDefault="00DE159A" w:rsidP="00DE159A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A13FCB">
        <w:rPr>
          <w:color w:val="000000"/>
        </w:rPr>
        <w:t xml:space="preserve">To introduce the mathematical aspects of risk theory and quantitative risk management. Specifically, to discuss basic concepts like the loss distribution, risk measurement, risk measures based on the loss distribution, </w:t>
      </w:r>
      <w:r w:rsidR="00905A29" w:rsidRPr="00A13FCB">
        <w:rPr>
          <w:color w:val="000000"/>
        </w:rPr>
        <w:t>e.g.,</w:t>
      </w:r>
      <w:r w:rsidRPr="00A13FCB">
        <w:rPr>
          <w:color w:val="000000"/>
        </w:rPr>
        <w:t xml:space="preserve"> value at risk or expected shortfall, as well as standard methods to compute market risk. Further to give a basic introduction of extreme value theory and copulas and discuss applications of those in risk theory and insurance analytics. </w:t>
      </w:r>
    </w:p>
    <w:p w14:paraId="23FAF136" w14:textId="77777777" w:rsidR="00DE159A" w:rsidRPr="00957EFC" w:rsidRDefault="00DE159A" w:rsidP="00DE159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046C79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13FCB">
        <w:rPr>
          <w:rFonts w:ascii="Times New Roman" w:hAnsi="Times New Roman"/>
          <w:b/>
          <w:bCs/>
          <w:sz w:val="24"/>
          <w:szCs w:val="24"/>
        </w:rPr>
        <w:t>Course expected learning outcome(s)</w:t>
      </w:r>
    </w:p>
    <w:p w14:paraId="5DC23F36" w14:textId="7E173614" w:rsidR="00DE159A" w:rsidRPr="00A13FCB" w:rsidRDefault="00DE159A" w:rsidP="00DE159A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A13FCB">
        <w:rPr>
          <w:color w:val="000000"/>
        </w:rPr>
        <w:t xml:space="preserve">After the successful completion of this course the students will be able to deal will </w:t>
      </w:r>
      <w:r w:rsidR="00291CA2" w:rsidRPr="00A13FCB">
        <w:rPr>
          <w:color w:val="000000"/>
        </w:rPr>
        <w:t>quantitatively</w:t>
      </w:r>
      <w:r w:rsidRPr="00A13FCB">
        <w:rPr>
          <w:color w:val="000000"/>
        </w:rPr>
        <w:t xml:space="preserve"> risk models. They will be familiar with the mostly used models, their applicability, as well as their advantages and disadvantages in different situations. </w:t>
      </w:r>
    </w:p>
    <w:p w14:paraId="7FFFF220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x-none"/>
        </w:rPr>
      </w:pPr>
    </w:p>
    <w:p w14:paraId="18F8AAF7" w14:textId="77777777" w:rsidR="00DE159A" w:rsidRPr="00957EFC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57EFC">
        <w:rPr>
          <w:rFonts w:ascii="Times New Roman" w:hAnsi="Times New Roman"/>
          <w:bCs/>
          <w:sz w:val="24"/>
          <w:szCs w:val="24"/>
        </w:rPr>
        <w:t>Course status: Core</w:t>
      </w:r>
    </w:p>
    <w:p w14:paraId="16C38A98" w14:textId="77777777" w:rsidR="00DE159A" w:rsidRPr="00957EFC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57EFC">
        <w:rPr>
          <w:rFonts w:ascii="Times New Roman" w:hAnsi="Times New Roman"/>
          <w:bCs/>
          <w:sz w:val="24"/>
          <w:szCs w:val="24"/>
        </w:rPr>
        <w:t>Credit rating: 9 credits</w:t>
      </w:r>
    </w:p>
    <w:p w14:paraId="66A899EC" w14:textId="77777777" w:rsidR="00DE159A" w:rsidRPr="00191D31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57EFC">
        <w:rPr>
          <w:rFonts w:ascii="Times New Roman" w:hAnsi="Times New Roman"/>
          <w:bCs/>
          <w:sz w:val="24"/>
          <w:szCs w:val="24"/>
        </w:rPr>
        <w:t xml:space="preserve">Total hours spent: </w:t>
      </w:r>
      <w:r w:rsidRPr="00191D31">
        <w:rPr>
          <w:rFonts w:ascii="Times New Roman" w:hAnsi="Times New Roman"/>
          <w:bCs/>
          <w:sz w:val="24"/>
          <w:szCs w:val="24"/>
        </w:rPr>
        <w:t>90 hours</w:t>
      </w:r>
    </w:p>
    <w:p w14:paraId="6D25CF1E" w14:textId="77777777" w:rsidR="00DE159A" w:rsidRPr="00880B16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89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6"/>
        <w:gridCol w:w="1085"/>
        <w:gridCol w:w="1122"/>
        <w:gridCol w:w="1464"/>
        <w:gridCol w:w="1250"/>
        <w:gridCol w:w="1183"/>
        <w:gridCol w:w="1183"/>
      </w:tblGrid>
      <w:tr w:rsidR="00DE159A" w:rsidRPr="00A13FCB" w14:paraId="1170B419" w14:textId="77777777" w:rsidTr="00D84BD0">
        <w:trPr>
          <w:trHeight w:val="381"/>
        </w:trPr>
        <w:tc>
          <w:tcPr>
            <w:tcW w:w="1656" w:type="dxa"/>
          </w:tcPr>
          <w:p w14:paraId="5E87B0AD" w14:textId="77777777" w:rsidR="00DE159A" w:rsidRPr="00880B16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</w:pPr>
            <w:r w:rsidRPr="00880B16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Activity</w:t>
            </w:r>
          </w:p>
        </w:tc>
        <w:tc>
          <w:tcPr>
            <w:tcW w:w="1085" w:type="dxa"/>
            <w:noWrap/>
            <w:hideMark/>
          </w:tcPr>
          <w:p w14:paraId="1691C394" w14:textId="77777777" w:rsidR="00DE159A" w:rsidRPr="00A13FCB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71602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Lectures</w:t>
            </w:r>
            <w:proofErr w:type="spellEnd"/>
          </w:p>
        </w:tc>
        <w:tc>
          <w:tcPr>
            <w:tcW w:w="1122" w:type="dxa"/>
            <w:noWrap/>
            <w:hideMark/>
          </w:tcPr>
          <w:p w14:paraId="7108B95D" w14:textId="77777777" w:rsidR="00DE159A" w:rsidRPr="00A13FCB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Tutorials</w:t>
            </w:r>
            <w:proofErr w:type="spellEnd"/>
          </w:p>
        </w:tc>
        <w:tc>
          <w:tcPr>
            <w:tcW w:w="1464" w:type="dxa"/>
            <w:noWrap/>
            <w:hideMark/>
          </w:tcPr>
          <w:p w14:paraId="76BC1241" w14:textId="77777777" w:rsidR="00DE159A" w:rsidRPr="00A13FCB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Assignments</w:t>
            </w:r>
            <w:proofErr w:type="spellEnd"/>
          </w:p>
        </w:tc>
        <w:tc>
          <w:tcPr>
            <w:tcW w:w="1250" w:type="dxa"/>
            <w:noWrap/>
            <w:hideMark/>
          </w:tcPr>
          <w:p w14:paraId="28152FFD" w14:textId="77777777" w:rsidR="00DE159A" w:rsidRPr="00A13FCB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Self</w:t>
            </w:r>
            <w:proofErr w:type="spellEnd"/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Study</w:t>
            </w:r>
            <w:proofErr w:type="spellEnd"/>
          </w:p>
        </w:tc>
        <w:tc>
          <w:tcPr>
            <w:tcW w:w="1183" w:type="dxa"/>
            <w:noWrap/>
            <w:hideMark/>
          </w:tcPr>
          <w:p w14:paraId="4FDED7CC" w14:textId="77777777" w:rsidR="00DE159A" w:rsidRPr="00A13FCB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Practicals</w:t>
            </w:r>
            <w:proofErr w:type="spellEnd"/>
          </w:p>
        </w:tc>
        <w:tc>
          <w:tcPr>
            <w:tcW w:w="1183" w:type="dxa"/>
          </w:tcPr>
          <w:p w14:paraId="3309939D" w14:textId="77777777" w:rsidR="00DE159A" w:rsidRPr="00A13FCB" w:rsidRDefault="00DE159A" w:rsidP="00D84BD0">
            <w:pPr>
              <w:keepNext/>
              <w:keepLine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  <w:lang w:val="nb-NO"/>
              </w:rPr>
              <w:t>Total</w:t>
            </w:r>
          </w:p>
        </w:tc>
      </w:tr>
      <w:tr w:rsidR="00DE159A" w:rsidRPr="00A13FCB" w14:paraId="0BB07DAD" w14:textId="77777777" w:rsidTr="00D84BD0">
        <w:trPr>
          <w:trHeight w:val="288"/>
        </w:trPr>
        <w:tc>
          <w:tcPr>
            <w:tcW w:w="1656" w:type="dxa"/>
          </w:tcPr>
          <w:p w14:paraId="2BB9D031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Hour/Semester</w:t>
            </w:r>
          </w:p>
        </w:tc>
        <w:tc>
          <w:tcPr>
            <w:tcW w:w="1085" w:type="dxa"/>
          </w:tcPr>
          <w:p w14:paraId="1274A89E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2" w:type="dxa"/>
          </w:tcPr>
          <w:p w14:paraId="20756D72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64" w:type="dxa"/>
          </w:tcPr>
          <w:p w14:paraId="53F48328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0" w:type="dxa"/>
          </w:tcPr>
          <w:p w14:paraId="66588014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3" w:type="dxa"/>
          </w:tcPr>
          <w:p w14:paraId="6C366457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3" w:type="dxa"/>
          </w:tcPr>
          <w:p w14:paraId="7DB45F14" w14:textId="77777777" w:rsidR="00DE159A" w:rsidRPr="00A13FCB" w:rsidRDefault="00DE159A" w:rsidP="00D84BD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3FCB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</w:tbl>
    <w:p w14:paraId="0CD20F9F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1ADFBF5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13FCB">
        <w:rPr>
          <w:rFonts w:ascii="Times New Roman" w:hAnsi="Times New Roman"/>
          <w:b/>
          <w:bCs/>
          <w:sz w:val="24"/>
          <w:szCs w:val="24"/>
        </w:rPr>
        <w:t>Course Content</w:t>
      </w:r>
    </w:p>
    <w:p w14:paraId="3AA7E4DC" w14:textId="47E0D5BF" w:rsidR="00DE159A" w:rsidRPr="00A13FCB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 w:rsidRPr="00A13FCB">
        <w:rPr>
          <w:rFonts w:ascii="Times New Roman" w:hAnsi="Times New Roman"/>
          <w:b/>
          <w:sz w:val="24"/>
          <w:szCs w:val="24"/>
        </w:rPr>
        <w:t>Utility theory and insurance</w:t>
      </w:r>
      <w:r w:rsidRPr="00A13FCB">
        <w:rPr>
          <w:rFonts w:ascii="Times New Roman" w:hAnsi="Times New Roman"/>
          <w:sz w:val="24"/>
          <w:szCs w:val="24"/>
        </w:rPr>
        <w:t>: Introduction,</w:t>
      </w:r>
      <w:r>
        <w:rPr>
          <w:rFonts w:ascii="Times New Roman" w:hAnsi="Times New Roman"/>
          <w:sz w:val="24"/>
          <w:szCs w:val="24"/>
        </w:rPr>
        <w:t xml:space="preserve"> </w:t>
      </w:r>
      <w:r w:rsidR="00330D43" w:rsidRPr="00A13FCB">
        <w:rPr>
          <w:rFonts w:ascii="Times New Roman" w:hAnsi="Times New Roman"/>
          <w:sz w:val="24"/>
          <w:szCs w:val="24"/>
        </w:rPr>
        <w:t>the</w:t>
      </w:r>
      <w:r w:rsidRPr="00A13FCB">
        <w:rPr>
          <w:rFonts w:ascii="Times New Roman" w:hAnsi="Times New Roman"/>
          <w:sz w:val="24"/>
          <w:szCs w:val="24"/>
        </w:rPr>
        <w:t xml:space="preserve"> expected utility model, Classes of utility functions,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194C">
        <w:rPr>
          <w:rFonts w:ascii="Times New Roman" w:hAnsi="Times New Roman"/>
          <w:b/>
          <w:bCs/>
          <w:color w:val="FF0000"/>
          <w:sz w:val="24"/>
          <w:szCs w:val="24"/>
        </w:rPr>
        <w:t>Stop-loss reinsurance</w:t>
      </w:r>
      <w:r w:rsidRPr="0016194C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6039354" w14:textId="77777777" w:rsidR="00DE159A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6237DB53" w14:textId="338D867F" w:rsidR="00DE159A" w:rsidRPr="00957EFC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 w:rsidRPr="00957EFC">
        <w:rPr>
          <w:rFonts w:ascii="Times New Roman" w:hAnsi="Times New Roman"/>
          <w:b/>
          <w:sz w:val="24"/>
          <w:szCs w:val="24"/>
        </w:rPr>
        <w:t>The individual risk model</w:t>
      </w:r>
      <w:r w:rsidRPr="00957EFC">
        <w:rPr>
          <w:rFonts w:ascii="Times New Roman" w:hAnsi="Times New Roman"/>
          <w:sz w:val="24"/>
          <w:szCs w:val="24"/>
        </w:rPr>
        <w:t>: Introduction, Mixed distributions and risks, Convolution, Transforms, Approximations (Normal approximation,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>Translated gamma approximation,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 xml:space="preserve">NP approximation). Application: optimal reinsurance. </w:t>
      </w:r>
    </w:p>
    <w:p w14:paraId="13E5E8E1" w14:textId="77777777" w:rsidR="00DE159A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83FD65E" w14:textId="77777777" w:rsidR="00990446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 w:rsidRPr="00957EFC">
        <w:rPr>
          <w:rFonts w:ascii="Times New Roman" w:hAnsi="Times New Roman"/>
          <w:b/>
          <w:sz w:val="24"/>
          <w:szCs w:val="24"/>
        </w:rPr>
        <w:t>Collective risk models</w:t>
      </w:r>
      <w:r w:rsidRPr="00957EFC">
        <w:rPr>
          <w:rFonts w:ascii="Times New Roman" w:hAnsi="Times New Roman"/>
          <w:sz w:val="24"/>
          <w:szCs w:val="24"/>
        </w:rPr>
        <w:t>: Compound distributi</w:t>
      </w:r>
      <w:r w:rsidRPr="00191D31">
        <w:rPr>
          <w:rFonts w:ascii="Times New Roman" w:hAnsi="Times New Roman"/>
          <w:sz w:val="24"/>
          <w:szCs w:val="24"/>
        </w:rPr>
        <w:t xml:space="preserve">ons </w:t>
      </w:r>
      <w:r w:rsidRPr="00957EFC">
        <w:rPr>
          <w:rFonts w:ascii="Times New Roman" w:hAnsi="Times New Roman"/>
          <w:sz w:val="24"/>
          <w:szCs w:val="24"/>
        </w:rPr>
        <w:t xml:space="preserve">Convolution formula for a compound </w:t>
      </w:r>
      <w:proofErr w:type="spellStart"/>
      <w:r w:rsidR="00330D43">
        <w:rPr>
          <w:rFonts w:ascii="Times New Roman" w:hAnsi="Times New Roman"/>
          <w:sz w:val="24"/>
          <w:szCs w:val="24"/>
        </w:rPr>
        <w:t>cdf</w:t>
      </w:r>
      <w:proofErr w:type="spellEnd"/>
      <w:r w:rsidRPr="00957EFC">
        <w:rPr>
          <w:rFonts w:ascii="Times New Roman" w:hAnsi="Times New Roman"/>
          <w:sz w:val="24"/>
          <w:szCs w:val="24"/>
        </w:rPr>
        <w:t>, Distributions for the number of claims,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>Properties of compound Poisson distributions, Panjer’s recursion. Compound distributions and the Fast Fourier Transform,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 xml:space="preserve">Approximations for compound distributions. </w:t>
      </w:r>
    </w:p>
    <w:p w14:paraId="7623BE86" w14:textId="061F4251" w:rsidR="00DE159A" w:rsidRPr="00957EFC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 w:rsidRPr="00957EFC">
        <w:rPr>
          <w:rFonts w:ascii="Times New Roman" w:hAnsi="Times New Roman"/>
          <w:sz w:val="24"/>
          <w:szCs w:val="24"/>
        </w:rPr>
        <w:t>Individual and collective risk model, Loss distributions: properties, estimation, sampling.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>Techniques to generate pseudo-random samples,</w:t>
      </w:r>
      <w:r w:rsidR="0003352C"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>Techniques to compute ML-estimates.</w:t>
      </w:r>
      <w:r w:rsidR="0003352C"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 xml:space="preserve">Poisson claim number distribution, Negative binomial claim number </w:t>
      </w:r>
      <w:r w:rsidR="00FA1CEC" w:rsidRPr="00957EFC">
        <w:rPr>
          <w:rFonts w:ascii="Times New Roman" w:hAnsi="Times New Roman"/>
          <w:sz w:val="24"/>
          <w:szCs w:val="24"/>
        </w:rPr>
        <w:t>distribution.</w:t>
      </w:r>
      <w:r w:rsidRPr="00957EFC">
        <w:rPr>
          <w:rFonts w:ascii="Times New Roman" w:hAnsi="Times New Roman"/>
          <w:sz w:val="24"/>
          <w:szCs w:val="24"/>
        </w:rPr>
        <w:t xml:space="preserve"> Gamma claim severity distributions, Inverse Gaussian claim severity distributions. Mixtures/combinations of exponential distributions,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EFC">
        <w:rPr>
          <w:rFonts w:ascii="Times New Roman" w:hAnsi="Times New Roman"/>
          <w:sz w:val="24"/>
          <w:szCs w:val="24"/>
        </w:rPr>
        <w:t>Lognormal claim, Pareto claim severities. Stop-loss insurance and approximations. Comparing stop-loss premiums in case of unequal variances.</w:t>
      </w:r>
    </w:p>
    <w:p w14:paraId="54512320" w14:textId="77777777" w:rsidR="00DE159A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7BD539F" w14:textId="46DD63A6" w:rsidR="00DE159A" w:rsidRPr="00880B16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 w:rsidRPr="00191D31">
        <w:rPr>
          <w:rFonts w:ascii="Times New Roman" w:hAnsi="Times New Roman"/>
          <w:b/>
          <w:sz w:val="24"/>
          <w:szCs w:val="24"/>
        </w:rPr>
        <w:t>Ruin theory</w:t>
      </w:r>
      <w:r w:rsidRPr="00191D31">
        <w:rPr>
          <w:rFonts w:ascii="Times New Roman" w:hAnsi="Times New Roman"/>
          <w:sz w:val="24"/>
          <w:szCs w:val="24"/>
        </w:rPr>
        <w:t>: Introduction,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1D31">
        <w:rPr>
          <w:rFonts w:ascii="Times New Roman" w:hAnsi="Times New Roman"/>
          <w:sz w:val="24"/>
          <w:szCs w:val="24"/>
        </w:rPr>
        <w:t xml:space="preserve">The classical ruin process, Some simple results on ruin probabilities, Ruin probability and capital at ruin, Discrete time model. Reinsurance and ruin probabilities, Beekman’s convolution formula, Explicit expressions </w:t>
      </w:r>
      <w:r w:rsidRPr="00880B16">
        <w:rPr>
          <w:rFonts w:ascii="Times New Roman" w:hAnsi="Times New Roman"/>
          <w:sz w:val="24"/>
          <w:szCs w:val="24"/>
        </w:rPr>
        <w:t>for ruin probabilities. Approximation of ruin probabilities.</w:t>
      </w:r>
    </w:p>
    <w:p w14:paraId="453DE22A" w14:textId="77777777" w:rsidR="00DE159A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21A3235" w14:textId="77777777" w:rsidR="00DE159A" w:rsidRPr="00A13FCB" w:rsidRDefault="00DE159A" w:rsidP="00DE159A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 w:rsidRPr="00871602">
        <w:rPr>
          <w:rFonts w:ascii="Times New Roman" w:hAnsi="Times New Roman"/>
          <w:b/>
          <w:sz w:val="24"/>
          <w:szCs w:val="24"/>
        </w:rPr>
        <w:t>Premium principles and Risk measures</w:t>
      </w:r>
      <w:r w:rsidRPr="00A13FCB">
        <w:rPr>
          <w:rFonts w:ascii="Times New Roman" w:hAnsi="Times New Roman"/>
          <w:sz w:val="24"/>
          <w:szCs w:val="24"/>
        </w:rPr>
        <w:t>: Introduction, Premium calculation from top-down, Various premium principles and their properties. Properties of premium principles, Characterizations of premium principles, Premium reduction by coinsurance. Value-at-Risk and related risk measures.</w:t>
      </w:r>
    </w:p>
    <w:p w14:paraId="720509FF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5D6775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13FCB">
        <w:rPr>
          <w:rFonts w:ascii="Times New Roman" w:hAnsi="Times New Roman"/>
          <w:b/>
          <w:bCs/>
          <w:sz w:val="24"/>
          <w:szCs w:val="24"/>
        </w:rPr>
        <w:t>Teaching and learning activities</w:t>
      </w:r>
    </w:p>
    <w:p w14:paraId="0856DC08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13FCB">
        <w:rPr>
          <w:rFonts w:ascii="Times New Roman" w:hAnsi="Times New Roman"/>
          <w:bCs/>
          <w:sz w:val="24"/>
          <w:szCs w:val="24"/>
        </w:rPr>
        <w:t>Lectures, tutorials and practical</w:t>
      </w:r>
    </w:p>
    <w:p w14:paraId="0743E14C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13FCB">
        <w:rPr>
          <w:rFonts w:ascii="Times New Roman" w:hAnsi="Times New Roman"/>
          <w:b/>
          <w:bCs/>
          <w:sz w:val="24"/>
          <w:szCs w:val="24"/>
        </w:rPr>
        <w:t>Assessment Methods</w:t>
      </w:r>
    </w:p>
    <w:p w14:paraId="5226D189" w14:textId="77777777" w:rsidR="00DE159A" w:rsidRPr="00A13FCB" w:rsidRDefault="00DE159A" w:rsidP="00DE1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13FCB">
        <w:rPr>
          <w:rFonts w:ascii="Times New Roman" w:hAnsi="Times New Roman"/>
          <w:bCs/>
          <w:sz w:val="24"/>
          <w:szCs w:val="24"/>
        </w:rPr>
        <w:t>Coursework: 40% (Two tests each consists of 15% and one assignment/presentation (5%) / at least two quizzes each of 2.5%).</w:t>
      </w:r>
    </w:p>
    <w:p w14:paraId="36416610" w14:textId="77777777" w:rsidR="00DE159A" w:rsidRPr="00A13FCB" w:rsidRDefault="00DE159A" w:rsidP="00DE1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13FCB">
        <w:rPr>
          <w:rFonts w:ascii="Times New Roman" w:hAnsi="Times New Roman"/>
          <w:bCs/>
          <w:sz w:val="24"/>
          <w:szCs w:val="24"/>
        </w:rPr>
        <w:t>End of semester examination: 60%</w:t>
      </w:r>
    </w:p>
    <w:p w14:paraId="05F53FDE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C9FE923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13FCB">
        <w:rPr>
          <w:rFonts w:ascii="Times New Roman" w:hAnsi="Times New Roman"/>
          <w:b/>
          <w:bCs/>
          <w:sz w:val="24"/>
          <w:szCs w:val="24"/>
        </w:rPr>
        <w:t>Reading list</w:t>
      </w:r>
      <w:r w:rsidRPr="00A13FCB">
        <w:rPr>
          <w:rFonts w:ascii="Times New Roman" w:hAnsi="Times New Roman"/>
          <w:bCs/>
          <w:sz w:val="24"/>
          <w:szCs w:val="24"/>
        </w:rPr>
        <w:t xml:space="preserve"> </w:t>
      </w:r>
    </w:p>
    <w:p w14:paraId="0DBFB41E" w14:textId="77777777" w:rsidR="00DE159A" w:rsidRPr="00A13FCB" w:rsidRDefault="00DE159A" w:rsidP="00DE159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13FCB">
        <w:rPr>
          <w:rFonts w:ascii="Times New Roman" w:hAnsi="Times New Roman"/>
          <w:bCs/>
          <w:sz w:val="24"/>
          <w:szCs w:val="24"/>
        </w:rPr>
        <w:t>1.</w:t>
      </w:r>
      <w:r w:rsidRPr="00A13F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Embrechts et al (2002), </w:t>
      </w:r>
      <w:r w:rsidRPr="00A13FCB">
        <w:rPr>
          <w:rFonts w:ascii="Times New Roman" w:hAnsi="Times New Roman"/>
          <w:b/>
          <w:iCs/>
          <w:color w:val="000000"/>
          <w:sz w:val="24"/>
          <w:szCs w:val="24"/>
          <w:shd w:val="clear" w:color="auto" w:fill="FFFFFF"/>
        </w:rPr>
        <w:t>Correlation and dependence in risk management: properties and pitfalls</w:t>
      </w:r>
      <w:r w:rsidRPr="00A13FC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</w:t>
      </w:r>
      <w:r w:rsidRPr="00A13F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13F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Cambridge University Press, Cambridge.</w:t>
      </w:r>
    </w:p>
    <w:p w14:paraId="0E6D928E" w14:textId="77777777" w:rsidR="00DE159A" w:rsidRPr="00957EFC" w:rsidRDefault="00DE159A" w:rsidP="00DE15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57EFC">
        <w:rPr>
          <w:rFonts w:ascii="Times New Roman" w:hAnsi="Times New Roman"/>
          <w:bCs/>
          <w:sz w:val="24"/>
          <w:szCs w:val="24"/>
        </w:rPr>
        <w:t xml:space="preserve">2.A. McNeil, R. Frey, and P. </w:t>
      </w:r>
      <w:proofErr w:type="spellStart"/>
      <w:r w:rsidRPr="00957EFC">
        <w:rPr>
          <w:rFonts w:ascii="Times New Roman" w:hAnsi="Times New Roman"/>
          <w:bCs/>
          <w:sz w:val="24"/>
          <w:szCs w:val="24"/>
        </w:rPr>
        <w:t>Embrechts</w:t>
      </w:r>
      <w:proofErr w:type="spellEnd"/>
      <w:r w:rsidRPr="00957EFC">
        <w:rPr>
          <w:rFonts w:ascii="Times New Roman" w:hAnsi="Times New Roman"/>
          <w:bCs/>
          <w:sz w:val="24"/>
          <w:szCs w:val="24"/>
        </w:rPr>
        <w:t xml:space="preserve"> (2015), </w:t>
      </w:r>
      <w:r w:rsidRPr="00957EFC">
        <w:rPr>
          <w:rFonts w:ascii="Times New Roman" w:hAnsi="Times New Roman"/>
          <w:b/>
          <w:bCs/>
          <w:sz w:val="24"/>
          <w:szCs w:val="24"/>
        </w:rPr>
        <w:t>Quantitative risk management</w:t>
      </w:r>
      <w:r w:rsidRPr="00957EFC">
        <w:rPr>
          <w:rFonts w:ascii="Times New Roman" w:hAnsi="Times New Roman"/>
          <w:bCs/>
          <w:sz w:val="24"/>
          <w:szCs w:val="24"/>
        </w:rPr>
        <w:t>: second revised ed., Princeton Series in Finance, Princeton University Press, Princeton, NJ.</w:t>
      </w:r>
    </w:p>
    <w:p w14:paraId="1C9C1925" w14:textId="77777777" w:rsidR="00DE159A" w:rsidRPr="00191D31" w:rsidRDefault="00DE159A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957EFC">
        <w:rPr>
          <w:rFonts w:ascii="Times New Roman" w:hAnsi="Times New Roman"/>
          <w:sz w:val="24"/>
          <w:szCs w:val="24"/>
        </w:rPr>
        <w:t xml:space="preserve">3.Albrecher, H., and </w:t>
      </w:r>
      <w:proofErr w:type="spellStart"/>
      <w:r w:rsidRPr="00957EFC">
        <w:rPr>
          <w:rFonts w:ascii="Times New Roman" w:hAnsi="Times New Roman"/>
          <w:sz w:val="24"/>
          <w:szCs w:val="24"/>
        </w:rPr>
        <w:t>Teugels</w:t>
      </w:r>
      <w:proofErr w:type="spellEnd"/>
      <w:r w:rsidRPr="00957EFC">
        <w:rPr>
          <w:rFonts w:ascii="Times New Roman" w:hAnsi="Times New Roman"/>
          <w:sz w:val="24"/>
          <w:szCs w:val="24"/>
        </w:rPr>
        <w:t xml:space="preserve">, J. (2006), </w:t>
      </w:r>
      <w:r w:rsidRPr="00EB79D3">
        <w:rPr>
          <w:rFonts w:ascii="Times New Roman" w:eastAsia="CMR12" w:hAnsi="Times New Roman"/>
          <w:b/>
          <w:sz w:val="24"/>
          <w:szCs w:val="24"/>
        </w:rPr>
        <w:t xml:space="preserve">Exponential </w:t>
      </w:r>
      <w:proofErr w:type="spellStart"/>
      <w:r w:rsidRPr="00EB79D3">
        <w:rPr>
          <w:rFonts w:ascii="Times New Roman" w:eastAsia="CMR12" w:hAnsi="Times New Roman"/>
          <w:b/>
          <w:sz w:val="24"/>
          <w:szCs w:val="24"/>
        </w:rPr>
        <w:t>behavior</w:t>
      </w:r>
      <w:proofErr w:type="spellEnd"/>
      <w:r w:rsidRPr="00EB79D3">
        <w:rPr>
          <w:rFonts w:ascii="Times New Roman" w:eastAsia="CMR12" w:hAnsi="Times New Roman"/>
          <w:b/>
          <w:sz w:val="24"/>
          <w:szCs w:val="24"/>
        </w:rPr>
        <w:t xml:space="preserve"> in the presence of dependence in risk theory</w:t>
      </w:r>
      <w:r w:rsidRPr="00191D31">
        <w:rPr>
          <w:rFonts w:ascii="Times New Roman" w:eastAsia="CMR12" w:hAnsi="Times New Roman"/>
          <w:sz w:val="24"/>
          <w:szCs w:val="24"/>
        </w:rPr>
        <w:t xml:space="preserve">. </w:t>
      </w:r>
      <w:r w:rsidRPr="00191D31">
        <w:rPr>
          <w:rFonts w:ascii="Times New Roman" w:hAnsi="Times New Roman"/>
          <w:iCs/>
          <w:sz w:val="24"/>
          <w:szCs w:val="24"/>
        </w:rPr>
        <w:t>Journal of Applied Probability.</w:t>
      </w:r>
    </w:p>
    <w:p w14:paraId="04B83123" w14:textId="667A5129" w:rsidR="00DE159A" w:rsidRPr="008B55BC" w:rsidRDefault="00DE159A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2" w:hAnsi="Times New Roman"/>
          <w:sz w:val="24"/>
          <w:szCs w:val="24"/>
        </w:rPr>
      </w:pPr>
      <w:r w:rsidRPr="00880B16">
        <w:rPr>
          <w:rFonts w:ascii="Times New Roman" w:hAnsi="Times New Roman"/>
          <w:sz w:val="24"/>
          <w:szCs w:val="24"/>
        </w:rPr>
        <w:t xml:space="preserve">4.Asmussen, S., and </w:t>
      </w:r>
      <w:proofErr w:type="spellStart"/>
      <w:r w:rsidRPr="00880B16">
        <w:rPr>
          <w:rFonts w:ascii="Times New Roman" w:hAnsi="Times New Roman"/>
          <w:sz w:val="24"/>
          <w:szCs w:val="24"/>
        </w:rPr>
        <w:t>Albrecher</w:t>
      </w:r>
      <w:proofErr w:type="spellEnd"/>
      <w:r w:rsidRPr="00880B16">
        <w:rPr>
          <w:rFonts w:ascii="Times New Roman" w:hAnsi="Times New Roman"/>
          <w:sz w:val="24"/>
          <w:szCs w:val="24"/>
        </w:rPr>
        <w:t xml:space="preserve">, H. (2010), </w:t>
      </w:r>
      <w:r w:rsidRPr="00871602">
        <w:rPr>
          <w:rFonts w:ascii="Times New Roman" w:hAnsi="Times New Roman"/>
          <w:b/>
          <w:iCs/>
          <w:sz w:val="24"/>
          <w:szCs w:val="24"/>
        </w:rPr>
        <w:t xml:space="preserve">Ruin </w:t>
      </w:r>
      <w:proofErr w:type="spellStart"/>
      <w:r w:rsidRPr="00871602">
        <w:rPr>
          <w:rFonts w:ascii="Times New Roman" w:hAnsi="Times New Roman"/>
          <w:b/>
          <w:iCs/>
          <w:sz w:val="24"/>
          <w:szCs w:val="24"/>
        </w:rPr>
        <w:t>proabilities</w:t>
      </w:r>
      <w:proofErr w:type="spellEnd"/>
      <w:r w:rsidRPr="00A13FCB">
        <w:rPr>
          <w:rFonts w:ascii="Times New Roman" w:hAnsi="Times New Roman"/>
          <w:iCs/>
          <w:sz w:val="24"/>
          <w:szCs w:val="24"/>
        </w:rPr>
        <w:t>. Advanced series on Statistical Science and Applied Probability</w:t>
      </w:r>
      <w:r w:rsidRPr="00A13FCB">
        <w:rPr>
          <w:rFonts w:ascii="Times New Roman" w:eastAsia="CMR12" w:hAnsi="Times New Roman"/>
          <w:sz w:val="24"/>
          <w:szCs w:val="24"/>
        </w:rPr>
        <w:t>.</w:t>
      </w:r>
    </w:p>
    <w:p w14:paraId="2941CB41" w14:textId="77777777" w:rsidR="00DE159A" w:rsidRPr="00A13FCB" w:rsidRDefault="00DE159A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2" w:hAnsi="Times New Roman"/>
          <w:b/>
          <w:sz w:val="24"/>
          <w:szCs w:val="24"/>
        </w:rPr>
      </w:pPr>
      <w:r w:rsidRPr="00A13FCB">
        <w:rPr>
          <w:rFonts w:ascii="Times New Roman" w:hAnsi="Times New Roman"/>
          <w:sz w:val="24"/>
          <w:szCs w:val="24"/>
        </w:rPr>
        <w:t xml:space="preserve">5.Cossette, H., Marceau, E., and Marri, </w:t>
      </w:r>
      <w:proofErr w:type="gramStart"/>
      <w:r w:rsidRPr="00A13FCB">
        <w:rPr>
          <w:rFonts w:ascii="Times New Roman" w:hAnsi="Times New Roman"/>
          <w:sz w:val="24"/>
          <w:szCs w:val="24"/>
        </w:rPr>
        <w:t>F.(</w:t>
      </w:r>
      <w:proofErr w:type="gramEnd"/>
      <w:r w:rsidRPr="00A13FCB">
        <w:rPr>
          <w:rFonts w:ascii="Times New Roman" w:hAnsi="Times New Roman"/>
          <w:sz w:val="24"/>
          <w:szCs w:val="24"/>
        </w:rPr>
        <w:t xml:space="preserve">2010), </w:t>
      </w:r>
      <w:r w:rsidRPr="00A13FCB">
        <w:rPr>
          <w:rFonts w:ascii="Times New Roman" w:eastAsia="CMR12" w:hAnsi="Times New Roman"/>
          <w:b/>
          <w:sz w:val="24"/>
          <w:szCs w:val="24"/>
        </w:rPr>
        <w:t>Analysis of ruin measures for the</w:t>
      </w:r>
    </w:p>
    <w:p w14:paraId="5C1F57A6" w14:textId="77777777" w:rsidR="00DE159A" w:rsidRDefault="00DE159A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A13FCB">
        <w:rPr>
          <w:rFonts w:ascii="Times New Roman" w:eastAsia="CMR12" w:hAnsi="Times New Roman"/>
          <w:b/>
          <w:sz w:val="24"/>
          <w:szCs w:val="24"/>
        </w:rPr>
        <w:t>classical compound Poisson risk model with dependence</w:t>
      </w:r>
      <w:r w:rsidRPr="00A13FCB">
        <w:rPr>
          <w:rFonts w:ascii="Times New Roman" w:eastAsia="CMR12" w:hAnsi="Times New Roman"/>
          <w:sz w:val="24"/>
          <w:szCs w:val="24"/>
        </w:rPr>
        <w:t xml:space="preserve">. </w:t>
      </w:r>
      <w:r w:rsidRPr="00A13FCB">
        <w:rPr>
          <w:rFonts w:ascii="Times New Roman" w:hAnsi="Times New Roman"/>
          <w:iCs/>
          <w:sz w:val="24"/>
          <w:szCs w:val="24"/>
        </w:rPr>
        <w:t>Scandinavian Actuarial Journal</w:t>
      </w:r>
    </w:p>
    <w:p w14:paraId="77718544" w14:textId="77777777" w:rsidR="00CE2A38" w:rsidRDefault="00CE2A38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7B8B1C7" w14:textId="61C1B83D" w:rsidR="00CE2A38" w:rsidRDefault="00353669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hyperlink r:id="rId5" w:history="1">
        <w:r w:rsidR="00CE2A38" w:rsidRPr="00F014B4">
          <w:rPr>
            <w:rStyle w:val="Hyperlink"/>
            <w:rFonts w:ascii="Times New Roman" w:hAnsi="Times New Roman"/>
            <w:iCs/>
            <w:sz w:val="24"/>
            <w:szCs w:val="24"/>
          </w:rPr>
          <w:t>https://www.scribbr.com/methodology/ethnography/</w:t>
        </w:r>
      </w:hyperlink>
    </w:p>
    <w:p w14:paraId="39DD9362" w14:textId="77777777" w:rsidR="00CE2A38" w:rsidRPr="00A13FCB" w:rsidRDefault="00CE2A38" w:rsidP="00DE1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5B415615" w14:textId="77777777" w:rsidR="00414537" w:rsidRDefault="00414537"/>
    <w:sectPr w:rsidR="0041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3A2"/>
    <w:multiLevelType w:val="multilevel"/>
    <w:tmpl w:val="F5C8A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01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A3D8B"/>
    <w:multiLevelType w:val="hybridMultilevel"/>
    <w:tmpl w:val="58785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6331">
    <w:abstractNumId w:val="0"/>
  </w:num>
  <w:num w:numId="2" w16cid:durableId="201641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9A"/>
    <w:rsid w:val="0003352C"/>
    <w:rsid w:val="0016194C"/>
    <w:rsid w:val="00291CA2"/>
    <w:rsid w:val="00330D43"/>
    <w:rsid w:val="00353669"/>
    <w:rsid w:val="00414537"/>
    <w:rsid w:val="005F3011"/>
    <w:rsid w:val="00681AFB"/>
    <w:rsid w:val="008758D9"/>
    <w:rsid w:val="008B55BC"/>
    <w:rsid w:val="00905A29"/>
    <w:rsid w:val="00990446"/>
    <w:rsid w:val="009F6511"/>
    <w:rsid w:val="00BD2CC9"/>
    <w:rsid w:val="00CE2A38"/>
    <w:rsid w:val="00DE159A"/>
    <w:rsid w:val="00F54651"/>
    <w:rsid w:val="00FA1CEC"/>
    <w:rsid w:val="00FD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4934"/>
  <w15:chartTrackingRefBased/>
  <w15:docId w15:val="{38F246C5-D845-4E75-BAC2-DDE8A5FB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9A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59A"/>
    <w:pPr>
      <w:keepNext/>
      <w:numPr>
        <w:ilvl w:val="1"/>
        <w:numId w:val="1"/>
      </w:numPr>
      <w:spacing w:before="240" w:after="60"/>
      <w:outlineLvl w:val="1"/>
    </w:pPr>
    <w:rPr>
      <w:rFonts w:ascii="Times New Roman Bold" w:eastAsia="Times New Roman" w:hAnsi="Times New Roman Bold"/>
      <w:b/>
      <w:bCs/>
      <w:iCs/>
      <w:sz w:val="24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59A"/>
    <w:pPr>
      <w:keepNext/>
      <w:numPr>
        <w:ilvl w:val="2"/>
        <w:numId w:val="1"/>
      </w:numPr>
      <w:spacing w:before="240" w:after="60"/>
      <w:outlineLvl w:val="2"/>
    </w:pPr>
    <w:rPr>
      <w:rFonts w:ascii="Times New Roman Bold" w:eastAsia="Times New Roman" w:hAnsi="Times New Roman Bold"/>
      <w:b/>
      <w:bCs/>
      <w:sz w:val="24"/>
      <w:szCs w:val="26"/>
      <w:lang w:eastAsia="x-none"/>
    </w:rPr>
  </w:style>
  <w:style w:type="paragraph" w:styleId="Heading4">
    <w:name w:val="heading 4"/>
    <w:basedOn w:val="Title"/>
    <w:next w:val="Normal"/>
    <w:link w:val="Heading4Char"/>
    <w:qFormat/>
    <w:rsid w:val="00DE159A"/>
    <w:pPr>
      <w:numPr>
        <w:ilvl w:val="3"/>
        <w:numId w:val="1"/>
      </w:numPr>
      <w:contextualSpacing w:val="0"/>
      <w:jc w:val="center"/>
      <w:outlineLvl w:val="3"/>
    </w:pPr>
    <w:rPr>
      <w:rFonts w:ascii="Times New Roman" w:eastAsia="Times New Roman" w:hAnsi="Times New Roman" w:cs="Times New Roman"/>
      <w:b/>
      <w:bCs/>
      <w:spacing w:val="0"/>
      <w:kern w:val="0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9A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9A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59A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159A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9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59A"/>
    <w:rPr>
      <w:rFonts w:ascii="Times New Roman Bold" w:eastAsia="Times New Roman" w:hAnsi="Times New Roman Bold" w:cs="Times New Roman"/>
      <w:b/>
      <w:bCs/>
      <w:iCs/>
      <w:kern w:val="0"/>
      <w:sz w:val="24"/>
      <w:szCs w:val="28"/>
      <w:lang w:val="en-GB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159A"/>
    <w:rPr>
      <w:rFonts w:ascii="Times New Roman Bold" w:eastAsia="Times New Roman" w:hAnsi="Times New Roman Bold" w:cs="Times New Roman"/>
      <w:b/>
      <w:bCs/>
      <w:kern w:val="0"/>
      <w:sz w:val="24"/>
      <w:szCs w:val="26"/>
      <w:lang w:val="en-GB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DE159A"/>
    <w:rPr>
      <w:rFonts w:ascii="Times New Roman" w:eastAsia="Times New Roman" w:hAnsi="Times New Roman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9A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GB" w:eastAsia="x-non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9A"/>
    <w:rPr>
      <w:rFonts w:ascii="Calibri" w:eastAsia="Times New Roman" w:hAnsi="Calibri" w:cs="Times New Roman"/>
      <w:b/>
      <w:bCs/>
      <w:kern w:val="0"/>
      <w:lang w:val="en-GB" w:eastAsia="x-non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DE159A"/>
    <w:rPr>
      <w:rFonts w:ascii="Calibri" w:eastAsia="Times New Roman" w:hAnsi="Calibri" w:cs="Times New Roman"/>
      <w:kern w:val="0"/>
      <w:sz w:val="24"/>
      <w:szCs w:val="24"/>
      <w:lang w:val="en-GB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DE159A"/>
    <w:rPr>
      <w:rFonts w:ascii="Calibri" w:eastAsia="Times New Roman" w:hAnsi="Calibri" w:cs="Times New Roman"/>
      <w:i/>
      <w:iCs/>
      <w:kern w:val="0"/>
      <w:sz w:val="24"/>
      <w:szCs w:val="24"/>
      <w:lang w:val="en-GB" w:eastAsia="x-none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9A"/>
    <w:rPr>
      <w:rFonts w:ascii="Cambria" w:eastAsia="Times New Roman" w:hAnsi="Cambria" w:cs="Times New Roman"/>
      <w:kern w:val="0"/>
      <w:lang w:val="en-GB" w:eastAsia="x-none"/>
      <w14:ligatures w14:val="none"/>
    </w:rPr>
  </w:style>
  <w:style w:type="paragraph" w:styleId="NormalWeb">
    <w:name w:val="Normal (Web)"/>
    <w:basedOn w:val="Normal"/>
    <w:uiPriority w:val="99"/>
    <w:unhideWhenUsed/>
    <w:rsid w:val="00DE15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159A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DE1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E2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bbr.com/methodology/ethnograph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Zahor Hamad</dc:creator>
  <cp:keywords/>
  <dc:description/>
  <cp:lastModifiedBy>Microsoft Office User</cp:lastModifiedBy>
  <cp:revision>19</cp:revision>
  <cp:lastPrinted>2023-11-21T18:20:00Z</cp:lastPrinted>
  <dcterms:created xsi:type="dcterms:W3CDTF">2023-11-21T18:08:00Z</dcterms:created>
  <dcterms:modified xsi:type="dcterms:W3CDTF">2024-11-08T08:53:00Z</dcterms:modified>
</cp:coreProperties>
</file>