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 w:after="60"/>
      </w:pPr>
      <w:r>
        <w:t xml:space="preserve"/>
      </w:r>
    </w:p>
    <w:p>
      <w:pPr>
        <w:spacing w:before="60" w:after="60"/>
      </w:pPr>
      <w:r>
        <w:t xml:space="preserve"/>
      </w:r>
    </w:p>
    <w:p>
      <w:pPr>
        <w:spacing w:before="60" w:after="60"/>
      </w:pPr>
      <w:r>
        <w:t xml:space="preserve"/>
      </w:r>
    </w:p>
    <w:p>
      <w:pPr>
        <w:spacing w:before="0" w:after="120"/>
        <w:jc w:val="center"/>
      </w:pPr>
      <w:r>
        <w:rPr>
          <w:rFonts w:ascii="Arial" w:cs="Arial" w:eastAsia="Arial" w:hAnsi="Arial"/>
          <w:b/>
          <w:bCs/>
          <w:color w:val="1E3A5F"/>
          <w:sz w:val="48"/>
          <w:szCs w:val="48"/>
        </w:rPr>
        <w:t xml:space="preserve">Domain-Specific Assistant via LLM Fine-Tuning</w:t>
      </w:r>
    </w:p>
    <w:p>
      <w:pPr>
        <w:spacing w:before="0" w:after="80"/>
        <w:jc w:val="center"/>
      </w:pPr>
      <w:r>
        <w:rPr>
          <w:rFonts w:ascii="Arial" w:cs="Arial" w:eastAsia="Arial" w:hAnsi="Arial"/>
          <w:color w:val="2E5090"/>
          <w:sz w:val="28"/>
          <w:szCs w:val="28"/>
        </w:rPr>
        <w:t xml:space="preserve">Medical Assistant Chatbot — TinyLlama Fine-tuned with LoRA</w:t>
      </w:r>
    </w:p>
    <w:p>
      <w:pPr>
        <w:spacing w:before="60" w:after="60"/>
      </w:pPr>
      <w:r>
        <w:t xml:space="preserve"/>
      </w:r>
    </w:p>
    <w:p>
      <w:pPr>
        <w:jc w:val="center"/>
      </w:pPr>
      <w:r>
        <w:rPr>
          <w:rFonts w:ascii="Arial" w:cs="Arial" w:eastAsia="Arial" w:hAnsi="Arial"/>
          <w:sz w:val="24"/>
          <w:szCs w:val="24"/>
        </w:rPr>
        <w:t xml:space="preserve">Submitted by: Fadhil</w:t>
      </w:r>
    </w:p>
    <w:p>
      <w:pPr>
        <w:jc w:val="center"/>
      </w:pPr>
      <w:r>
        <w:rPr>
          <w:rFonts w:ascii="Arial" w:cs="Arial" w:eastAsia="Arial" w:hAnsi="Arial"/>
          <w:sz w:val="24"/>
          <w:szCs w:val="24"/>
        </w:rPr>
        <w:t xml:space="preserve">Course: ML Techniques</w:t>
      </w:r>
    </w:p>
    <w:p>
      <w:pPr>
        <w:jc w:val="center"/>
      </w:pPr>
      <w:r>
        <w:rPr>
          <w:rFonts w:ascii="Arial" w:cs="Arial" w:eastAsia="Arial" w:hAnsi="Arial"/>
          <w:sz w:val="24"/>
          <w:szCs w:val="24"/>
        </w:rPr>
        <w:t xml:space="preserve">Date: February 2026</w:t>
      </w:r>
    </w:p>
    <w:p>
      <w:pPr>
        <w:spacing w:before="60" w:after="60"/>
      </w:pPr>
      <w:r>
        <w:t xml:space="preserve"/>
      </w:r>
    </w:p>
    <w:p>
      <w:pPr>
        <w:jc w:val="center"/>
      </w:pPr>
      <w:r>
        <w:rPr>
          <w:rFonts w:ascii="Arial" w:cs="Arial" w:eastAsia="Arial" w:hAnsi="Arial"/>
          <w:color w:val="2563EB"/>
          <w:sz w:val="22"/>
          <w:szCs w:val="22"/>
        </w:rPr>
        <w:t xml:space="preserve">Live Demo: huggingface.co/spaces/fadhuweb/medical-assistant</w:t>
      </w:r>
    </w:p>
    <w:p>
      <w:pPr>
        <w:jc w:val="center"/>
      </w:pPr>
      <w:r>
        <w:rPr>
          <w:rFonts w:ascii="Arial" w:cs="Arial" w:eastAsia="Arial" w:hAnsi="Arial"/>
          <w:color w:val="2563EB"/>
          <w:sz w:val="22"/>
          <w:szCs w:val="22"/>
        </w:rPr>
        <w:t xml:space="preserve">Model: huggingface.co/fadhuweb/medical-assistant-model</w:t>
      </w:r>
    </w:p>
    <w:p>
      <w:pPr>
        <w:spacing w:before="60" w:after="60"/>
      </w:pPr>
      <w:r>
        <w:t xml:space="preserve"/>
      </w:r>
    </w:p>
    <w:p>
      <w:pPr>
        <w:spacing w:before="60" w:after="60"/>
      </w:pPr>
      <w:r>
        <w:t xml:space="preserve"/>
      </w:r>
    </w:p>
    <w:p>
      <w:r>
        <w:br w:type="page"/>
      </w:r>
    </w:p>
    <w:p>
      <w:pPr>
        <w:pStyle w:val="Heading1"/>
        <w:spacing w:before="360" w:after="120"/>
      </w:pPr>
      <w:r>
        <w:rPr>
          <w:rFonts w:ascii="Arial" w:cs="Arial" w:eastAsia="Arial" w:hAnsi="Arial"/>
          <w:b/>
          <w:bCs/>
          <w:color w:val="1E3A5F"/>
          <w:sz w:val="32"/>
          <w:szCs w:val="32"/>
        </w:rPr>
        <w:t xml:space="preserve">1. Project Definition and Domain Alignment</w:t>
      </w:r>
    </w:p>
    <w:p>
      <w:pPr>
        <w:spacing w:before="80" w:after="100"/>
      </w:pPr>
      <w:r>
        <w:rPr>
          <w:rFonts w:ascii="Arial" w:cs="Arial" w:eastAsia="Arial" w:hAnsi="Arial"/>
          <w:b w:val="false"/>
          <w:bCs w:val="false"/>
          <w:color w:val="000000"/>
          <w:sz w:val="22"/>
          <w:szCs w:val="22"/>
        </w:rPr>
        <w:t xml:space="preserve">This project develops a healthcare domain-specific conversational AI assistant by fine-tuning TinyLlama-1.1B-Chat [1] using Low-Rank Adaptation (LoRA) [2]. The assistant is designed to answer medical questions covering symptoms, treatments, prevention strategies, and general health advice.</w:t>
      </w:r>
    </w:p>
    <w:p>
      <w:pPr>
        <w:spacing w:before="60" w:after="60"/>
      </w:pPr>
      <w:r>
        <w:t xml:space="preserve"/>
      </w:r>
    </w:p>
    <w:p>
      <w:pPr>
        <w:spacing w:before="80" w:after="100"/>
      </w:pPr>
      <w:r>
        <w:rPr>
          <w:rFonts w:ascii="Arial" w:cs="Arial" w:eastAsia="Arial" w:hAnsi="Arial"/>
          <w:b w:val="false"/>
          <w:bCs w:val="false"/>
          <w:color w:val="000000"/>
          <w:sz w:val="22"/>
          <w:szCs w:val="22"/>
        </w:rPr>
        <w:t xml:space="preserve">The application of large language models (LLMs) to healthcare has grown significantly following the success of transformer-based architectures [3]. However, general-purpose pre-trained models often lack the domain-specific knowledge necessary to provide accurate medical responses [4]. Fine-tuning on curated medical datasets is widely recognised as an effective approach to address this limitation [5].</w:t>
      </w:r>
    </w:p>
    <w:p>
      <w:pPr>
        <w:spacing w:before="60" w:after="60"/>
      </w:pPr>
      <w:r>
        <w:t xml:space="preserve"/>
      </w:r>
    </w:p>
    <w:p>
      <w:pPr>
        <w:spacing w:before="80" w:after="100"/>
      </w:pPr>
      <w:r>
        <w:rPr>
          <w:rFonts w:ascii="Arial" w:cs="Arial" w:eastAsia="Arial" w:hAnsi="Arial"/>
          <w:b w:val="false"/>
          <w:bCs w:val="false"/>
          <w:color w:val="000000"/>
          <w:sz w:val="22"/>
          <w:szCs w:val="22"/>
        </w:rPr>
        <w:t xml:space="preserve">TinyLlama [1] was selected as the base model due to its balance between capability and computational efficiency, making it suitable for training on Google Colab's free T4 GPU. LoRA [2] was adopted as the fine-tuning strategy because it enables effective domain adaptation by training only a small fraction of total model parameters. Studies have shown that parameter-efficient methods such as LoRA can achieve performance comparable to full fine-tuning while reducing trainable parameters by over 90% [6].</w:t>
      </w:r>
    </w:p>
    <w:p>
      <w:pPr>
        <w:spacing w:before="60" w:after="60"/>
      </w:pPr>
      <w:r>
        <w:t xml:space="preserve"/>
      </w:r>
    </w:p>
    <w:p>
      <w:pPr>
        <w:spacing w:before="80" w:after="100"/>
      </w:pPr>
      <w:r>
        <w:rPr>
          <w:rFonts w:ascii="Arial" w:cs="Arial" w:eastAsia="Arial" w:hAnsi="Arial"/>
          <w:b w:val="false"/>
          <w:bCs w:val="false"/>
          <w:color w:val="000000"/>
          <w:sz w:val="22"/>
          <w:szCs w:val="22"/>
        </w:rPr>
        <w:t xml:space="preserve">The final assistant is deployed as an interactive Gradio [7] web application on Hugging Face Spaces with ZeroGPU, making it publicly accessible.</w:t>
      </w:r>
    </w:p>
    <w:p>
      <w:pPr>
        <w:spacing w:before="60" w:after="60"/>
      </w:pPr>
      <w:r>
        <w:t xml:space="preserve"/>
      </w:r>
    </w:p>
    <w:p>
      <w:pPr>
        <w:spacing w:before="80" w:after="80"/>
      </w:pPr>
      <w:r>
        <w:rPr>
          <w:rFonts w:ascii="Arial" w:cs="Arial" w:eastAsia="Arial" w:hAnsi="Arial"/>
          <w:b/>
          <w:bCs/>
          <w:color w:val="D97706"/>
          <w:sz w:val="22"/>
          <w:szCs w:val="22"/>
        </w:rPr>
        <w:t xml:space="preserve">Disclaimer: </w:t>
      </w:r>
      <w:r>
        <w:rPr>
          <w:rFonts w:ascii="Arial" w:cs="Arial" w:eastAsia="Arial" w:hAnsi="Arial"/>
          <w:color w:val="D97706"/>
          <w:sz w:val="22"/>
          <w:szCs w:val="22"/>
        </w:rPr>
        <w:t xml:space="preserve">This assistant is strictly for educational purposes and does not replace professional medical advice.</w:t>
      </w:r>
    </w:p>
    <w:p>
      <w:pPr>
        <w:spacing w:before="60" w:after="60"/>
      </w:pPr>
      <w:r>
        <w:t xml:space="preserve"/>
      </w:r>
    </w:p>
    <w:p>
      <w:r>
        <w:br w:type="page"/>
      </w:r>
    </w:p>
    <w:p>
      <w:pPr>
        <w:pStyle w:val="Heading1"/>
        <w:spacing w:before="360" w:after="120"/>
      </w:pPr>
      <w:r>
        <w:rPr>
          <w:rFonts w:ascii="Arial" w:cs="Arial" w:eastAsia="Arial" w:hAnsi="Arial"/>
          <w:b/>
          <w:bCs/>
          <w:color w:val="1E3A5F"/>
          <w:sz w:val="32"/>
          <w:szCs w:val="32"/>
        </w:rPr>
        <w:t xml:space="preserve">2. Dataset Collection and Preprocessing</w:t>
      </w:r>
    </w:p>
    <w:p>
      <w:pPr>
        <w:pStyle w:val="Heading2"/>
        <w:spacing w:before="240" w:after="100"/>
      </w:pPr>
      <w:r>
        <w:rPr>
          <w:rFonts w:ascii="Arial" w:cs="Arial" w:eastAsia="Arial" w:hAnsi="Arial"/>
          <w:b/>
          <w:bCs/>
          <w:color w:val="2E5090"/>
          <w:sz w:val="26"/>
          <w:szCs w:val="26"/>
        </w:rPr>
        <w:t xml:space="preserve">2.1 Dataset Source</w:t>
      </w:r>
    </w:p>
    <w:p>
      <w:pPr>
        <w:spacing w:before="80" w:after="100"/>
      </w:pPr>
      <w:r>
        <w:rPr>
          <w:rFonts w:ascii="Arial" w:cs="Arial" w:eastAsia="Arial" w:hAnsi="Arial"/>
          <w:b w:val="false"/>
          <w:bCs w:val="false"/>
          <w:color w:val="000000"/>
          <w:sz w:val="22"/>
          <w:szCs w:val="22"/>
        </w:rPr>
        <w:t xml:space="preserve">The dataset used is </w:t>
      </w:r>
      <w:r>
        <w:rPr>
          <w:rFonts w:ascii="Arial" w:cs="Arial" w:eastAsia="Arial" w:hAnsi="Arial"/>
          <w:b/>
          <w:bCs/>
          <w:color w:val="000000"/>
          <w:sz w:val="22"/>
          <w:szCs w:val="22"/>
        </w:rPr>
        <w:t xml:space="preserve">medalpaca/medical_meadow_medical_flashcards</w:t>
      </w:r>
      <w:r>
        <w:rPr>
          <w:rFonts w:ascii="Arial" w:cs="Arial" w:eastAsia="Arial" w:hAnsi="Arial"/>
          <w:b w:val="false"/>
          <w:bCs w:val="false"/>
          <w:color w:val="000000"/>
          <w:sz w:val="22"/>
          <w:szCs w:val="22"/>
        </w:rPr>
        <w:t xml:space="preserve"> [8], sourced from the Hugging Face Datasets Hub. It consists of high-quality medical question-and-answer pairs derived from medical flashcard content, covering pharmacology, physiology, pathology, and clinical practice.</w:t>
      </w:r>
    </w:p>
    <w:p>
      <w:pPr>
        <w:spacing w:before="60" w:after="60"/>
      </w:pPr>
      <w:r>
        <w:t xml:space="preserve"/>
      </w:r>
    </w:p>
    <w:p>
      <w:pPr>
        <w:spacing w:before="80" w:after="100"/>
      </w:pPr>
      <w:r>
        <w:rPr>
          <w:rFonts w:ascii="Arial" w:cs="Arial" w:eastAsia="Arial" w:hAnsi="Arial"/>
          <w:sz w:val="22"/>
          <w:szCs w:val="22"/>
        </w:rPr>
        <w:t xml:space="preserve">The dataset was selected for the following reasons:</w:t>
      </w:r>
    </w:p>
    <w:p>
      <w:pPr>
        <w:pStyle w:val="ListParagraph"/>
        <w:numPr>
          <w:ilvl w:val="0"/>
          <w:numId w:val="2"/>
        </w:numPr>
        <w:spacing w:before="40" w:after="40"/>
      </w:pPr>
      <w:r>
        <w:rPr>
          <w:rFonts w:ascii="Arial" w:cs="Arial" w:eastAsia="Arial" w:hAnsi="Arial"/>
          <w:b w:val="false"/>
          <w:bCs w:val="false"/>
          <w:sz w:val="22"/>
          <w:szCs w:val="22"/>
        </w:rPr>
        <w:t xml:space="preserve">It is domain-specific and directly aligned with the healthcare assistant objective.</w:t>
      </w:r>
    </w:p>
    <w:p>
      <w:pPr>
        <w:pStyle w:val="ListParagraph"/>
        <w:numPr>
          <w:ilvl w:val="0"/>
          <w:numId w:val="2"/>
        </w:numPr>
        <w:spacing w:before="40" w:after="40"/>
      </w:pPr>
      <w:r>
        <w:rPr>
          <w:rFonts w:ascii="Arial" w:cs="Arial" w:eastAsia="Arial" w:hAnsi="Arial"/>
          <w:b w:val="false"/>
          <w:bCs w:val="false"/>
          <w:sz w:val="22"/>
          <w:szCs w:val="22"/>
        </w:rPr>
        <w:t xml:space="preserve">The flashcard format maps naturally to the instruction-response template required for instruction-tuned generative models [9].</w:t>
      </w:r>
    </w:p>
    <w:p>
      <w:pPr>
        <w:pStyle w:val="ListParagraph"/>
        <w:numPr>
          <w:ilvl w:val="0"/>
          <w:numId w:val="2"/>
        </w:numPr>
        <w:spacing w:before="40" w:after="40"/>
      </w:pPr>
      <w:r>
        <w:rPr>
          <w:rFonts w:ascii="Arial" w:cs="Arial" w:eastAsia="Arial" w:hAnsi="Arial"/>
          <w:b w:val="false"/>
          <w:bCs w:val="false"/>
          <w:sz w:val="22"/>
          <w:szCs w:val="22"/>
        </w:rPr>
        <w:t xml:space="preserve">It provides diverse coverage across medical subfields, supporting generalisation across query types [5].</w:t>
      </w:r>
    </w:p>
    <w:p>
      <w:pPr>
        <w:pStyle w:val="ListParagraph"/>
        <w:numPr>
          <w:ilvl w:val="0"/>
          <w:numId w:val="2"/>
        </w:numPr>
        <w:spacing w:before="40" w:after="40"/>
      </w:pPr>
      <w:r>
        <w:rPr>
          <w:rFonts w:ascii="Arial" w:cs="Arial" w:eastAsia="Arial" w:hAnsi="Arial"/>
          <w:b w:val="false"/>
          <w:bCs w:val="false"/>
          <w:sz w:val="22"/>
          <w:szCs w:val="22"/>
        </w:rPr>
        <w:t xml:space="preserve">It is publicly available on Hugging Face, ensuring full reproducibility.</w:t>
      </w:r>
    </w:p>
    <w:p>
      <w:pPr>
        <w:spacing w:before="60" w:after="60"/>
      </w:pPr>
      <w:r>
        <w:t xml:space="preserve"/>
      </w:r>
    </w:p>
    <w:p>
      <w:pPr>
        <w:pStyle w:val="Heading2"/>
        <w:spacing w:before="240" w:after="100"/>
      </w:pPr>
      <w:r>
        <w:rPr>
          <w:rFonts w:ascii="Arial" w:cs="Arial" w:eastAsia="Arial" w:hAnsi="Arial"/>
          <w:b/>
          <w:bCs/>
          <w:color w:val="2E5090"/>
          <w:sz w:val="26"/>
          <w:szCs w:val="26"/>
        </w:rPr>
        <w:t xml:space="preserve">2.2 Preprocessing Pipeline</w:t>
      </w:r>
    </w:p>
    <w:p>
      <w:pPr>
        <w:spacing w:before="80" w:after="100"/>
      </w:pPr>
      <w:r>
        <w:rPr>
          <w:rFonts w:ascii="Arial" w:cs="Arial" w:eastAsia="Arial" w:hAnsi="Arial"/>
          <w:b w:val="false"/>
          <w:bCs w:val="false"/>
          <w:color w:val="000000"/>
          <w:sz w:val="22"/>
          <w:szCs w:val="22"/>
        </w:rPr>
        <w:t xml:space="preserve">A comprehensive preprocessing pipeline was applied to prepare the dataset for supervised fine-tuning (SFT) [9].</w:t>
      </w:r>
    </w:p>
    <w:p>
      <w:pPr>
        <w:spacing w:before="60" w:after="60"/>
      </w:pPr>
      <w:r>
        <w:t xml:space="preserve"/>
      </w:r>
    </w:p>
    <w:p>
      <w:pPr>
        <w:spacing w:before="200" w:after="80"/>
      </w:pPr>
      <w:r>
        <w:rPr>
          <w:rFonts w:ascii="Arial" w:cs="Arial" w:eastAsia="Arial" w:hAnsi="Arial"/>
          <w:b/>
          <w:bCs/>
          <w:color w:val="333333"/>
          <w:sz w:val="24"/>
          <w:szCs w:val="24"/>
        </w:rPr>
        <w:t xml:space="preserve">Formatting</w:t>
      </w:r>
    </w:p>
    <w:p>
      <w:pPr>
        <w:spacing w:before="80" w:after="100"/>
      </w:pPr>
      <w:r>
        <w:rPr>
          <w:rFonts w:ascii="Arial" w:cs="Arial" w:eastAsia="Arial" w:hAnsi="Arial"/>
          <w:b w:val="false"/>
          <w:bCs w:val="false"/>
          <w:color w:val="000000"/>
          <w:sz w:val="22"/>
          <w:szCs w:val="22"/>
        </w:rPr>
        <w:t xml:space="preserve">Each sample was reformatted into the TinyLlama chat template, consistent with the instruction-following format established in the model's original training [1]:</w:t>
      </w:r>
    </w:p>
    <w:p>
      <w:pPr>
        <w:shd w:fill="F3F4F6" w:val="clear"/>
        <w:spacing w:before="80" w:after="80"/>
      </w:pPr>
      <w:r>
        <w:rPr>
          <w:rFonts w:ascii="Courier New" w:cs="Courier New" w:eastAsia="Courier New" w:hAnsi="Courier New"/>
          <w:color w:val="1F2937"/>
          <w:sz w:val="20"/>
          <w:szCs w:val="20"/>
        </w:rPr>
        <w:t xml:space="preserve">&lt;|user|&gt;\n{question}\n&lt;|assistant|&gt;\n{answer}</w:t>
      </w:r>
    </w:p>
    <w:p>
      <w:pPr>
        <w:spacing w:before="60" w:after="60"/>
      </w:pPr>
      <w:r>
        <w:t xml:space="preserve"/>
      </w:r>
    </w:p>
    <w:p>
      <w:pPr>
        <w:spacing w:before="200" w:after="80"/>
      </w:pPr>
      <w:r>
        <w:rPr>
          <w:rFonts w:ascii="Arial" w:cs="Arial" w:eastAsia="Arial" w:hAnsi="Arial"/>
          <w:b/>
          <w:bCs/>
          <w:color w:val="333333"/>
          <w:sz w:val="24"/>
          <w:szCs w:val="24"/>
        </w:rPr>
        <w:t xml:space="preserve">Tokenization</w:t>
      </w:r>
    </w:p>
    <w:p>
      <w:pPr>
        <w:spacing w:before="80" w:after="100"/>
      </w:pPr>
      <w:r>
        <w:rPr>
          <w:rFonts w:ascii="Arial" w:cs="Arial" w:eastAsia="Arial" w:hAnsi="Arial"/>
          <w:b w:val="false"/>
          <w:bCs w:val="false"/>
          <w:color w:val="000000"/>
          <w:sz w:val="22"/>
          <w:szCs w:val="22"/>
        </w:rPr>
        <w:t xml:space="preserve">Text was tokenized using the TinyLlama tokenizer [1] with sequences truncated to a maximum of 512 tokens. Padding was applied on the right using the EOS token as the pad token, following standard practice for causal language model fine-tuning [10].</w:t>
      </w:r>
    </w:p>
    <w:p>
      <w:pPr>
        <w:spacing w:before="60" w:after="60"/>
      </w:pPr>
      <w:r>
        <w:t xml:space="preserve"/>
      </w:r>
    </w:p>
    <w:p>
      <w:pPr>
        <w:spacing w:before="200" w:after="80"/>
      </w:pPr>
      <w:r>
        <w:rPr>
          <w:rFonts w:ascii="Arial" w:cs="Arial" w:eastAsia="Arial" w:hAnsi="Arial"/>
          <w:b/>
          <w:bCs/>
          <w:color w:val="333333"/>
          <w:sz w:val="24"/>
          <w:szCs w:val="24"/>
        </w:rPr>
        <w:t xml:space="preserve">Filtering and Cleaning</w:t>
      </w:r>
    </w:p>
    <w:p>
      <w:pPr>
        <w:spacing w:before="80" w:after="100"/>
      </w:pPr>
      <w:r>
        <w:rPr>
          <w:rFonts w:ascii="Arial" w:cs="Arial" w:eastAsia="Arial" w:hAnsi="Arial"/>
          <w:b w:val="false"/>
          <w:bCs w:val="false"/>
          <w:color w:val="000000"/>
          <w:sz w:val="22"/>
          <w:szCs w:val="22"/>
        </w:rPr>
        <w:t xml:space="preserve">Entries with empty or null fields were removed. Sequences shorter than 10 tokens were excluded as they provide insufficient training signal [9]. The cleaned dataset was split 80/20 into training and validation sets.</w:t>
      </w:r>
    </w:p>
    <w:p>
      <w:pPr>
        <w:spacing w:before="60" w:after="60"/>
      </w:pPr>
      <w:r>
        <w:t xml:space="preserve"/>
      </w:r>
    </w:p>
    <w:p>
      <w:pPr>
        <w:spacing w:before="200" w:after="80"/>
      </w:pPr>
      <w:r>
        <w:rPr>
          <w:rFonts w:ascii="Arial" w:cs="Arial" w:eastAsia="Arial" w:hAnsi="Arial"/>
          <w:b/>
          <w:bCs/>
          <w:color w:val="333333"/>
          <w:sz w:val="24"/>
          <w:szCs w:val="24"/>
        </w:rPr>
        <w:t xml:space="preserve">Dataset Statistics</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tblGrid>
      <w:tr>
        <w:trPr>
          <w:tblHeader/>
        </w:trPr>
        <w:tc>
          <w:tcPr>
            <w:tcW w:type="dxa" w:w="3500"/>
            <w:tcBorders>
              <w:top w:val="single" w:color="1E40AF" w:sz="1"/>
              <w:left w:val="single" w:color="1E40AF" w:sz="1"/>
              <w:bottom w:val="single" w:color="1E40AF" w:sz="1"/>
              <w:right w:val="single" w:color="1E40AF"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Metric</w:t>
            </w:r>
          </w:p>
        </w:tc>
        <w:tc>
          <w:tcPr>
            <w:tcW w:type="dxa" w:w="3500"/>
            <w:tcBorders>
              <w:top w:val="single" w:color="1E40AF" w:sz="1"/>
              <w:left w:val="single" w:color="1E40AF" w:sz="1"/>
              <w:bottom w:val="single" w:color="1E40AF" w:sz="1"/>
              <w:right w:val="single" w:color="1E40AF"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Value</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Total samples</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~10,000</w:t>
            </w:r>
          </w:p>
        </w:tc>
      </w:tr>
      <w:tr>
        <w:tc>
          <w:tcPr>
            <w:tcW w:type="dxa" w:w="3500"/>
            <w:tcBorders>
              <w:top w:val="single" w:color="CCCCCC" w:sz="1"/>
              <w:left w:val="single" w:color="CCCCCC" w:sz="1"/>
              <w:bottom w:val="single" w:color="CCCCCC" w:sz="1"/>
              <w:right w:val="single" w:color="CCCCCC" w:sz="1"/>
            </w:tcBorders>
            <w:shd w:fill="EEF3FB" w:val="clear"/>
            <w:tcMar>
              <w:top w:type="dxa" w:w="60"/>
              <w:left w:type="dxa" w:w="120"/>
              <w:bottom w:type="dxa" w:w="60"/>
              <w:right w:type="dxa" w:w="120"/>
            </w:tcMar>
          </w:tcPr>
          <w:p>
            <w:pPr>
              <w:jc w:val="center"/>
            </w:pPr>
            <w:r>
              <w:rPr>
                <w:rFonts w:ascii="Arial" w:cs="Arial" w:eastAsia="Arial" w:hAnsi="Arial"/>
                <w:sz w:val="18"/>
                <w:szCs w:val="18"/>
              </w:rPr>
              <w:t xml:space="preserve">Training set</w:t>
            </w:r>
          </w:p>
        </w:tc>
        <w:tc>
          <w:tcPr>
            <w:tcW w:type="dxa" w:w="3500"/>
            <w:tcBorders>
              <w:top w:val="single" w:color="CCCCCC" w:sz="1"/>
              <w:left w:val="single" w:color="CCCCCC" w:sz="1"/>
              <w:bottom w:val="single" w:color="CCCCCC" w:sz="1"/>
              <w:right w:val="single" w:color="CCCCCC" w:sz="1"/>
            </w:tcBorders>
            <w:shd w:fill="EEF3FB" w:val="clear"/>
            <w:tcMar>
              <w:top w:type="dxa" w:w="60"/>
              <w:left w:type="dxa" w:w="120"/>
              <w:bottom w:type="dxa" w:w="60"/>
              <w:right w:type="dxa" w:w="120"/>
            </w:tcMar>
          </w:tcPr>
          <w:p>
            <w:pPr>
              <w:jc w:val="center"/>
            </w:pPr>
            <w:r>
              <w:rPr>
                <w:rFonts w:ascii="Arial" w:cs="Arial" w:eastAsia="Arial" w:hAnsi="Arial"/>
                <w:sz w:val="18"/>
                <w:szCs w:val="18"/>
              </w:rPr>
              <w:t xml:space="preserve">~8,000</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Validation set</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~2,000</w:t>
            </w:r>
          </w:p>
        </w:tc>
      </w:tr>
      <w:tr>
        <w:tc>
          <w:tcPr>
            <w:tcW w:type="dxa" w:w="3500"/>
            <w:tcBorders>
              <w:top w:val="single" w:color="CCCCCC" w:sz="1"/>
              <w:left w:val="single" w:color="CCCCCC" w:sz="1"/>
              <w:bottom w:val="single" w:color="CCCCCC" w:sz="1"/>
              <w:right w:val="single" w:color="CCCCCC" w:sz="1"/>
            </w:tcBorders>
            <w:shd w:fill="EEF3FB" w:val="clear"/>
            <w:tcMar>
              <w:top w:type="dxa" w:w="60"/>
              <w:left w:type="dxa" w:w="120"/>
              <w:bottom w:type="dxa" w:w="60"/>
              <w:right w:type="dxa" w:w="120"/>
            </w:tcMar>
          </w:tcPr>
          <w:p>
            <w:pPr>
              <w:jc w:val="center"/>
            </w:pPr>
            <w:r>
              <w:rPr>
                <w:rFonts w:ascii="Arial" w:cs="Arial" w:eastAsia="Arial" w:hAnsi="Arial"/>
                <w:sz w:val="18"/>
                <w:szCs w:val="18"/>
              </w:rPr>
              <w:t xml:space="preserve">Max sequence length</w:t>
            </w:r>
          </w:p>
        </w:tc>
        <w:tc>
          <w:tcPr>
            <w:tcW w:type="dxa" w:w="3500"/>
            <w:tcBorders>
              <w:top w:val="single" w:color="CCCCCC" w:sz="1"/>
              <w:left w:val="single" w:color="CCCCCC" w:sz="1"/>
              <w:bottom w:val="single" w:color="CCCCCC" w:sz="1"/>
              <w:right w:val="single" w:color="CCCCCC" w:sz="1"/>
            </w:tcBorders>
            <w:shd w:fill="EEF3FB" w:val="clear"/>
            <w:tcMar>
              <w:top w:type="dxa" w:w="60"/>
              <w:left w:type="dxa" w:w="120"/>
              <w:bottom w:type="dxa" w:w="60"/>
              <w:right w:type="dxa" w:w="120"/>
            </w:tcMar>
          </w:tcPr>
          <w:p>
            <w:pPr>
              <w:jc w:val="center"/>
            </w:pPr>
            <w:r>
              <w:rPr>
                <w:rFonts w:ascii="Arial" w:cs="Arial" w:eastAsia="Arial" w:hAnsi="Arial"/>
                <w:sz w:val="18"/>
                <w:szCs w:val="18"/>
              </w:rPr>
              <w:t xml:space="preserve">512 tokens</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Tokenizer</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TinyLlama (fast)</w:t>
            </w:r>
          </w:p>
        </w:tc>
      </w:tr>
    </w:tbl>
    <w:p>
      <w:pPr>
        <w:spacing w:before="60" w:after="60"/>
      </w:pPr>
      <w:r>
        <w:t xml:space="preserve"/>
      </w:r>
    </w:p>
    <w:p>
      <w:r>
        <w:br w:type="page"/>
      </w:r>
    </w:p>
    <w:p>
      <w:pPr>
        <w:pStyle w:val="Heading1"/>
        <w:spacing w:before="360" w:after="120"/>
      </w:pPr>
      <w:r>
        <w:rPr>
          <w:rFonts w:ascii="Arial" w:cs="Arial" w:eastAsia="Arial" w:hAnsi="Arial"/>
          <w:b/>
          <w:bCs/>
          <w:color w:val="1E3A5F"/>
          <w:sz w:val="32"/>
          <w:szCs w:val="32"/>
        </w:rPr>
        <w:t xml:space="preserve">3. Model Fine-Tuning</w:t>
      </w:r>
    </w:p>
    <w:p>
      <w:pPr>
        <w:pStyle w:val="Heading2"/>
        <w:spacing w:before="240" w:after="100"/>
      </w:pPr>
      <w:r>
        <w:rPr>
          <w:rFonts w:ascii="Arial" w:cs="Arial" w:eastAsia="Arial" w:hAnsi="Arial"/>
          <w:b/>
          <w:bCs/>
          <w:color w:val="2E5090"/>
          <w:sz w:val="26"/>
          <w:szCs w:val="26"/>
        </w:rPr>
        <w:t xml:space="preserve">3.1 Base Model</w:t>
      </w:r>
    </w:p>
    <w:p>
      <w:pPr>
        <w:spacing w:before="80" w:after="100"/>
      </w:pPr>
      <w:r>
        <w:rPr>
          <w:rFonts w:ascii="Arial" w:cs="Arial" w:eastAsia="Arial" w:hAnsi="Arial"/>
          <w:b w:val="false"/>
          <w:bCs w:val="false"/>
          <w:color w:val="000000"/>
          <w:sz w:val="22"/>
          <w:szCs w:val="22"/>
        </w:rPr>
        <w:t xml:space="preserve">The base model is TinyLlama/TinyLlama-1.1B-Chat-v1.0 [1], a 1.1 billion parameter causal language model pre-trained on a large general corpus and instruction-tuned for chat. It was selected for its small memory footprint (under 6 GB VRAM in float16), enabling training on Colab's free T4 GPU, while remaining competitive for its size [1].</w:t>
      </w:r>
    </w:p>
    <w:p>
      <w:pPr>
        <w:spacing w:before="60" w:after="60"/>
      </w:pPr>
      <w:r>
        <w:t xml:space="preserve"/>
      </w:r>
    </w:p>
    <w:p>
      <w:pPr>
        <w:pStyle w:val="Heading2"/>
        <w:spacing w:before="240" w:after="100"/>
      </w:pPr>
      <w:r>
        <w:rPr>
          <w:rFonts w:ascii="Arial" w:cs="Arial" w:eastAsia="Arial" w:hAnsi="Arial"/>
          <w:b/>
          <w:bCs/>
          <w:color w:val="2E5090"/>
          <w:sz w:val="26"/>
          <w:szCs w:val="26"/>
        </w:rPr>
        <w:t xml:space="preserve">3.2 LoRA Configuration</w:t>
      </w:r>
    </w:p>
    <w:p>
      <w:pPr>
        <w:spacing w:before="80" w:after="100"/>
      </w:pPr>
      <w:r>
        <w:rPr>
          <w:rFonts w:ascii="Arial" w:cs="Arial" w:eastAsia="Arial" w:hAnsi="Arial"/>
          <w:b w:val="false"/>
          <w:bCs w:val="false"/>
          <w:color w:val="000000"/>
          <w:sz w:val="22"/>
          <w:szCs w:val="22"/>
        </w:rPr>
        <w:t xml:space="preserve">LoRA [2] was applied to the query and value projection matrices of the self-attention layers. This approach inserts trainable low-rank decomposition matrices into frozen pre-trained weights, enabling domain adaptation with a fraction of the parameters required for full fine-tuning. Dettmers et al. [6] demonstrated that LoRA-based methods achieve near full fine-tuning performance at greatly reduced memory cost.</w:t>
      </w:r>
    </w:p>
    <w:p>
      <w:pPr>
        <w:spacing w:before="60" w:after="60"/>
      </w:pPr>
      <w:r>
        <w:t xml:space="preserve"/>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tblGrid>
      <w:tr>
        <w:trPr>
          <w:tblHeader/>
        </w:trPr>
        <w:tc>
          <w:tcPr>
            <w:tcW w:type="dxa" w:w="3500"/>
            <w:tcBorders>
              <w:top w:val="single" w:color="1E40AF" w:sz="1"/>
              <w:left w:val="single" w:color="1E40AF" w:sz="1"/>
              <w:bottom w:val="single" w:color="1E40AF" w:sz="1"/>
              <w:right w:val="single" w:color="1E40AF"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LoRA Parameter</w:t>
            </w:r>
          </w:p>
        </w:tc>
        <w:tc>
          <w:tcPr>
            <w:tcW w:type="dxa" w:w="3500"/>
            <w:tcBorders>
              <w:top w:val="single" w:color="1E40AF" w:sz="1"/>
              <w:left w:val="single" w:color="1E40AF" w:sz="1"/>
              <w:bottom w:val="single" w:color="1E40AF" w:sz="1"/>
              <w:right w:val="single" w:color="1E40AF"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Value</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Rank (r)</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16</w:t>
            </w:r>
          </w:p>
        </w:tc>
      </w:tr>
      <w:tr>
        <w:tc>
          <w:tcPr>
            <w:tcW w:type="dxa" w:w="3500"/>
            <w:tcBorders>
              <w:top w:val="single" w:color="CCCCCC" w:sz="1"/>
              <w:left w:val="single" w:color="CCCCCC" w:sz="1"/>
              <w:bottom w:val="single" w:color="CCCCCC" w:sz="1"/>
              <w:right w:val="single" w:color="CCCCCC" w:sz="1"/>
            </w:tcBorders>
            <w:shd w:fill="EEF3FB" w:val="clear"/>
            <w:tcMar>
              <w:top w:type="dxa" w:w="60"/>
              <w:left w:type="dxa" w:w="120"/>
              <w:bottom w:type="dxa" w:w="60"/>
              <w:right w:type="dxa" w:w="120"/>
            </w:tcMar>
          </w:tcPr>
          <w:p>
            <w:pPr>
              <w:jc w:val="center"/>
            </w:pPr>
            <w:r>
              <w:rPr>
                <w:rFonts w:ascii="Arial" w:cs="Arial" w:eastAsia="Arial" w:hAnsi="Arial"/>
                <w:sz w:val="18"/>
                <w:szCs w:val="18"/>
              </w:rPr>
              <w:t xml:space="preserve">Alpha</w:t>
            </w:r>
          </w:p>
        </w:tc>
        <w:tc>
          <w:tcPr>
            <w:tcW w:type="dxa" w:w="3500"/>
            <w:tcBorders>
              <w:top w:val="single" w:color="CCCCCC" w:sz="1"/>
              <w:left w:val="single" w:color="CCCCCC" w:sz="1"/>
              <w:bottom w:val="single" w:color="CCCCCC" w:sz="1"/>
              <w:right w:val="single" w:color="CCCCCC" w:sz="1"/>
            </w:tcBorders>
            <w:shd w:fill="EEF3FB" w:val="clear"/>
            <w:tcMar>
              <w:top w:type="dxa" w:w="60"/>
              <w:left w:type="dxa" w:w="120"/>
              <w:bottom w:type="dxa" w:w="60"/>
              <w:right w:type="dxa" w:w="120"/>
            </w:tcMar>
          </w:tcPr>
          <w:p>
            <w:pPr>
              <w:jc w:val="center"/>
            </w:pPr>
            <w:r>
              <w:rPr>
                <w:rFonts w:ascii="Arial" w:cs="Arial" w:eastAsia="Arial" w:hAnsi="Arial"/>
                <w:sz w:val="18"/>
                <w:szCs w:val="18"/>
              </w:rPr>
              <w:t xml:space="preserve">32</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Dropout</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0.05</w:t>
            </w:r>
          </w:p>
        </w:tc>
      </w:tr>
      <w:tr>
        <w:tc>
          <w:tcPr>
            <w:tcW w:type="dxa" w:w="3500"/>
            <w:tcBorders>
              <w:top w:val="single" w:color="CCCCCC" w:sz="1"/>
              <w:left w:val="single" w:color="CCCCCC" w:sz="1"/>
              <w:bottom w:val="single" w:color="CCCCCC" w:sz="1"/>
              <w:right w:val="single" w:color="CCCCCC" w:sz="1"/>
            </w:tcBorders>
            <w:shd w:fill="EEF3FB" w:val="clear"/>
            <w:tcMar>
              <w:top w:type="dxa" w:w="60"/>
              <w:left w:type="dxa" w:w="120"/>
              <w:bottom w:type="dxa" w:w="60"/>
              <w:right w:type="dxa" w:w="120"/>
            </w:tcMar>
          </w:tcPr>
          <w:p>
            <w:pPr>
              <w:jc w:val="center"/>
            </w:pPr>
            <w:r>
              <w:rPr>
                <w:rFonts w:ascii="Arial" w:cs="Arial" w:eastAsia="Arial" w:hAnsi="Arial"/>
                <w:sz w:val="18"/>
                <w:szCs w:val="18"/>
              </w:rPr>
              <w:t xml:space="preserve">Target Modules</w:t>
            </w:r>
          </w:p>
        </w:tc>
        <w:tc>
          <w:tcPr>
            <w:tcW w:type="dxa" w:w="3500"/>
            <w:tcBorders>
              <w:top w:val="single" w:color="CCCCCC" w:sz="1"/>
              <w:left w:val="single" w:color="CCCCCC" w:sz="1"/>
              <w:bottom w:val="single" w:color="CCCCCC" w:sz="1"/>
              <w:right w:val="single" w:color="CCCCCC" w:sz="1"/>
            </w:tcBorders>
            <w:shd w:fill="EEF3FB" w:val="clear"/>
            <w:tcMar>
              <w:top w:type="dxa" w:w="60"/>
              <w:left w:type="dxa" w:w="120"/>
              <w:bottom w:type="dxa" w:w="60"/>
              <w:right w:type="dxa" w:w="120"/>
            </w:tcMar>
          </w:tcPr>
          <w:p>
            <w:pPr>
              <w:jc w:val="center"/>
            </w:pPr>
            <w:r>
              <w:rPr>
                <w:rFonts w:ascii="Arial" w:cs="Arial" w:eastAsia="Arial" w:hAnsi="Arial"/>
                <w:sz w:val="18"/>
                <w:szCs w:val="18"/>
              </w:rPr>
              <w:t xml:space="preserve">q_proj, v_proj</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Trainable Parameters</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~4% of total</w:t>
            </w:r>
          </w:p>
        </w:tc>
      </w:tr>
    </w:tbl>
    <w:p>
      <w:pPr>
        <w:spacing w:before="60" w:after="60"/>
      </w:pPr>
      <w:r>
        <w:t xml:space="preserve"/>
      </w:r>
    </w:p>
    <w:p>
      <w:pPr>
        <w:pStyle w:val="Heading2"/>
        <w:spacing w:before="240" w:after="100"/>
      </w:pPr>
      <w:r>
        <w:rPr>
          <w:rFonts w:ascii="Arial" w:cs="Arial" w:eastAsia="Arial" w:hAnsi="Arial"/>
          <w:b/>
          <w:bCs/>
          <w:color w:val="2E5090"/>
          <w:sz w:val="26"/>
          <w:szCs w:val="26"/>
        </w:rPr>
        <w:t xml:space="preserve">3.3 Training Configuration</w:t>
      </w:r>
    </w:p>
    <w:p>
      <w:pPr>
        <w:spacing w:before="80" w:after="100"/>
      </w:pPr>
      <w:r>
        <w:rPr>
          <w:rFonts w:ascii="Arial" w:cs="Arial" w:eastAsia="Arial" w:hAnsi="Arial"/>
          <w:b w:val="false"/>
          <w:bCs w:val="false"/>
          <w:color w:val="000000"/>
          <w:sz w:val="22"/>
          <w:szCs w:val="22"/>
        </w:rPr>
        <w:t xml:space="preserve">All experiments used the AdamW optimiser [11] with cosine annealing scheduling and a warmup ratio of 0.03. Mixed precision training (float16) was used to reduce GPU memory consumption [10]. Training was conducted using the Hugging Face SFTTrainer [9] on a Google Colab T4 GPU.</w:t>
      </w:r>
    </w:p>
    <w:p>
      <w:pPr>
        <w:spacing w:before="60" w:after="60"/>
      </w:pPr>
      <w:r>
        <w:t xml:space="preserve"/>
      </w:r>
    </w:p>
    <w:p>
      <w:pPr>
        <w:pStyle w:val="ListParagraph"/>
        <w:numPr>
          <w:ilvl w:val="0"/>
          <w:numId w:val="2"/>
        </w:numPr>
        <w:spacing w:before="40" w:after="40"/>
      </w:pPr>
      <w:r>
        <w:rPr>
          <w:rFonts w:ascii="Arial" w:cs="Arial" w:eastAsia="Arial" w:hAnsi="Arial"/>
          <w:b w:val="false"/>
          <w:bCs w:val="false"/>
          <w:sz w:val="22"/>
          <w:szCs w:val="22"/>
        </w:rPr>
        <w:t xml:space="preserve">Optimiser: AdamW [11] with weight decay 0.01</w:t>
      </w:r>
    </w:p>
    <w:p>
      <w:pPr>
        <w:pStyle w:val="ListParagraph"/>
        <w:numPr>
          <w:ilvl w:val="0"/>
          <w:numId w:val="2"/>
        </w:numPr>
        <w:spacing w:before="40" w:after="40"/>
      </w:pPr>
      <w:r>
        <w:rPr>
          <w:rFonts w:ascii="Arial" w:cs="Arial" w:eastAsia="Arial" w:hAnsi="Arial"/>
          <w:b w:val="false"/>
          <w:bCs w:val="false"/>
          <w:sz w:val="22"/>
          <w:szCs w:val="22"/>
        </w:rPr>
        <w:t xml:space="preserve">Scheduler: Cosine annealing with linear warmup [10]</w:t>
      </w:r>
    </w:p>
    <w:p>
      <w:pPr>
        <w:pStyle w:val="ListParagraph"/>
        <w:numPr>
          <w:ilvl w:val="0"/>
          <w:numId w:val="2"/>
        </w:numPr>
        <w:spacing w:before="40" w:after="40"/>
      </w:pPr>
      <w:r>
        <w:rPr>
          <w:rFonts w:ascii="Arial" w:cs="Arial" w:eastAsia="Arial" w:hAnsi="Arial"/>
          <w:b w:val="false"/>
          <w:bCs w:val="false"/>
          <w:sz w:val="22"/>
          <w:szCs w:val="22"/>
        </w:rPr>
        <w:t xml:space="preserve">Warmup ratio: 0.03</w:t>
      </w:r>
    </w:p>
    <w:p>
      <w:pPr>
        <w:pStyle w:val="ListParagraph"/>
        <w:numPr>
          <w:ilvl w:val="0"/>
          <w:numId w:val="2"/>
        </w:numPr>
        <w:spacing w:before="40" w:after="40"/>
      </w:pPr>
      <w:r>
        <w:rPr>
          <w:rFonts w:ascii="Arial" w:cs="Arial" w:eastAsia="Arial" w:hAnsi="Arial"/>
          <w:b w:val="false"/>
          <w:bCs w:val="false"/>
          <w:sz w:val="22"/>
          <w:szCs w:val="22"/>
        </w:rPr>
        <w:t xml:space="preserve">Precision: float16 mixed precision [10]</w:t>
      </w:r>
    </w:p>
    <w:p>
      <w:pPr>
        <w:pStyle w:val="ListParagraph"/>
        <w:numPr>
          <w:ilvl w:val="0"/>
          <w:numId w:val="2"/>
        </w:numPr>
        <w:spacing w:before="40" w:after="40"/>
      </w:pPr>
      <w:r>
        <w:rPr>
          <w:rFonts w:ascii="Arial" w:cs="Arial" w:eastAsia="Arial" w:hAnsi="Arial"/>
          <w:b w:val="false"/>
          <w:bCs w:val="false"/>
          <w:sz w:val="22"/>
          <w:szCs w:val="22"/>
        </w:rPr>
        <w:t xml:space="preserve">Training framework: Hugging Face SFTTrainer [9]</w:t>
      </w:r>
    </w:p>
    <w:p>
      <w:pPr>
        <w:pStyle w:val="ListParagraph"/>
        <w:numPr>
          <w:ilvl w:val="0"/>
          <w:numId w:val="2"/>
        </w:numPr>
        <w:spacing w:before="40" w:after="40"/>
      </w:pPr>
      <w:r>
        <w:rPr>
          <w:rFonts w:ascii="Arial" w:cs="Arial" w:eastAsia="Arial" w:hAnsi="Arial"/>
          <w:b w:val="false"/>
          <w:bCs w:val="false"/>
          <w:sz w:val="22"/>
          <w:szCs w:val="22"/>
        </w:rPr>
        <w:t xml:space="preserve">Hardware: Google Colab T4 GPU (16 GB VRAM)</w:t>
      </w:r>
    </w:p>
    <w:p>
      <w:pPr>
        <w:spacing w:before="60" w:after="60"/>
      </w:pPr>
      <w:r>
        <w:t xml:space="preserve"/>
      </w:r>
    </w:p>
    <w:p>
      <w:r>
        <w:br w:type="page"/>
      </w:r>
    </w:p>
    <w:p>
      <w:pPr>
        <w:pStyle w:val="Heading1"/>
        <w:spacing w:before="360" w:after="120"/>
      </w:pPr>
      <w:r>
        <w:rPr>
          <w:rFonts w:ascii="Arial" w:cs="Arial" w:eastAsia="Arial" w:hAnsi="Arial"/>
          <w:b/>
          <w:bCs/>
          <w:color w:val="1E3A5F"/>
          <w:sz w:val="32"/>
          <w:szCs w:val="32"/>
        </w:rPr>
        <w:t xml:space="preserve">4. Hyperparameter Experiments</w:t>
      </w:r>
    </w:p>
    <w:p>
      <w:pPr>
        <w:spacing w:before="80" w:after="100"/>
      </w:pPr>
      <w:r>
        <w:rPr>
          <w:rFonts w:ascii="Arial" w:cs="Arial" w:eastAsia="Arial" w:hAnsi="Arial"/>
          <w:b w:val="false"/>
          <w:bCs w:val="false"/>
          <w:color w:val="000000"/>
          <w:sz w:val="22"/>
          <w:szCs w:val="22"/>
        </w:rPr>
        <w:t xml:space="preserve">Three experiments were conducted to identify the optimal learning rate and batch size. Learning rate is widely recognised as the most influential hyperparameter in transformer fine-tuning [10], and effective batch size through gradient accumulation significantly affects convergence stability [3]. All experiments ran for 5 epochs on the same data split.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900"/>
        <w:gridCol w:w="850"/>
        <w:gridCol w:w="900"/>
        <w:gridCol w:w="950"/>
        <w:gridCol w:w="650"/>
        <w:gridCol w:w="750"/>
        <w:gridCol w:w="750"/>
        <w:gridCol w:w="750"/>
        <w:gridCol w:w="780"/>
        <w:gridCol w:w="780"/>
      </w:tblGrid>
      <w:tr>
        <w:trPr>
          <w:tblHeader/>
        </w:trPr>
        <w:tc>
          <w:tcPr>
            <w:tcW w:type="dxa" w:w="1300"/>
            <w:tcBorders>
              <w:top w:val="single" w:color="1E40AF" w:sz="1"/>
              <w:left w:val="single" w:color="1E40AF" w:sz="1"/>
              <w:bottom w:val="single" w:color="1E40AF" w:sz="1"/>
              <w:right w:val="single" w:color="1E40AF"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Experiment</w:t>
            </w:r>
          </w:p>
        </w:tc>
        <w:tc>
          <w:tcPr>
            <w:tcW w:type="dxa" w:w="900"/>
            <w:tcBorders>
              <w:top w:val="single" w:color="1E40AF" w:sz="1"/>
              <w:left w:val="single" w:color="1E40AF" w:sz="1"/>
              <w:bottom w:val="single" w:color="1E40AF" w:sz="1"/>
              <w:right w:val="single" w:color="1E40AF"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LR</w:t>
            </w:r>
          </w:p>
        </w:tc>
        <w:tc>
          <w:tcPr>
            <w:tcW w:type="dxa" w:w="850"/>
            <w:tcBorders>
              <w:top w:val="single" w:color="1E40AF" w:sz="1"/>
              <w:left w:val="single" w:color="1E40AF" w:sz="1"/>
              <w:bottom w:val="single" w:color="1E40AF" w:sz="1"/>
              <w:right w:val="single" w:color="1E40AF"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Batch</w:t>
            </w:r>
          </w:p>
        </w:tc>
        <w:tc>
          <w:tcPr>
            <w:tcW w:type="dxa" w:w="900"/>
            <w:tcBorders>
              <w:top w:val="single" w:color="1E40AF" w:sz="1"/>
              <w:left w:val="single" w:color="1E40AF" w:sz="1"/>
              <w:bottom w:val="single" w:color="1E40AF" w:sz="1"/>
              <w:right w:val="single" w:color="1E40AF"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Grad Accum</w:t>
            </w:r>
          </w:p>
        </w:tc>
        <w:tc>
          <w:tcPr>
            <w:tcW w:type="dxa" w:w="950"/>
            <w:tcBorders>
              <w:top w:val="single" w:color="1E40AF" w:sz="1"/>
              <w:left w:val="single" w:color="1E40AF" w:sz="1"/>
              <w:bottom w:val="single" w:color="1E40AF" w:sz="1"/>
              <w:right w:val="single" w:color="1E40AF"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Eff. Batch</w:t>
            </w:r>
          </w:p>
        </w:tc>
        <w:tc>
          <w:tcPr>
            <w:tcW w:type="dxa" w:w="650"/>
            <w:tcBorders>
              <w:top w:val="single" w:color="1E40AF" w:sz="1"/>
              <w:left w:val="single" w:color="1E40AF" w:sz="1"/>
              <w:bottom w:val="single" w:color="1E40AF" w:sz="1"/>
              <w:right w:val="single" w:color="1E40AF"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Epochs</w:t>
            </w:r>
          </w:p>
        </w:tc>
        <w:tc>
          <w:tcPr>
            <w:tcW w:type="dxa" w:w="750"/>
            <w:tcBorders>
              <w:top w:val="single" w:color="1E40AF" w:sz="1"/>
              <w:left w:val="single" w:color="1E40AF" w:sz="1"/>
              <w:bottom w:val="single" w:color="1E40AF" w:sz="1"/>
              <w:right w:val="single" w:color="1E40AF"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Train Loss</w:t>
            </w:r>
          </w:p>
        </w:tc>
        <w:tc>
          <w:tcPr>
            <w:tcW w:type="dxa" w:w="750"/>
            <w:tcBorders>
              <w:top w:val="single" w:color="1E40AF" w:sz="1"/>
              <w:left w:val="single" w:color="1E40AF" w:sz="1"/>
              <w:bottom w:val="single" w:color="1E40AF" w:sz="1"/>
              <w:right w:val="single" w:color="1E40AF"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Val Loss</w:t>
            </w:r>
          </w:p>
        </w:tc>
        <w:tc>
          <w:tcPr>
            <w:tcW w:type="dxa" w:w="750"/>
            <w:tcBorders>
              <w:top w:val="single" w:color="1E40AF" w:sz="1"/>
              <w:left w:val="single" w:color="1E40AF" w:sz="1"/>
              <w:bottom w:val="single" w:color="1E40AF" w:sz="1"/>
              <w:right w:val="single" w:color="1E40AF"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Perplexity</w:t>
            </w:r>
          </w:p>
        </w:tc>
        <w:tc>
          <w:tcPr>
            <w:tcW w:type="dxa" w:w="780"/>
            <w:tcBorders>
              <w:top w:val="single" w:color="1E40AF" w:sz="1"/>
              <w:left w:val="single" w:color="1E40AF" w:sz="1"/>
              <w:bottom w:val="single" w:color="1E40AF" w:sz="1"/>
              <w:right w:val="single" w:color="1E40AF"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BLEU</w:t>
            </w:r>
          </w:p>
        </w:tc>
        <w:tc>
          <w:tcPr>
            <w:tcW w:type="dxa" w:w="780"/>
            <w:tcBorders>
              <w:top w:val="single" w:color="1E40AF" w:sz="1"/>
              <w:left w:val="single" w:color="1E40AF" w:sz="1"/>
              <w:bottom w:val="single" w:color="1E40AF" w:sz="1"/>
              <w:right w:val="single" w:color="1E40AF"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ROUGE-L</w:t>
            </w:r>
          </w:p>
        </w:tc>
      </w:tr>
      <w:tr>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Baseline</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w:t>
            </w:r>
          </w:p>
        </w:tc>
        <w:tc>
          <w:tcPr>
            <w:tcW w:type="dxa" w:w="85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w:t>
            </w:r>
          </w:p>
        </w:tc>
        <w:tc>
          <w:tcPr>
            <w:tcW w:type="dxa" w:w="95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w:t>
            </w:r>
          </w:p>
        </w:tc>
        <w:tc>
          <w:tcPr>
            <w:tcW w:type="dxa" w:w="65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w:t>
            </w:r>
          </w:p>
        </w:tc>
        <w:tc>
          <w:tcPr>
            <w:tcW w:type="dxa" w:w="75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w:t>
            </w:r>
          </w:p>
        </w:tc>
        <w:tc>
          <w:tcPr>
            <w:tcW w:type="dxa" w:w="75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11.8996</w:t>
            </w:r>
          </w:p>
        </w:tc>
        <w:tc>
          <w:tcPr>
            <w:tcW w:type="dxa" w:w="75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147,204</w:t>
            </w:r>
          </w:p>
        </w:tc>
        <w:tc>
          <w:tcPr>
            <w:tcW w:type="dxa" w:w="7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67.67</w:t>
            </w:r>
          </w:p>
        </w:tc>
        <w:tc>
          <w:tcPr>
            <w:tcW w:type="dxa" w:w="7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76.57</w:t>
            </w:r>
          </w:p>
        </w:tc>
      </w:tr>
      <w:tr>
        <w:tc>
          <w:tcPr>
            <w:tcW w:type="dxa" w:w="1300"/>
            <w:tcBorders>
              <w:top w:val="single" w:color="CCCCCC" w:sz="1"/>
              <w:left w:val="single" w:color="CCCCCC" w:sz="1"/>
              <w:bottom w:val="single" w:color="CCCCCC" w:sz="1"/>
              <w:right w:val="single" w:color="CCCCCC" w:sz="1"/>
            </w:tcBorders>
            <w:shd w:fill="EEF3FB" w:val="clear"/>
            <w:tcMar>
              <w:top w:type="dxa" w:w="60"/>
              <w:left w:type="dxa" w:w="120"/>
              <w:bottom w:type="dxa" w:w="60"/>
              <w:right w:type="dxa" w:w="120"/>
            </w:tcMar>
          </w:tcPr>
          <w:p>
            <w:pPr>
              <w:jc w:val="center"/>
            </w:pPr>
            <w:r>
              <w:rPr>
                <w:rFonts w:ascii="Arial" w:cs="Arial" w:eastAsia="Arial" w:hAnsi="Arial"/>
                <w:sz w:val="18"/>
                <w:szCs w:val="18"/>
              </w:rPr>
              <w:t xml:space="preserve">Exp 1 High LR</w:t>
            </w:r>
          </w:p>
        </w:tc>
        <w:tc>
          <w:tcPr>
            <w:tcW w:type="dxa" w:w="900"/>
            <w:tcBorders>
              <w:top w:val="single" w:color="CCCCCC" w:sz="1"/>
              <w:left w:val="single" w:color="CCCCCC" w:sz="1"/>
              <w:bottom w:val="single" w:color="CCCCCC" w:sz="1"/>
              <w:right w:val="single" w:color="CCCCCC" w:sz="1"/>
            </w:tcBorders>
            <w:shd w:fill="EEF3FB" w:val="clear"/>
            <w:tcMar>
              <w:top w:type="dxa" w:w="60"/>
              <w:left w:type="dxa" w:w="120"/>
              <w:bottom w:type="dxa" w:w="60"/>
              <w:right w:type="dxa" w:w="120"/>
            </w:tcMar>
          </w:tcPr>
          <w:p>
            <w:pPr>
              <w:jc w:val="center"/>
            </w:pPr>
            <w:r>
              <w:rPr>
                <w:rFonts w:ascii="Arial" w:cs="Arial" w:eastAsia="Arial" w:hAnsi="Arial"/>
                <w:sz w:val="18"/>
                <w:szCs w:val="18"/>
              </w:rPr>
              <w:t xml:space="preserve">1e-4</w:t>
            </w:r>
          </w:p>
        </w:tc>
        <w:tc>
          <w:tcPr>
            <w:tcW w:type="dxa" w:w="850"/>
            <w:tcBorders>
              <w:top w:val="single" w:color="CCCCCC" w:sz="1"/>
              <w:left w:val="single" w:color="CCCCCC" w:sz="1"/>
              <w:bottom w:val="single" w:color="CCCCCC" w:sz="1"/>
              <w:right w:val="single" w:color="CCCCCC" w:sz="1"/>
            </w:tcBorders>
            <w:shd w:fill="EEF3FB" w:val="clear"/>
            <w:tcMar>
              <w:top w:type="dxa" w:w="60"/>
              <w:left w:type="dxa" w:w="120"/>
              <w:bottom w:type="dxa" w:w="60"/>
              <w:right w:type="dxa" w:w="120"/>
            </w:tcMar>
          </w:tcPr>
          <w:p>
            <w:pPr>
              <w:jc w:val="center"/>
            </w:pPr>
            <w:r>
              <w:rPr>
                <w:rFonts w:ascii="Arial" w:cs="Arial" w:eastAsia="Arial" w:hAnsi="Arial"/>
                <w:sz w:val="18"/>
                <w:szCs w:val="18"/>
              </w:rPr>
              <w:t xml:space="preserve">2</w:t>
            </w:r>
          </w:p>
        </w:tc>
        <w:tc>
          <w:tcPr>
            <w:tcW w:type="dxa" w:w="900"/>
            <w:tcBorders>
              <w:top w:val="single" w:color="CCCCCC" w:sz="1"/>
              <w:left w:val="single" w:color="CCCCCC" w:sz="1"/>
              <w:bottom w:val="single" w:color="CCCCCC" w:sz="1"/>
              <w:right w:val="single" w:color="CCCCCC" w:sz="1"/>
            </w:tcBorders>
            <w:shd w:fill="EEF3FB" w:val="clear"/>
            <w:tcMar>
              <w:top w:type="dxa" w:w="60"/>
              <w:left w:type="dxa" w:w="120"/>
              <w:bottom w:type="dxa" w:w="60"/>
              <w:right w:type="dxa" w:w="120"/>
            </w:tcMar>
          </w:tcPr>
          <w:p>
            <w:pPr>
              <w:jc w:val="center"/>
            </w:pPr>
            <w:r>
              <w:rPr>
                <w:rFonts w:ascii="Arial" w:cs="Arial" w:eastAsia="Arial" w:hAnsi="Arial"/>
                <w:sz w:val="18"/>
                <w:szCs w:val="18"/>
              </w:rPr>
              <w:t xml:space="preserve">4</w:t>
            </w:r>
          </w:p>
        </w:tc>
        <w:tc>
          <w:tcPr>
            <w:tcW w:type="dxa" w:w="950"/>
            <w:tcBorders>
              <w:top w:val="single" w:color="CCCCCC" w:sz="1"/>
              <w:left w:val="single" w:color="CCCCCC" w:sz="1"/>
              <w:bottom w:val="single" w:color="CCCCCC" w:sz="1"/>
              <w:right w:val="single" w:color="CCCCCC" w:sz="1"/>
            </w:tcBorders>
            <w:shd w:fill="EEF3FB" w:val="clear"/>
            <w:tcMar>
              <w:top w:type="dxa" w:w="60"/>
              <w:left w:type="dxa" w:w="120"/>
              <w:bottom w:type="dxa" w:w="60"/>
              <w:right w:type="dxa" w:w="120"/>
            </w:tcMar>
          </w:tcPr>
          <w:p>
            <w:pPr>
              <w:jc w:val="center"/>
            </w:pPr>
            <w:r>
              <w:rPr>
                <w:rFonts w:ascii="Arial" w:cs="Arial" w:eastAsia="Arial" w:hAnsi="Arial"/>
                <w:sz w:val="18"/>
                <w:szCs w:val="18"/>
              </w:rPr>
              <w:t xml:space="preserve">8</w:t>
            </w:r>
          </w:p>
        </w:tc>
        <w:tc>
          <w:tcPr>
            <w:tcW w:type="dxa" w:w="650"/>
            <w:tcBorders>
              <w:top w:val="single" w:color="CCCCCC" w:sz="1"/>
              <w:left w:val="single" w:color="CCCCCC" w:sz="1"/>
              <w:bottom w:val="single" w:color="CCCCCC" w:sz="1"/>
              <w:right w:val="single" w:color="CCCCCC" w:sz="1"/>
            </w:tcBorders>
            <w:shd w:fill="EEF3FB" w:val="clear"/>
            <w:tcMar>
              <w:top w:type="dxa" w:w="60"/>
              <w:left w:type="dxa" w:w="120"/>
              <w:bottom w:type="dxa" w:w="60"/>
              <w:right w:type="dxa" w:w="120"/>
            </w:tcMar>
          </w:tcPr>
          <w:p>
            <w:pPr>
              <w:jc w:val="center"/>
            </w:pPr>
            <w:r>
              <w:rPr>
                <w:rFonts w:ascii="Arial" w:cs="Arial" w:eastAsia="Arial" w:hAnsi="Arial"/>
                <w:sz w:val="18"/>
                <w:szCs w:val="18"/>
              </w:rPr>
              <w:t xml:space="preserve">5</w:t>
            </w:r>
          </w:p>
        </w:tc>
        <w:tc>
          <w:tcPr>
            <w:tcW w:type="dxa" w:w="750"/>
            <w:tcBorders>
              <w:top w:val="single" w:color="CCCCCC" w:sz="1"/>
              <w:left w:val="single" w:color="CCCCCC" w:sz="1"/>
              <w:bottom w:val="single" w:color="CCCCCC" w:sz="1"/>
              <w:right w:val="single" w:color="CCCCCC" w:sz="1"/>
            </w:tcBorders>
            <w:shd w:fill="EEF3FB" w:val="clear"/>
            <w:tcMar>
              <w:top w:type="dxa" w:w="60"/>
              <w:left w:type="dxa" w:w="120"/>
              <w:bottom w:type="dxa" w:w="60"/>
              <w:right w:type="dxa" w:w="120"/>
            </w:tcMar>
          </w:tcPr>
          <w:p>
            <w:pPr>
              <w:jc w:val="center"/>
            </w:pPr>
            <w:r>
              <w:rPr>
                <w:rFonts w:ascii="Arial" w:cs="Arial" w:eastAsia="Arial" w:hAnsi="Arial"/>
                <w:sz w:val="18"/>
                <w:szCs w:val="18"/>
              </w:rPr>
              <w:t xml:space="preserve">0.7976</w:t>
            </w:r>
          </w:p>
        </w:tc>
        <w:tc>
          <w:tcPr>
            <w:tcW w:type="dxa" w:w="750"/>
            <w:tcBorders>
              <w:top w:val="single" w:color="CCCCCC" w:sz="1"/>
              <w:left w:val="single" w:color="CCCCCC" w:sz="1"/>
              <w:bottom w:val="single" w:color="CCCCCC" w:sz="1"/>
              <w:right w:val="single" w:color="CCCCCC" w:sz="1"/>
            </w:tcBorders>
            <w:shd w:fill="EEF3FB" w:val="clear"/>
            <w:tcMar>
              <w:top w:type="dxa" w:w="60"/>
              <w:left w:type="dxa" w:w="120"/>
              <w:bottom w:type="dxa" w:w="60"/>
              <w:right w:type="dxa" w:w="120"/>
            </w:tcMar>
          </w:tcPr>
          <w:p>
            <w:pPr>
              <w:jc w:val="center"/>
            </w:pPr>
            <w:r>
              <w:rPr>
                <w:rFonts w:ascii="Arial" w:cs="Arial" w:eastAsia="Arial" w:hAnsi="Arial"/>
                <w:sz w:val="18"/>
                <w:szCs w:val="18"/>
              </w:rPr>
              <w:t xml:space="preserve">0.3680</w:t>
            </w:r>
          </w:p>
        </w:tc>
        <w:tc>
          <w:tcPr>
            <w:tcW w:type="dxa" w:w="750"/>
            <w:tcBorders>
              <w:top w:val="single" w:color="CCCCCC" w:sz="1"/>
              <w:left w:val="single" w:color="CCCCCC" w:sz="1"/>
              <w:bottom w:val="single" w:color="CCCCCC" w:sz="1"/>
              <w:right w:val="single" w:color="CCCCCC" w:sz="1"/>
            </w:tcBorders>
            <w:shd w:fill="EEF3FB" w:val="clear"/>
            <w:tcMar>
              <w:top w:type="dxa" w:w="60"/>
              <w:left w:type="dxa" w:w="120"/>
              <w:bottom w:type="dxa" w:w="60"/>
              <w:right w:type="dxa" w:w="120"/>
            </w:tcMar>
          </w:tcPr>
          <w:p>
            <w:pPr>
              <w:jc w:val="center"/>
            </w:pPr>
            <w:r>
              <w:rPr>
                <w:rFonts w:ascii="Arial" w:cs="Arial" w:eastAsia="Arial" w:hAnsi="Arial"/>
                <w:sz w:val="18"/>
                <w:szCs w:val="18"/>
              </w:rPr>
              <w:t xml:space="preserve">1.44</w:t>
            </w:r>
          </w:p>
        </w:tc>
        <w:tc>
          <w:tcPr>
            <w:tcW w:type="dxa" w:w="780"/>
            <w:tcBorders>
              <w:top w:val="single" w:color="CCCCCC" w:sz="1"/>
              <w:left w:val="single" w:color="CCCCCC" w:sz="1"/>
              <w:bottom w:val="single" w:color="CCCCCC" w:sz="1"/>
              <w:right w:val="single" w:color="CCCCCC" w:sz="1"/>
            </w:tcBorders>
            <w:shd w:fill="EEF3FB" w:val="clear"/>
            <w:tcMar>
              <w:top w:type="dxa" w:w="60"/>
              <w:left w:type="dxa" w:w="120"/>
              <w:bottom w:type="dxa" w:w="60"/>
              <w:right w:type="dxa" w:w="120"/>
            </w:tcMar>
          </w:tcPr>
          <w:p>
            <w:pPr>
              <w:jc w:val="center"/>
            </w:pPr>
            <w:r>
              <w:rPr>
                <w:rFonts w:ascii="Arial" w:cs="Arial" w:eastAsia="Arial" w:hAnsi="Arial"/>
                <w:sz w:val="18"/>
                <w:szCs w:val="18"/>
              </w:rPr>
              <w:t xml:space="preserve">88.67</w:t>
            </w:r>
          </w:p>
        </w:tc>
        <w:tc>
          <w:tcPr>
            <w:tcW w:type="dxa" w:w="780"/>
            <w:tcBorders>
              <w:top w:val="single" w:color="CCCCCC" w:sz="1"/>
              <w:left w:val="single" w:color="CCCCCC" w:sz="1"/>
              <w:bottom w:val="single" w:color="CCCCCC" w:sz="1"/>
              <w:right w:val="single" w:color="CCCCCC" w:sz="1"/>
            </w:tcBorders>
            <w:shd w:fill="EEF3FB" w:val="clear"/>
            <w:tcMar>
              <w:top w:type="dxa" w:w="60"/>
              <w:left w:type="dxa" w:w="120"/>
              <w:bottom w:type="dxa" w:w="60"/>
              <w:right w:type="dxa" w:w="120"/>
            </w:tcMar>
          </w:tcPr>
          <w:p>
            <w:pPr>
              <w:jc w:val="center"/>
            </w:pPr>
            <w:r>
              <w:rPr>
                <w:rFonts w:ascii="Arial" w:cs="Arial" w:eastAsia="Arial" w:hAnsi="Arial"/>
                <w:sz w:val="18"/>
                <w:szCs w:val="18"/>
              </w:rPr>
              <w:t xml:space="preserve">94.72</w:t>
            </w:r>
          </w:p>
        </w:tc>
      </w:tr>
      <w:tr>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Exp 2 Med LR [BEST]</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5e-5</w:t>
            </w:r>
          </w:p>
        </w:tc>
        <w:tc>
          <w:tcPr>
            <w:tcW w:type="dxa" w:w="85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1</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3</w:t>
            </w:r>
          </w:p>
        </w:tc>
        <w:tc>
          <w:tcPr>
            <w:tcW w:type="dxa" w:w="95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3</w:t>
            </w:r>
          </w:p>
        </w:tc>
        <w:tc>
          <w:tcPr>
            <w:tcW w:type="dxa" w:w="65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5</w:t>
            </w:r>
          </w:p>
        </w:tc>
        <w:tc>
          <w:tcPr>
            <w:tcW w:type="dxa" w:w="75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0.5717</w:t>
            </w:r>
          </w:p>
        </w:tc>
        <w:tc>
          <w:tcPr>
            <w:tcW w:type="dxa" w:w="75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0.3658</w:t>
            </w:r>
          </w:p>
        </w:tc>
        <w:tc>
          <w:tcPr>
            <w:tcW w:type="dxa" w:w="75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1.44</w:t>
            </w:r>
          </w:p>
        </w:tc>
        <w:tc>
          <w:tcPr>
            <w:tcW w:type="dxa" w:w="7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88.69</w:t>
            </w:r>
          </w:p>
        </w:tc>
        <w:tc>
          <w:tcPr>
            <w:tcW w:type="dxa" w:w="7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94.81</w:t>
            </w:r>
          </w:p>
        </w:tc>
      </w:tr>
      <w:tr>
        <w:tc>
          <w:tcPr>
            <w:tcW w:type="dxa" w:w="1300"/>
            <w:tcBorders>
              <w:top w:val="single" w:color="CCCCCC" w:sz="1"/>
              <w:left w:val="single" w:color="CCCCCC" w:sz="1"/>
              <w:bottom w:val="single" w:color="CCCCCC" w:sz="1"/>
              <w:right w:val="single" w:color="CCCCCC" w:sz="1"/>
            </w:tcBorders>
            <w:shd w:fill="EEF3FB" w:val="clear"/>
            <w:tcMar>
              <w:top w:type="dxa" w:w="60"/>
              <w:left w:type="dxa" w:w="120"/>
              <w:bottom w:type="dxa" w:w="60"/>
              <w:right w:type="dxa" w:w="120"/>
            </w:tcMar>
          </w:tcPr>
          <w:p>
            <w:pPr>
              <w:jc w:val="center"/>
            </w:pPr>
            <w:r>
              <w:rPr>
                <w:rFonts w:ascii="Arial" w:cs="Arial" w:eastAsia="Arial" w:hAnsi="Arial"/>
                <w:sz w:val="18"/>
                <w:szCs w:val="18"/>
              </w:rPr>
              <w:t xml:space="preserve">Exp 3 Low LR</w:t>
            </w:r>
          </w:p>
        </w:tc>
        <w:tc>
          <w:tcPr>
            <w:tcW w:type="dxa" w:w="900"/>
            <w:tcBorders>
              <w:top w:val="single" w:color="CCCCCC" w:sz="1"/>
              <w:left w:val="single" w:color="CCCCCC" w:sz="1"/>
              <w:bottom w:val="single" w:color="CCCCCC" w:sz="1"/>
              <w:right w:val="single" w:color="CCCCCC" w:sz="1"/>
            </w:tcBorders>
            <w:shd w:fill="EEF3FB" w:val="clear"/>
            <w:tcMar>
              <w:top w:type="dxa" w:w="60"/>
              <w:left w:type="dxa" w:w="120"/>
              <w:bottom w:type="dxa" w:w="60"/>
              <w:right w:type="dxa" w:w="120"/>
            </w:tcMar>
          </w:tcPr>
          <w:p>
            <w:pPr>
              <w:jc w:val="center"/>
            </w:pPr>
            <w:r>
              <w:rPr>
                <w:rFonts w:ascii="Arial" w:cs="Arial" w:eastAsia="Arial" w:hAnsi="Arial"/>
                <w:sz w:val="18"/>
                <w:szCs w:val="18"/>
              </w:rPr>
              <w:t xml:space="preserve">2e-5</w:t>
            </w:r>
          </w:p>
        </w:tc>
        <w:tc>
          <w:tcPr>
            <w:tcW w:type="dxa" w:w="850"/>
            <w:tcBorders>
              <w:top w:val="single" w:color="CCCCCC" w:sz="1"/>
              <w:left w:val="single" w:color="CCCCCC" w:sz="1"/>
              <w:bottom w:val="single" w:color="CCCCCC" w:sz="1"/>
              <w:right w:val="single" w:color="CCCCCC" w:sz="1"/>
            </w:tcBorders>
            <w:shd w:fill="EEF3FB" w:val="clear"/>
            <w:tcMar>
              <w:top w:type="dxa" w:w="60"/>
              <w:left w:type="dxa" w:w="120"/>
              <w:bottom w:type="dxa" w:w="60"/>
              <w:right w:type="dxa" w:w="120"/>
            </w:tcMar>
          </w:tcPr>
          <w:p>
            <w:pPr>
              <w:jc w:val="center"/>
            </w:pPr>
            <w:r>
              <w:rPr>
                <w:rFonts w:ascii="Arial" w:cs="Arial" w:eastAsia="Arial" w:hAnsi="Arial"/>
                <w:sz w:val="18"/>
                <w:szCs w:val="18"/>
              </w:rPr>
              <w:t xml:space="preserve">2</w:t>
            </w:r>
          </w:p>
        </w:tc>
        <w:tc>
          <w:tcPr>
            <w:tcW w:type="dxa" w:w="900"/>
            <w:tcBorders>
              <w:top w:val="single" w:color="CCCCCC" w:sz="1"/>
              <w:left w:val="single" w:color="CCCCCC" w:sz="1"/>
              <w:bottom w:val="single" w:color="CCCCCC" w:sz="1"/>
              <w:right w:val="single" w:color="CCCCCC" w:sz="1"/>
            </w:tcBorders>
            <w:shd w:fill="EEF3FB" w:val="clear"/>
            <w:tcMar>
              <w:top w:type="dxa" w:w="60"/>
              <w:left w:type="dxa" w:w="120"/>
              <w:bottom w:type="dxa" w:w="60"/>
              <w:right w:type="dxa" w:w="120"/>
            </w:tcMar>
          </w:tcPr>
          <w:p>
            <w:pPr>
              <w:jc w:val="center"/>
            </w:pPr>
            <w:r>
              <w:rPr>
                <w:rFonts w:ascii="Arial" w:cs="Arial" w:eastAsia="Arial" w:hAnsi="Arial"/>
                <w:sz w:val="18"/>
                <w:szCs w:val="18"/>
              </w:rPr>
              <w:t xml:space="preserve">2</w:t>
            </w:r>
          </w:p>
        </w:tc>
        <w:tc>
          <w:tcPr>
            <w:tcW w:type="dxa" w:w="950"/>
            <w:tcBorders>
              <w:top w:val="single" w:color="CCCCCC" w:sz="1"/>
              <w:left w:val="single" w:color="CCCCCC" w:sz="1"/>
              <w:bottom w:val="single" w:color="CCCCCC" w:sz="1"/>
              <w:right w:val="single" w:color="CCCCCC" w:sz="1"/>
            </w:tcBorders>
            <w:shd w:fill="EEF3FB" w:val="clear"/>
            <w:tcMar>
              <w:top w:type="dxa" w:w="60"/>
              <w:left w:type="dxa" w:w="120"/>
              <w:bottom w:type="dxa" w:w="60"/>
              <w:right w:type="dxa" w:w="120"/>
            </w:tcMar>
          </w:tcPr>
          <w:p>
            <w:pPr>
              <w:jc w:val="center"/>
            </w:pPr>
            <w:r>
              <w:rPr>
                <w:rFonts w:ascii="Arial" w:cs="Arial" w:eastAsia="Arial" w:hAnsi="Arial"/>
                <w:sz w:val="18"/>
                <w:szCs w:val="18"/>
              </w:rPr>
              <w:t xml:space="preserve">4</w:t>
            </w:r>
          </w:p>
        </w:tc>
        <w:tc>
          <w:tcPr>
            <w:tcW w:type="dxa" w:w="650"/>
            <w:tcBorders>
              <w:top w:val="single" w:color="CCCCCC" w:sz="1"/>
              <w:left w:val="single" w:color="CCCCCC" w:sz="1"/>
              <w:bottom w:val="single" w:color="CCCCCC" w:sz="1"/>
              <w:right w:val="single" w:color="CCCCCC" w:sz="1"/>
            </w:tcBorders>
            <w:shd w:fill="EEF3FB" w:val="clear"/>
            <w:tcMar>
              <w:top w:type="dxa" w:w="60"/>
              <w:left w:type="dxa" w:w="120"/>
              <w:bottom w:type="dxa" w:w="60"/>
              <w:right w:type="dxa" w:w="120"/>
            </w:tcMar>
          </w:tcPr>
          <w:p>
            <w:pPr>
              <w:jc w:val="center"/>
            </w:pPr>
            <w:r>
              <w:rPr>
                <w:rFonts w:ascii="Arial" w:cs="Arial" w:eastAsia="Arial" w:hAnsi="Arial"/>
                <w:sz w:val="18"/>
                <w:szCs w:val="18"/>
              </w:rPr>
              <w:t xml:space="preserve">5</w:t>
            </w:r>
          </w:p>
        </w:tc>
        <w:tc>
          <w:tcPr>
            <w:tcW w:type="dxa" w:w="750"/>
            <w:tcBorders>
              <w:top w:val="single" w:color="CCCCCC" w:sz="1"/>
              <w:left w:val="single" w:color="CCCCCC" w:sz="1"/>
              <w:bottom w:val="single" w:color="CCCCCC" w:sz="1"/>
              <w:right w:val="single" w:color="CCCCCC" w:sz="1"/>
            </w:tcBorders>
            <w:shd w:fill="EEF3FB" w:val="clear"/>
            <w:tcMar>
              <w:top w:type="dxa" w:w="60"/>
              <w:left w:type="dxa" w:w="120"/>
              <w:bottom w:type="dxa" w:w="60"/>
              <w:right w:type="dxa" w:w="120"/>
            </w:tcMar>
          </w:tcPr>
          <w:p>
            <w:pPr>
              <w:jc w:val="center"/>
            </w:pPr>
            <w:r>
              <w:rPr>
                <w:rFonts w:ascii="Arial" w:cs="Arial" w:eastAsia="Arial" w:hAnsi="Arial"/>
                <w:sz w:val="18"/>
                <w:szCs w:val="18"/>
              </w:rPr>
              <w:t xml:space="preserve">0.8304</w:t>
            </w:r>
          </w:p>
        </w:tc>
        <w:tc>
          <w:tcPr>
            <w:tcW w:type="dxa" w:w="750"/>
            <w:tcBorders>
              <w:top w:val="single" w:color="CCCCCC" w:sz="1"/>
              <w:left w:val="single" w:color="CCCCCC" w:sz="1"/>
              <w:bottom w:val="single" w:color="CCCCCC" w:sz="1"/>
              <w:right w:val="single" w:color="CCCCCC" w:sz="1"/>
            </w:tcBorders>
            <w:shd w:fill="EEF3FB" w:val="clear"/>
            <w:tcMar>
              <w:top w:type="dxa" w:w="60"/>
              <w:left w:type="dxa" w:w="120"/>
              <w:bottom w:type="dxa" w:w="60"/>
              <w:right w:type="dxa" w:w="120"/>
            </w:tcMar>
          </w:tcPr>
          <w:p>
            <w:pPr>
              <w:jc w:val="center"/>
            </w:pPr>
            <w:r>
              <w:rPr>
                <w:rFonts w:ascii="Arial" w:cs="Arial" w:eastAsia="Arial" w:hAnsi="Arial"/>
                <w:sz w:val="18"/>
                <w:szCs w:val="18"/>
              </w:rPr>
              <w:t xml:space="preserve">0.3893</w:t>
            </w:r>
          </w:p>
        </w:tc>
        <w:tc>
          <w:tcPr>
            <w:tcW w:type="dxa" w:w="750"/>
            <w:tcBorders>
              <w:top w:val="single" w:color="CCCCCC" w:sz="1"/>
              <w:left w:val="single" w:color="CCCCCC" w:sz="1"/>
              <w:bottom w:val="single" w:color="CCCCCC" w:sz="1"/>
              <w:right w:val="single" w:color="CCCCCC" w:sz="1"/>
            </w:tcBorders>
            <w:shd w:fill="EEF3FB" w:val="clear"/>
            <w:tcMar>
              <w:top w:type="dxa" w:w="60"/>
              <w:left w:type="dxa" w:w="120"/>
              <w:bottom w:type="dxa" w:w="60"/>
              <w:right w:type="dxa" w:w="120"/>
            </w:tcMar>
          </w:tcPr>
          <w:p>
            <w:pPr>
              <w:jc w:val="center"/>
            </w:pPr>
            <w:r>
              <w:rPr>
                <w:rFonts w:ascii="Arial" w:cs="Arial" w:eastAsia="Arial" w:hAnsi="Arial"/>
                <w:sz w:val="18"/>
                <w:szCs w:val="18"/>
              </w:rPr>
              <w:t xml:space="preserve">1.48</w:t>
            </w:r>
          </w:p>
        </w:tc>
        <w:tc>
          <w:tcPr>
            <w:tcW w:type="dxa" w:w="780"/>
            <w:tcBorders>
              <w:top w:val="single" w:color="CCCCCC" w:sz="1"/>
              <w:left w:val="single" w:color="CCCCCC" w:sz="1"/>
              <w:bottom w:val="single" w:color="CCCCCC" w:sz="1"/>
              <w:right w:val="single" w:color="CCCCCC" w:sz="1"/>
            </w:tcBorders>
            <w:shd w:fill="EEF3FB" w:val="clear"/>
            <w:tcMar>
              <w:top w:type="dxa" w:w="60"/>
              <w:left w:type="dxa" w:w="120"/>
              <w:bottom w:type="dxa" w:w="60"/>
              <w:right w:type="dxa" w:w="120"/>
            </w:tcMar>
          </w:tcPr>
          <w:p>
            <w:pPr>
              <w:jc w:val="center"/>
            </w:pPr>
            <w:r>
              <w:rPr>
                <w:rFonts w:ascii="Arial" w:cs="Arial" w:eastAsia="Arial" w:hAnsi="Arial"/>
                <w:sz w:val="18"/>
                <w:szCs w:val="18"/>
              </w:rPr>
              <w:t xml:space="preserve">80.38</w:t>
            </w:r>
          </w:p>
        </w:tc>
        <w:tc>
          <w:tcPr>
            <w:tcW w:type="dxa" w:w="780"/>
            <w:tcBorders>
              <w:top w:val="single" w:color="CCCCCC" w:sz="1"/>
              <w:left w:val="single" w:color="CCCCCC" w:sz="1"/>
              <w:bottom w:val="single" w:color="CCCCCC" w:sz="1"/>
              <w:right w:val="single" w:color="CCCCCC" w:sz="1"/>
            </w:tcBorders>
            <w:shd w:fill="EEF3FB" w:val="clear"/>
            <w:tcMar>
              <w:top w:type="dxa" w:w="60"/>
              <w:left w:type="dxa" w:w="120"/>
              <w:bottom w:type="dxa" w:w="60"/>
              <w:right w:type="dxa" w:w="120"/>
            </w:tcMar>
          </w:tcPr>
          <w:p>
            <w:pPr>
              <w:jc w:val="center"/>
            </w:pPr>
            <w:r>
              <w:rPr>
                <w:rFonts w:ascii="Arial" w:cs="Arial" w:eastAsia="Arial" w:hAnsi="Arial"/>
                <w:sz w:val="18"/>
                <w:szCs w:val="18"/>
              </w:rPr>
              <w:t xml:space="preserve">85.27</w:t>
            </w:r>
          </w:p>
        </w:tc>
      </w:tr>
    </w:tbl>
    <w:p>
      <w:pPr>
        <w:spacing w:before="60" w:after="60"/>
      </w:pPr>
      <w:r>
        <w:t xml:space="preserve"/>
      </w:r>
    </w:p>
    <w:p>
      <w:pPr>
        <w:spacing w:before="60" w:after="80"/>
      </w:pPr>
      <w:r>
        <w:rPr>
          <w:rFonts w:ascii="Arial" w:cs="Arial" w:eastAsia="Arial" w:hAnsi="Arial"/>
          <w:b/>
          <w:bCs/>
          <w:color w:val="16A34A"/>
          <w:sz w:val="22"/>
          <w:szCs w:val="22"/>
        </w:rPr>
        <w:t xml:space="preserve">Best Model: Experiment 2 (LR = 5e-5) — lowest validation loss (0.3658) and highest ROUGE-L (94.81).</w:t>
      </w:r>
    </w:p>
    <w:p>
      <w:pPr>
        <w:spacing w:before="60" w:after="60"/>
      </w:pPr>
      <w:r>
        <w:t xml:space="preserve"/>
      </w:r>
    </w:p>
    <w:p>
      <w:pPr>
        <w:pStyle w:val="Heading2"/>
        <w:spacing w:before="240" w:after="100"/>
      </w:pPr>
      <w:r>
        <w:rPr>
          <w:rFonts w:ascii="Arial" w:cs="Arial" w:eastAsia="Arial" w:hAnsi="Arial"/>
          <w:b/>
          <w:bCs/>
          <w:color w:val="2E5090"/>
          <w:sz w:val="26"/>
          <w:szCs w:val="26"/>
        </w:rPr>
        <w:t xml:space="preserve">4.1 Analysis of Experiments</w:t>
      </w:r>
    </w:p>
    <w:p>
      <w:pPr>
        <w:spacing w:before="200" w:after="80"/>
      </w:pPr>
      <w:r>
        <w:rPr>
          <w:rFonts w:ascii="Arial" w:cs="Arial" w:eastAsia="Arial" w:hAnsi="Arial"/>
          <w:b/>
          <w:bCs/>
          <w:color w:val="333333"/>
          <w:sz w:val="24"/>
          <w:szCs w:val="24"/>
        </w:rPr>
        <w:t xml:space="preserve">Experiment 1 — High Learning Rate (1e-4)</w:t>
      </w:r>
    </w:p>
    <w:p>
      <w:pPr>
        <w:spacing w:before="80" w:after="100"/>
      </w:pPr>
      <w:r>
        <w:rPr>
          <w:rFonts w:ascii="Arial" w:cs="Arial" w:eastAsia="Arial" w:hAnsi="Arial"/>
          <w:b w:val="false"/>
          <w:bCs w:val="false"/>
          <w:color w:val="000000"/>
          <w:sz w:val="22"/>
          <w:szCs w:val="22"/>
        </w:rPr>
        <w:t xml:space="preserve">A learning rate of 1e-4 with an effective batch size of 8 produced strong results: validation loss 0.368, BLEU 88.67. Training completed in 27 minutes. The marginally higher validation loss compared to Experiment 2 is consistent with findings that very high learning rates can cause overshoot in later training epochs [10].</w:t>
      </w:r>
    </w:p>
    <w:p>
      <w:pPr>
        <w:spacing w:before="60" w:after="60"/>
      </w:pPr>
      <w:r>
        <w:t xml:space="preserve"/>
      </w:r>
    </w:p>
    <w:p>
      <w:pPr>
        <w:spacing w:before="200" w:after="80"/>
      </w:pPr>
      <w:r>
        <w:rPr>
          <w:rFonts w:ascii="Arial" w:cs="Arial" w:eastAsia="Arial" w:hAnsi="Arial"/>
          <w:b/>
          <w:bCs/>
          <w:color w:val="333333"/>
          <w:sz w:val="24"/>
          <w:szCs w:val="24"/>
        </w:rPr>
        <w:t xml:space="preserve">Experiment 2 — Medium Learning Rate (5e-5) — Best Model</w:t>
      </w:r>
    </w:p>
    <w:p>
      <w:pPr>
        <w:spacing w:before="80" w:after="100"/>
      </w:pPr>
      <w:r>
        <w:rPr>
          <w:rFonts w:ascii="Arial" w:cs="Arial" w:eastAsia="Arial" w:hAnsi="Arial"/>
          <w:b w:val="false"/>
          <w:bCs w:val="false"/>
          <w:color w:val="000000"/>
          <w:sz w:val="22"/>
          <w:szCs w:val="22"/>
        </w:rPr>
        <w:t xml:space="preserve">A learning rate of 5e-5 achieved the best overall performance: validation loss 0.3658 and ROUGE-L 94.81. The lower training loss of 0.5717 indicates more stable convergence. This range of 1e-5 to 1e-4 is consistent with recommended learning rates for LoRA fine-tuning reported in [2] and [6].</w:t>
      </w:r>
    </w:p>
    <w:p>
      <w:pPr>
        <w:spacing w:before="60" w:after="60"/>
      </w:pPr>
      <w:r>
        <w:t xml:space="preserve"/>
      </w:r>
    </w:p>
    <w:p>
      <w:pPr>
        <w:spacing w:before="200" w:after="80"/>
      </w:pPr>
      <w:r>
        <w:rPr>
          <w:rFonts w:ascii="Arial" w:cs="Arial" w:eastAsia="Arial" w:hAnsi="Arial"/>
          <w:b/>
          <w:bCs/>
          <w:color w:val="333333"/>
          <w:sz w:val="24"/>
          <w:szCs w:val="24"/>
        </w:rPr>
        <w:t xml:space="preserve">Experiment 3 — Low Learning Rate (2e-5)</w:t>
      </w:r>
    </w:p>
    <w:p>
      <w:pPr>
        <w:spacing w:before="80" w:after="100"/>
      </w:pPr>
      <w:r>
        <w:rPr>
          <w:rFonts w:ascii="Arial" w:cs="Arial" w:eastAsia="Arial" w:hAnsi="Arial"/>
          <w:b w:val="false"/>
          <w:bCs w:val="false"/>
          <w:color w:val="000000"/>
          <w:sz w:val="22"/>
          <w:szCs w:val="22"/>
        </w:rPr>
        <w:t xml:space="preserve">The low learning rate of 2e-5 produced weaker performance: BLEU 80.38 and ROUGE-L 85.27. The higher training loss of 0.8304 suggests insufficient convergence within 5 epochs at this rate, consistent with the expectation that very low learning rates require more training steps [10].</w:t>
      </w:r>
    </w:p>
    <w:p>
      <w:pPr>
        <w:spacing w:before="60" w:after="60"/>
      </w:pPr>
      <w:r>
        <w:t xml:space="preserve"/>
      </w:r>
    </w:p>
    <w:p>
      <w:pPr>
        <w:pStyle w:val="Heading2"/>
        <w:spacing w:before="240" w:after="100"/>
      </w:pPr>
      <w:r>
        <w:rPr>
          <w:rFonts w:ascii="Arial" w:cs="Arial" w:eastAsia="Arial" w:hAnsi="Arial"/>
          <w:b/>
          <w:bCs/>
          <w:color w:val="2E5090"/>
          <w:sz w:val="26"/>
          <w:szCs w:val="26"/>
        </w:rPr>
        <w:t xml:space="preserve">4.2 GPU Memory and Training Time</w:t>
      </w:r>
    </w:p>
    <w:p>
      <w:pPr>
        <w:spacing w:before="80" w:after="100"/>
      </w:pPr>
      <w:r>
        <w:rPr>
          <w:rFonts w:ascii="Arial" w:cs="Arial" w:eastAsia="Arial" w:hAnsi="Arial"/>
          <w:b w:val="false"/>
          <w:bCs w:val="false"/>
          <w:color w:val="000000"/>
          <w:sz w:val="22"/>
          <w:szCs w:val="22"/>
        </w:rPr>
        <w:t xml:space="preserve">All experiments consumed approximately 6.28 GB of GPU memory, confirming the LoRA configuration is memory-efficient for constrained hardware [6]. Training times ranged from 27 to 48 minutes, with Experiment 2 taking longer due to its smaller effective batch size.</w:t>
      </w:r>
    </w:p>
    <w:p>
      <w:pPr>
        <w:spacing w:before="60" w:after="60"/>
      </w:pPr>
      <w:r>
        <w:t xml:space="preserve"/>
      </w:r>
    </w:p>
    <w:p>
      <w:r>
        <w:br w:type="page"/>
      </w:r>
    </w:p>
    <w:p>
      <w:pPr>
        <w:pStyle w:val="Heading1"/>
        <w:spacing w:before="360" w:after="120"/>
      </w:pPr>
      <w:r>
        <w:rPr>
          <w:rFonts w:ascii="Arial" w:cs="Arial" w:eastAsia="Arial" w:hAnsi="Arial"/>
          <w:b/>
          <w:bCs/>
          <w:color w:val="1E3A5F"/>
          <w:sz w:val="32"/>
          <w:szCs w:val="32"/>
        </w:rPr>
        <w:t xml:space="preserve">5. Performance Metrics and Evaluation</w:t>
      </w:r>
    </w:p>
    <w:p>
      <w:pPr>
        <w:pStyle w:val="Heading2"/>
        <w:spacing w:before="240" w:after="100"/>
      </w:pPr>
      <w:r>
        <w:rPr>
          <w:rFonts w:ascii="Arial" w:cs="Arial" w:eastAsia="Arial" w:hAnsi="Arial"/>
          <w:b/>
          <w:bCs/>
          <w:color w:val="2E5090"/>
          <w:sz w:val="26"/>
          <w:szCs w:val="26"/>
        </w:rPr>
        <w:t xml:space="preserve">5.1 Quantitative Metrics</w:t>
      </w:r>
    </w:p>
    <w:p>
      <w:pPr>
        <w:spacing w:before="80" w:after="100"/>
      </w:pPr>
      <w:r>
        <w:rPr>
          <w:rFonts w:ascii="Arial" w:cs="Arial" w:eastAsia="Arial" w:hAnsi="Arial"/>
          <w:b w:val="false"/>
          <w:bCs w:val="false"/>
          <w:color w:val="000000"/>
          <w:sz w:val="22"/>
          <w:szCs w:val="22"/>
        </w:rPr>
        <w:t xml:space="preserve">Models were evaluated using three standard NLP metrics: Perplexity, BLEU [12], and ROUGE-L [13]. These metrics capture complementary aspects of response quality and are widely used for evaluating generative language model outputs [4] [5].</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1560"/>
        <w:gridCol w:w="1560"/>
        <w:gridCol w:w="1170"/>
        <w:gridCol w:w="1170"/>
      </w:tblGrid>
      <w:tr>
        <w:trPr>
          <w:tblHeader/>
        </w:trPr>
        <w:tc>
          <w:tcPr>
            <w:tcW w:type="dxa" w:w="2340"/>
            <w:tcBorders>
              <w:top w:val="single" w:color="1E40AF" w:sz="1"/>
              <w:left w:val="single" w:color="1E40AF" w:sz="1"/>
              <w:bottom w:val="single" w:color="1E40AF" w:sz="1"/>
              <w:right w:val="single" w:color="1E40AF"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Metric</w:t>
            </w:r>
          </w:p>
        </w:tc>
        <w:tc>
          <w:tcPr>
            <w:tcW w:type="dxa" w:w="1560"/>
            <w:tcBorders>
              <w:top w:val="single" w:color="1E40AF" w:sz="1"/>
              <w:left w:val="single" w:color="1E40AF" w:sz="1"/>
              <w:bottom w:val="single" w:color="1E40AF" w:sz="1"/>
              <w:right w:val="single" w:color="1E40AF"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Baseline</w:t>
            </w:r>
          </w:p>
        </w:tc>
        <w:tc>
          <w:tcPr>
            <w:tcW w:type="dxa" w:w="1560"/>
            <w:tcBorders>
              <w:top w:val="single" w:color="1E40AF" w:sz="1"/>
              <w:left w:val="single" w:color="1E40AF" w:sz="1"/>
              <w:bottom w:val="single" w:color="1E40AF" w:sz="1"/>
              <w:right w:val="single" w:color="1E40AF"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Exp 1</w:t>
            </w:r>
          </w:p>
        </w:tc>
        <w:tc>
          <w:tcPr>
            <w:tcW w:type="dxa" w:w="1560"/>
            <w:tcBorders>
              <w:top w:val="single" w:color="1E40AF" w:sz="1"/>
              <w:left w:val="single" w:color="1E40AF" w:sz="1"/>
              <w:bottom w:val="single" w:color="1E40AF" w:sz="1"/>
              <w:right w:val="single" w:color="1E40AF"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Exp 2 (Best)</w:t>
            </w:r>
          </w:p>
        </w:tc>
        <w:tc>
          <w:tcPr>
            <w:tcW w:type="dxa" w:w="1170"/>
            <w:tcBorders>
              <w:top w:val="single" w:color="1E40AF" w:sz="1"/>
              <w:left w:val="single" w:color="1E40AF" w:sz="1"/>
              <w:bottom w:val="single" w:color="1E40AF" w:sz="1"/>
              <w:right w:val="single" w:color="1E40AF"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Exp 3</w:t>
            </w:r>
          </w:p>
        </w:tc>
        <w:tc>
          <w:tcPr>
            <w:tcW w:type="dxa" w:w="1170"/>
            <w:tcBorders>
              <w:top w:val="single" w:color="1E40AF" w:sz="1"/>
              <w:left w:val="single" w:color="1E40AF" w:sz="1"/>
              <w:bottom w:val="single" w:color="1E40AF" w:sz="1"/>
              <w:right w:val="single" w:color="1E40AF"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Improvement (Best)</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Perplexity</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147,204</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1.44</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1.44</w:t>
            </w:r>
          </w:p>
        </w:tc>
        <w:tc>
          <w:tcPr>
            <w:tcW w:type="dxa" w:w="117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1.48</w:t>
            </w:r>
          </w:p>
        </w:tc>
        <w:tc>
          <w:tcPr>
            <w:tcW w:type="dxa" w:w="117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 99.999%</w:t>
            </w:r>
          </w:p>
        </w:tc>
      </w:tr>
      <w:tr>
        <w:tc>
          <w:tcPr>
            <w:tcW w:type="dxa" w:w="2340"/>
            <w:tcBorders>
              <w:top w:val="single" w:color="CCCCCC" w:sz="1"/>
              <w:left w:val="single" w:color="CCCCCC" w:sz="1"/>
              <w:bottom w:val="single" w:color="CCCCCC" w:sz="1"/>
              <w:right w:val="single" w:color="CCCCCC" w:sz="1"/>
            </w:tcBorders>
            <w:shd w:fill="EEF3FB" w:val="clear"/>
            <w:tcMar>
              <w:top w:type="dxa" w:w="60"/>
              <w:left w:type="dxa" w:w="120"/>
              <w:bottom w:type="dxa" w:w="60"/>
              <w:right w:type="dxa" w:w="120"/>
            </w:tcMar>
          </w:tcPr>
          <w:p>
            <w:pPr>
              <w:jc w:val="center"/>
            </w:pPr>
            <w:r>
              <w:rPr>
                <w:rFonts w:ascii="Arial" w:cs="Arial" w:eastAsia="Arial" w:hAnsi="Arial"/>
                <w:sz w:val="18"/>
                <w:szCs w:val="18"/>
              </w:rPr>
              <w:t xml:space="preserve">BLEU [12]</w:t>
            </w:r>
          </w:p>
        </w:tc>
        <w:tc>
          <w:tcPr>
            <w:tcW w:type="dxa" w:w="1560"/>
            <w:tcBorders>
              <w:top w:val="single" w:color="CCCCCC" w:sz="1"/>
              <w:left w:val="single" w:color="CCCCCC" w:sz="1"/>
              <w:bottom w:val="single" w:color="CCCCCC" w:sz="1"/>
              <w:right w:val="single" w:color="CCCCCC" w:sz="1"/>
            </w:tcBorders>
            <w:shd w:fill="EEF3FB" w:val="clear"/>
            <w:tcMar>
              <w:top w:type="dxa" w:w="60"/>
              <w:left w:type="dxa" w:w="120"/>
              <w:bottom w:type="dxa" w:w="60"/>
              <w:right w:type="dxa" w:w="120"/>
            </w:tcMar>
          </w:tcPr>
          <w:p>
            <w:pPr>
              <w:jc w:val="center"/>
            </w:pPr>
            <w:r>
              <w:rPr>
                <w:rFonts w:ascii="Arial" w:cs="Arial" w:eastAsia="Arial" w:hAnsi="Arial"/>
                <w:sz w:val="18"/>
                <w:szCs w:val="18"/>
              </w:rPr>
              <w:t xml:space="preserve">67.67</w:t>
            </w:r>
          </w:p>
        </w:tc>
        <w:tc>
          <w:tcPr>
            <w:tcW w:type="dxa" w:w="1560"/>
            <w:tcBorders>
              <w:top w:val="single" w:color="CCCCCC" w:sz="1"/>
              <w:left w:val="single" w:color="CCCCCC" w:sz="1"/>
              <w:bottom w:val="single" w:color="CCCCCC" w:sz="1"/>
              <w:right w:val="single" w:color="CCCCCC" w:sz="1"/>
            </w:tcBorders>
            <w:shd w:fill="EEF3FB" w:val="clear"/>
            <w:tcMar>
              <w:top w:type="dxa" w:w="60"/>
              <w:left w:type="dxa" w:w="120"/>
              <w:bottom w:type="dxa" w:w="60"/>
              <w:right w:type="dxa" w:w="120"/>
            </w:tcMar>
          </w:tcPr>
          <w:p>
            <w:pPr>
              <w:jc w:val="center"/>
            </w:pPr>
            <w:r>
              <w:rPr>
                <w:rFonts w:ascii="Arial" w:cs="Arial" w:eastAsia="Arial" w:hAnsi="Arial"/>
                <w:sz w:val="18"/>
                <w:szCs w:val="18"/>
              </w:rPr>
              <w:t xml:space="preserve">88.67</w:t>
            </w:r>
          </w:p>
        </w:tc>
        <w:tc>
          <w:tcPr>
            <w:tcW w:type="dxa" w:w="1560"/>
            <w:tcBorders>
              <w:top w:val="single" w:color="CCCCCC" w:sz="1"/>
              <w:left w:val="single" w:color="CCCCCC" w:sz="1"/>
              <w:bottom w:val="single" w:color="CCCCCC" w:sz="1"/>
              <w:right w:val="single" w:color="CCCCCC" w:sz="1"/>
            </w:tcBorders>
            <w:shd w:fill="EEF3FB" w:val="clear"/>
            <w:tcMar>
              <w:top w:type="dxa" w:w="60"/>
              <w:left w:type="dxa" w:w="120"/>
              <w:bottom w:type="dxa" w:w="60"/>
              <w:right w:type="dxa" w:w="120"/>
            </w:tcMar>
          </w:tcPr>
          <w:p>
            <w:pPr>
              <w:jc w:val="center"/>
            </w:pPr>
            <w:r>
              <w:rPr>
                <w:rFonts w:ascii="Arial" w:cs="Arial" w:eastAsia="Arial" w:hAnsi="Arial"/>
                <w:sz w:val="18"/>
                <w:szCs w:val="18"/>
              </w:rPr>
              <w:t xml:space="preserve">88.69</w:t>
            </w:r>
          </w:p>
        </w:tc>
        <w:tc>
          <w:tcPr>
            <w:tcW w:type="dxa" w:w="1170"/>
            <w:tcBorders>
              <w:top w:val="single" w:color="CCCCCC" w:sz="1"/>
              <w:left w:val="single" w:color="CCCCCC" w:sz="1"/>
              <w:bottom w:val="single" w:color="CCCCCC" w:sz="1"/>
              <w:right w:val="single" w:color="CCCCCC" w:sz="1"/>
            </w:tcBorders>
            <w:shd w:fill="EEF3FB" w:val="clear"/>
            <w:tcMar>
              <w:top w:type="dxa" w:w="60"/>
              <w:left w:type="dxa" w:w="120"/>
              <w:bottom w:type="dxa" w:w="60"/>
              <w:right w:type="dxa" w:w="120"/>
            </w:tcMar>
          </w:tcPr>
          <w:p>
            <w:pPr>
              <w:jc w:val="center"/>
            </w:pPr>
            <w:r>
              <w:rPr>
                <w:rFonts w:ascii="Arial" w:cs="Arial" w:eastAsia="Arial" w:hAnsi="Arial"/>
                <w:sz w:val="18"/>
                <w:szCs w:val="18"/>
              </w:rPr>
              <w:t xml:space="preserve">80.38</w:t>
            </w:r>
          </w:p>
        </w:tc>
        <w:tc>
          <w:tcPr>
            <w:tcW w:type="dxa" w:w="1170"/>
            <w:tcBorders>
              <w:top w:val="single" w:color="CCCCCC" w:sz="1"/>
              <w:left w:val="single" w:color="CCCCCC" w:sz="1"/>
              <w:bottom w:val="single" w:color="CCCCCC" w:sz="1"/>
              <w:right w:val="single" w:color="CCCCCC" w:sz="1"/>
            </w:tcBorders>
            <w:shd w:fill="EEF3FB" w:val="clear"/>
            <w:tcMar>
              <w:top w:type="dxa" w:w="60"/>
              <w:left w:type="dxa" w:w="120"/>
              <w:bottom w:type="dxa" w:w="60"/>
              <w:right w:type="dxa" w:w="120"/>
            </w:tcMar>
          </w:tcPr>
          <w:p>
            <w:pPr>
              <w:jc w:val="center"/>
            </w:pPr>
            <w:r>
              <w:rPr>
                <w:rFonts w:ascii="Arial" w:cs="Arial" w:eastAsia="Arial" w:hAnsi="Arial"/>
                <w:sz w:val="18"/>
                <w:szCs w:val="18"/>
              </w:rPr>
              <w:t xml:space="preserve">↑ 31.06%</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ROUGE-L [13]</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76.57</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94.72</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94.81</w:t>
            </w:r>
          </w:p>
        </w:tc>
        <w:tc>
          <w:tcPr>
            <w:tcW w:type="dxa" w:w="117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85.27</w:t>
            </w:r>
          </w:p>
        </w:tc>
        <w:tc>
          <w:tcPr>
            <w:tcW w:type="dxa" w:w="117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 23.83%</w:t>
            </w:r>
          </w:p>
        </w:tc>
      </w:tr>
      <w:tr>
        <w:tc>
          <w:tcPr>
            <w:tcW w:type="dxa" w:w="2340"/>
            <w:tcBorders>
              <w:top w:val="single" w:color="CCCCCC" w:sz="1"/>
              <w:left w:val="single" w:color="CCCCCC" w:sz="1"/>
              <w:bottom w:val="single" w:color="CCCCCC" w:sz="1"/>
              <w:right w:val="single" w:color="CCCCCC" w:sz="1"/>
            </w:tcBorders>
            <w:shd w:fill="EEF3FB" w:val="clear"/>
            <w:tcMar>
              <w:top w:type="dxa" w:w="60"/>
              <w:left w:type="dxa" w:w="120"/>
              <w:bottom w:type="dxa" w:w="60"/>
              <w:right w:type="dxa" w:w="120"/>
            </w:tcMar>
          </w:tcPr>
          <w:p>
            <w:pPr>
              <w:jc w:val="center"/>
            </w:pPr>
            <w:r>
              <w:rPr>
                <w:rFonts w:ascii="Arial" w:cs="Arial" w:eastAsia="Arial" w:hAnsi="Arial"/>
                <w:sz w:val="18"/>
                <w:szCs w:val="18"/>
              </w:rPr>
              <w:t xml:space="preserve">Val Loss</w:t>
            </w:r>
          </w:p>
        </w:tc>
        <w:tc>
          <w:tcPr>
            <w:tcW w:type="dxa" w:w="1560"/>
            <w:tcBorders>
              <w:top w:val="single" w:color="CCCCCC" w:sz="1"/>
              <w:left w:val="single" w:color="CCCCCC" w:sz="1"/>
              <w:bottom w:val="single" w:color="CCCCCC" w:sz="1"/>
              <w:right w:val="single" w:color="CCCCCC" w:sz="1"/>
            </w:tcBorders>
            <w:shd w:fill="EEF3FB" w:val="clear"/>
            <w:tcMar>
              <w:top w:type="dxa" w:w="60"/>
              <w:left w:type="dxa" w:w="120"/>
              <w:bottom w:type="dxa" w:w="60"/>
              <w:right w:type="dxa" w:w="120"/>
            </w:tcMar>
          </w:tcPr>
          <w:p>
            <w:pPr>
              <w:jc w:val="center"/>
            </w:pPr>
            <w:r>
              <w:rPr>
                <w:rFonts w:ascii="Arial" w:cs="Arial" w:eastAsia="Arial" w:hAnsi="Arial"/>
                <w:sz w:val="18"/>
                <w:szCs w:val="18"/>
              </w:rPr>
              <w:t xml:space="preserve">11.8996</w:t>
            </w:r>
          </w:p>
        </w:tc>
        <w:tc>
          <w:tcPr>
            <w:tcW w:type="dxa" w:w="1560"/>
            <w:tcBorders>
              <w:top w:val="single" w:color="CCCCCC" w:sz="1"/>
              <w:left w:val="single" w:color="CCCCCC" w:sz="1"/>
              <w:bottom w:val="single" w:color="CCCCCC" w:sz="1"/>
              <w:right w:val="single" w:color="CCCCCC" w:sz="1"/>
            </w:tcBorders>
            <w:shd w:fill="EEF3FB" w:val="clear"/>
            <w:tcMar>
              <w:top w:type="dxa" w:w="60"/>
              <w:left w:type="dxa" w:w="120"/>
              <w:bottom w:type="dxa" w:w="60"/>
              <w:right w:type="dxa" w:w="120"/>
            </w:tcMar>
          </w:tcPr>
          <w:p>
            <w:pPr>
              <w:jc w:val="center"/>
            </w:pPr>
            <w:r>
              <w:rPr>
                <w:rFonts w:ascii="Arial" w:cs="Arial" w:eastAsia="Arial" w:hAnsi="Arial"/>
                <w:sz w:val="18"/>
                <w:szCs w:val="18"/>
              </w:rPr>
              <w:t xml:space="preserve">0.3680</w:t>
            </w:r>
          </w:p>
        </w:tc>
        <w:tc>
          <w:tcPr>
            <w:tcW w:type="dxa" w:w="1560"/>
            <w:tcBorders>
              <w:top w:val="single" w:color="CCCCCC" w:sz="1"/>
              <w:left w:val="single" w:color="CCCCCC" w:sz="1"/>
              <w:bottom w:val="single" w:color="CCCCCC" w:sz="1"/>
              <w:right w:val="single" w:color="CCCCCC" w:sz="1"/>
            </w:tcBorders>
            <w:shd w:fill="EEF3FB" w:val="clear"/>
            <w:tcMar>
              <w:top w:type="dxa" w:w="60"/>
              <w:left w:type="dxa" w:w="120"/>
              <w:bottom w:type="dxa" w:w="60"/>
              <w:right w:type="dxa" w:w="120"/>
            </w:tcMar>
          </w:tcPr>
          <w:p>
            <w:pPr>
              <w:jc w:val="center"/>
            </w:pPr>
            <w:r>
              <w:rPr>
                <w:rFonts w:ascii="Arial" w:cs="Arial" w:eastAsia="Arial" w:hAnsi="Arial"/>
                <w:sz w:val="18"/>
                <w:szCs w:val="18"/>
              </w:rPr>
              <w:t xml:space="preserve">0.3658</w:t>
            </w:r>
          </w:p>
        </w:tc>
        <w:tc>
          <w:tcPr>
            <w:tcW w:type="dxa" w:w="1170"/>
            <w:tcBorders>
              <w:top w:val="single" w:color="CCCCCC" w:sz="1"/>
              <w:left w:val="single" w:color="CCCCCC" w:sz="1"/>
              <w:bottom w:val="single" w:color="CCCCCC" w:sz="1"/>
              <w:right w:val="single" w:color="CCCCCC" w:sz="1"/>
            </w:tcBorders>
            <w:shd w:fill="EEF3FB" w:val="clear"/>
            <w:tcMar>
              <w:top w:type="dxa" w:w="60"/>
              <w:left w:type="dxa" w:w="120"/>
              <w:bottom w:type="dxa" w:w="60"/>
              <w:right w:type="dxa" w:w="120"/>
            </w:tcMar>
          </w:tcPr>
          <w:p>
            <w:pPr>
              <w:jc w:val="center"/>
            </w:pPr>
            <w:r>
              <w:rPr>
                <w:rFonts w:ascii="Arial" w:cs="Arial" w:eastAsia="Arial" w:hAnsi="Arial"/>
                <w:sz w:val="18"/>
                <w:szCs w:val="18"/>
              </w:rPr>
              <w:t xml:space="preserve">0.3893</w:t>
            </w:r>
          </w:p>
        </w:tc>
        <w:tc>
          <w:tcPr>
            <w:tcW w:type="dxa" w:w="1170"/>
            <w:tcBorders>
              <w:top w:val="single" w:color="CCCCCC" w:sz="1"/>
              <w:left w:val="single" w:color="CCCCCC" w:sz="1"/>
              <w:bottom w:val="single" w:color="CCCCCC" w:sz="1"/>
              <w:right w:val="single" w:color="CCCCCC" w:sz="1"/>
            </w:tcBorders>
            <w:shd w:fill="EEF3FB" w:val="clear"/>
            <w:tcMar>
              <w:top w:type="dxa" w:w="60"/>
              <w:left w:type="dxa" w:w="120"/>
              <w:bottom w:type="dxa" w:w="60"/>
              <w:right w:type="dxa" w:w="120"/>
            </w:tcMar>
          </w:tcPr>
          <w:p>
            <w:pPr>
              <w:jc w:val="center"/>
            </w:pPr>
            <w:r>
              <w:rPr>
                <w:rFonts w:ascii="Arial" w:cs="Arial" w:eastAsia="Arial" w:hAnsi="Arial"/>
                <w:sz w:val="18"/>
                <w:szCs w:val="18"/>
              </w:rPr>
              <w:t xml:space="preserve">↓ 96.93%</w:t>
            </w:r>
          </w:p>
        </w:tc>
      </w:tr>
    </w:tbl>
    <w:p>
      <w:pPr>
        <w:spacing w:before="60" w:after="60"/>
      </w:pPr>
      <w:r>
        <w:t xml:space="preserve"/>
      </w:r>
    </w:p>
    <w:p>
      <w:pPr>
        <w:pStyle w:val="Heading2"/>
        <w:spacing w:before="240" w:after="100"/>
      </w:pPr>
      <w:r>
        <w:rPr>
          <w:rFonts w:ascii="Arial" w:cs="Arial" w:eastAsia="Arial" w:hAnsi="Arial"/>
          <w:b/>
          <w:bCs/>
          <w:color w:val="2E5090"/>
          <w:sz w:val="26"/>
          <w:szCs w:val="26"/>
        </w:rPr>
        <w:t xml:space="preserve">5.2 Metric Interpretation</w:t>
      </w:r>
    </w:p>
    <w:p>
      <w:pPr>
        <w:spacing w:before="200" w:after="80"/>
      </w:pPr>
      <w:r>
        <w:rPr>
          <w:rFonts w:ascii="Arial" w:cs="Arial" w:eastAsia="Arial" w:hAnsi="Arial"/>
          <w:b/>
          <w:bCs/>
          <w:color w:val="333333"/>
          <w:sz w:val="24"/>
          <w:szCs w:val="24"/>
        </w:rPr>
        <w:t xml:space="preserve">Perplexity</w:t>
      </w:r>
    </w:p>
    <w:p>
      <w:pPr>
        <w:spacing w:before="80" w:after="100"/>
      </w:pPr>
      <w:r>
        <w:rPr>
          <w:rFonts w:ascii="Arial" w:cs="Arial" w:eastAsia="Arial" w:hAnsi="Arial"/>
          <w:b w:val="false"/>
          <w:bCs w:val="false"/>
          <w:color w:val="000000"/>
          <w:sz w:val="22"/>
          <w:szCs w:val="22"/>
        </w:rPr>
        <w:t xml:space="preserve">Perplexity quantifies how well a model predicts a sequence — lower is better. The reduction from 147,204 to 1.44 demonstrates that fine-tuning fundamentally transformed the model's domain knowledge. This aligns with findings in medical NLP literature showing that general-purpose LLMs without domain adaptation exhibit poor perplexity on specialised corpora [4] [5].</w:t>
      </w:r>
    </w:p>
    <w:p>
      <w:pPr>
        <w:spacing w:before="60" w:after="60"/>
      </w:pPr>
      <w:r>
        <w:t xml:space="preserve"/>
      </w:r>
    </w:p>
    <w:p>
      <w:pPr>
        <w:spacing w:before="200" w:after="80"/>
      </w:pPr>
      <w:r>
        <w:rPr>
          <w:rFonts w:ascii="Arial" w:cs="Arial" w:eastAsia="Arial" w:hAnsi="Arial"/>
          <w:b/>
          <w:bCs/>
          <w:color w:val="333333"/>
          <w:sz w:val="24"/>
          <w:szCs w:val="24"/>
        </w:rPr>
        <w:t xml:space="preserve">BLEU Score</w:t>
      </w:r>
    </w:p>
    <w:p>
      <w:pPr>
        <w:spacing w:before="80" w:after="100"/>
      </w:pPr>
      <w:r>
        <w:rPr>
          <w:rFonts w:ascii="Arial" w:cs="Arial" w:eastAsia="Arial" w:hAnsi="Arial"/>
          <w:b w:val="false"/>
          <w:bCs w:val="false"/>
          <w:color w:val="000000"/>
          <w:sz w:val="22"/>
          <w:szCs w:val="22"/>
        </w:rPr>
        <w:t xml:space="preserve">BLEU [12] measures n-gram precision between generated and reference responses. The improvement from 67.67 to 88.69 (31.06%) confirms that the fine-tuned model produces responses with substantially higher lexical overlap with expected medical answers, indicating improved factual alignment.</w:t>
      </w:r>
    </w:p>
    <w:p>
      <w:pPr>
        <w:spacing w:before="60" w:after="60"/>
      </w:pPr>
      <w:r>
        <w:t xml:space="preserve"/>
      </w:r>
    </w:p>
    <w:p>
      <w:pPr>
        <w:spacing w:before="200" w:after="80"/>
      </w:pPr>
      <w:r>
        <w:rPr>
          <w:rFonts w:ascii="Arial" w:cs="Arial" w:eastAsia="Arial" w:hAnsi="Arial"/>
          <w:b/>
          <w:bCs/>
          <w:color w:val="333333"/>
          <w:sz w:val="24"/>
          <w:szCs w:val="24"/>
        </w:rPr>
        <w:t xml:space="preserve">ROUGE-L Score</w:t>
      </w:r>
    </w:p>
    <w:p>
      <w:pPr>
        <w:spacing w:before="80" w:after="100"/>
      </w:pPr>
      <w:r>
        <w:rPr>
          <w:rFonts w:ascii="Arial" w:cs="Arial" w:eastAsia="Arial" w:hAnsi="Arial"/>
          <w:b w:val="false"/>
          <w:bCs w:val="false"/>
          <w:color w:val="000000"/>
          <w:sz w:val="22"/>
          <w:szCs w:val="22"/>
        </w:rPr>
        <w:t xml:space="preserve">ROUGE-L [13] measures the longest common subsequence between generated and reference responses. The improvement from 76.57 to 94.81 (23.83%) indicates the model not only uses appropriate medical vocabulary but arranges it in a coherent structure consistent with domain conventions.</w:t>
      </w:r>
    </w:p>
    <w:p>
      <w:pPr>
        <w:spacing w:before="60" w:after="60"/>
      </w:pPr>
      <w:r>
        <w:t xml:space="preserve"/>
      </w:r>
    </w:p>
    <w:p>
      <w:pPr>
        <w:pStyle w:val="Heading2"/>
        <w:spacing w:before="240" w:after="100"/>
      </w:pPr>
      <w:r>
        <w:rPr>
          <w:rFonts w:ascii="Arial" w:cs="Arial" w:eastAsia="Arial" w:hAnsi="Arial"/>
          <w:b/>
          <w:bCs/>
          <w:color w:val="2E5090"/>
          <w:sz w:val="26"/>
          <w:szCs w:val="26"/>
        </w:rPr>
        <w:t xml:space="preserve">5.3 Qualitative Evaluation</w:t>
      </w:r>
    </w:p>
    <w:p>
      <w:pPr>
        <w:spacing w:before="80" w:after="100"/>
      </w:pPr>
      <w:r>
        <w:rPr>
          <w:rFonts w:ascii="Arial" w:cs="Arial" w:eastAsia="Arial" w:hAnsi="Arial"/>
          <w:b w:val="false"/>
          <w:bCs w:val="false"/>
          <w:color w:val="000000"/>
          <w:sz w:val="22"/>
          <w:szCs w:val="22"/>
        </w:rPr>
        <w:t xml:space="preserve">Qualitative evaluation through direct interaction with both models complements automated metrics, as metric scores alone do not fully capture response utility and clinical relevance [4]. Five representative medical questions were posed to both the baseline (pre-trained, no fine-tuning) and the fine-tuned model. The actual responses are recorded in the table below:</w:t>
      </w:r>
    </w:p>
    <w:p>
      <w:pPr>
        <w:spacing w:before="60" w:after="60"/>
      </w:pPr>
      <w:r>
        <w:t xml:space="preserve"/>
      </w:r>
    </w:p>
    <w:p>
      <w:pPr>
        <w:spacing w:before="200" w:after="80"/>
      </w:pPr>
      <w:r>
        <w:rPr>
          <w:rFonts w:ascii="Arial" w:cs="Arial" w:eastAsia="Arial" w:hAnsi="Arial"/>
          <w:b/>
          <w:bCs/>
          <w:color w:val="333333"/>
          <w:sz w:val="24"/>
          <w:szCs w:val="24"/>
        </w:rPr>
        <w:t xml:space="preserve">Q1: What are the symptoms of diabetes?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tcBorders>
              <w:top w:val="single" w:color="1E40AF" w:sz="1"/>
              <w:left w:val="single" w:color="1E40AF" w:sz="1"/>
              <w:bottom w:val="single" w:color="1E40AF" w:sz="1"/>
              <w:right w:val="single" w:color="1E40AF"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Model</w:t>
            </w:r>
          </w:p>
        </w:tc>
        <w:tc>
          <w:tcPr>
            <w:tcW w:type="dxa" w:w="7960"/>
            <w:tcBorders>
              <w:top w:val="single" w:color="1E40AF" w:sz="1"/>
              <w:left w:val="single" w:color="1E40AF" w:sz="1"/>
              <w:bottom w:val="single" w:color="1E40AF" w:sz="1"/>
              <w:right w:val="single" w:color="1E40AF"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Response</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Baseline</w:t>
            </w:r>
          </w:p>
        </w:tc>
        <w:tc>
          <w:tcPr>
            <w:tcW w:type="dxa" w:w="7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The symptoms of diabetes can vary depending on the type of diabetes and the individual's overall health. However, here are some common symptoms: 1. Blurred vision: Diabetes can cause blurred vision, especially in the early stages. 2. Thirst: People with diabetes may experience increased thirst and urination, which can lead to dehydration. 3. Dry mouth: Diabetes can cause... [truncated]</w:t>
            </w:r>
          </w:p>
        </w:tc>
      </w:tr>
      <w:tr>
        <w:tc>
          <w:tcPr>
            <w:tcW w:type="dxa" w:w="1400"/>
            <w:tcBorders>
              <w:top w:val="single" w:color="CCCCCC" w:sz="1"/>
              <w:left w:val="single" w:color="CCCCCC" w:sz="1"/>
              <w:bottom w:val="single" w:color="CCCCCC" w:sz="1"/>
              <w:right w:val="single" w:color="CCCCCC" w:sz="1"/>
            </w:tcBorders>
            <w:shd w:fill="EEF3FB" w:val="clear"/>
            <w:tcMar>
              <w:top w:type="dxa" w:w="60"/>
              <w:left w:type="dxa" w:w="120"/>
              <w:bottom w:type="dxa" w:w="60"/>
              <w:right w:type="dxa" w:w="120"/>
            </w:tcMar>
          </w:tcPr>
          <w:p>
            <w:pPr>
              <w:jc w:val="center"/>
            </w:pPr>
            <w:r>
              <w:rPr>
                <w:rFonts w:ascii="Arial" w:cs="Arial" w:eastAsia="Arial" w:hAnsi="Arial"/>
                <w:sz w:val="18"/>
                <w:szCs w:val="18"/>
              </w:rPr>
              <w:t xml:space="preserve">Fine-tuned</w:t>
            </w:r>
          </w:p>
        </w:tc>
        <w:tc>
          <w:tcPr>
            <w:tcW w:type="dxa" w:w="7960"/>
            <w:tcBorders>
              <w:top w:val="single" w:color="CCCCCC" w:sz="1"/>
              <w:left w:val="single" w:color="CCCCCC" w:sz="1"/>
              <w:bottom w:val="single" w:color="CCCCCC" w:sz="1"/>
              <w:right w:val="single" w:color="CCCCCC" w:sz="1"/>
            </w:tcBorders>
            <w:shd w:fill="EEF3FB" w:val="clear"/>
            <w:tcMar>
              <w:top w:type="dxa" w:w="60"/>
              <w:left w:type="dxa" w:w="120"/>
              <w:bottom w:type="dxa" w:w="60"/>
              <w:right w:type="dxa" w:w="120"/>
            </w:tcMar>
          </w:tcPr>
          <w:p>
            <w:pPr>
              <w:jc w:val="center"/>
            </w:pPr>
            <w:r>
              <w:rPr>
                <w:rFonts w:ascii="Arial" w:cs="Arial" w:eastAsia="Arial" w:hAnsi="Arial"/>
                <w:sz w:val="18"/>
                <w:szCs w:val="18"/>
              </w:rPr>
              <w:t xml:space="preserve">Diabetes mellitus is characterized by the presence of polyuria and polydipsia, which are the classic symptoms of the disease.</w:t>
            </w:r>
          </w:p>
        </w:tc>
      </w:tr>
    </w:tbl>
    <w:p>
      <w:pPr>
        <w:spacing w:before="60" w:after="60"/>
      </w:pPr>
      <w:r>
        <w:t xml:space="preserve"/>
      </w:r>
    </w:p>
    <w:p>
      <w:pPr>
        <w:spacing w:before="200" w:after="80"/>
      </w:pPr>
      <w:r>
        <w:rPr>
          <w:rFonts w:ascii="Arial" w:cs="Arial" w:eastAsia="Arial" w:hAnsi="Arial"/>
          <w:b/>
          <w:bCs/>
          <w:color w:val="333333"/>
          <w:sz w:val="24"/>
          <w:szCs w:val="24"/>
        </w:rPr>
        <w:t xml:space="preserve">Q2: How is hypertension treated?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tcBorders>
              <w:top w:val="single" w:color="1E40AF" w:sz="1"/>
              <w:left w:val="single" w:color="1E40AF" w:sz="1"/>
              <w:bottom w:val="single" w:color="1E40AF" w:sz="1"/>
              <w:right w:val="single" w:color="1E40AF"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Model</w:t>
            </w:r>
          </w:p>
        </w:tc>
        <w:tc>
          <w:tcPr>
            <w:tcW w:type="dxa" w:w="7960"/>
            <w:tcBorders>
              <w:top w:val="single" w:color="1E40AF" w:sz="1"/>
              <w:left w:val="single" w:color="1E40AF" w:sz="1"/>
              <w:bottom w:val="single" w:color="1E40AF" w:sz="1"/>
              <w:right w:val="single" w:color="1E40AF"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Response</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Baseline</w:t>
            </w:r>
          </w:p>
        </w:tc>
        <w:tc>
          <w:tcPr>
            <w:tcW w:type="dxa" w:w="7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Hypertension is treated with medication, lifestyle changes, and sometimes surgery. Medication can help lower blood pressure by reducing the amount of blood that is pumped out of the heart. This can be done through medications such as blood pressure pills, anti-hypertensive medications, or medications that lower blood pressure through the kidneys. Lifestyle changes such as quitting smoking, losing weight... [truncated]</w:t>
            </w:r>
          </w:p>
        </w:tc>
      </w:tr>
      <w:tr>
        <w:tc>
          <w:tcPr>
            <w:tcW w:type="dxa" w:w="1400"/>
            <w:tcBorders>
              <w:top w:val="single" w:color="CCCCCC" w:sz="1"/>
              <w:left w:val="single" w:color="CCCCCC" w:sz="1"/>
              <w:bottom w:val="single" w:color="CCCCCC" w:sz="1"/>
              <w:right w:val="single" w:color="CCCCCC" w:sz="1"/>
            </w:tcBorders>
            <w:shd w:fill="EEF3FB" w:val="clear"/>
            <w:tcMar>
              <w:top w:type="dxa" w:w="60"/>
              <w:left w:type="dxa" w:w="120"/>
              <w:bottom w:type="dxa" w:w="60"/>
              <w:right w:type="dxa" w:w="120"/>
            </w:tcMar>
          </w:tcPr>
          <w:p>
            <w:pPr>
              <w:jc w:val="center"/>
            </w:pPr>
            <w:r>
              <w:rPr>
                <w:rFonts w:ascii="Arial" w:cs="Arial" w:eastAsia="Arial" w:hAnsi="Arial"/>
                <w:sz w:val="18"/>
                <w:szCs w:val="18"/>
              </w:rPr>
              <w:t xml:space="preserve">Fine-tuned</w:t>
            </w:r>
          </w:p>
        </w:tc>
        <w:tc>
          <w:tcPr>
            <w:tcW w:type="dxa" w:w="7960"/>
            <w:tcBorders>
              <w:top w:val="single" w:color="CCCCCC" w:sz="1"/>
              <w:left w:val="single" w:color="CCCCCC" w:sz="1"/>
              <w:bottom w:val="single" w:color="CCCCCC" w:sz="1"/>
              <w:right w:val="single" w:color="CCCCCC" w:sz="1"/>
            </w:tcBorders>
            <w:shd w:fill="EEF3FB" w:val="clear"/>
            <w:tcMar>
              <w:top w:type="dxa" w:w="60"/>
              <w:left w:type="dxa" w:w="120"/>
              <w:bottom w:type="dxa" w:w="60"/>
              <w:right w:type="dxa" w:w="120"/>
            </w:tcMar>
          </w:tcPr>
          <w:p>
            <w:pPr>
              <w:jc w:val="center"/>
            </w:pPr>
            <w:r>
              <w:rPr>
                <w:rFonts w:ascii="Arial" w:cs="Arial" w:eastAsia="Arial" w:hAnsi="Arial"/>
                <w:sz w:val="18"/>
                <w:szCs w:val="18"/>
              </w:rPr>
              <w:t xml:space="preserve">Hypertension is treated with medication.</w:t>
            </w:r>
          </w:p>
        </w:tc>
      </w:tr>
    </w:tbl>
    <w:p>
      <w:pPr>
        <w:spacing w:before="60" w:after="60"/>
      </w:pPr>
      <w:r>
        <w:t xml:space="preserve"/>
      </w:r>
    </w:p>
    <w:p>
      <w:pPr>
        <w:spacing w:before="200" w:after="80"/>
      </w:pPr>
      <w:r>
        <w:rPr>
          <w:rFonts w:ascii="Arial" w:cs="Arial" w:eastAsia="Arial" w:hAnsi="Arial"/>
          <w:b/>
          <w:bCs/>
          <w:color w:val="333333"/>
          <w:sz w:val="24"/>
          <w:szCs w:val="24"/>
        </w:rPr>
        <w:t xml:space="preserve">Q3: What causes pneumonia?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tcBorders>
              <w:top w:val="single" w:color="1E40AF" w:sz="1"/>
              <w:left w:val="single" w:color="1E40AF" w:sz="1"/>
              <w:bottom w:val="single" w:color="1E40AF" w:sz="1"/>
              <w:right w:val="single" w:color="1E40AF"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Model</w:t>
            </w:r>
          </w:p>
        </w:tc>
        <w:tc>
          <w:tcPr>
            <w:tcW w:type="dxa" w:w="7960"/>
            <w:tcBorders>
              <w:top w:val="single" w:color="1E40AF" w:sz="1"/>
              <w:left w:val="single" w:color="1E40AF" w:sz="1"/>
              <w:bottom w:val="single" w:color="1E40AF" w:sz="1"/>
              <w:right w:val="single" w:color="1E40AF"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Response</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Baseline</w:t>
            </w:r>
          </w:p>
        </w:tc>
        <w:tc>
          <w:tcPr>
            <w:tcW w:type="dxa" w:w="7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Pneumonia is caused by infection with bacteria, viruses, or fungi in the lungs. The bacteria that cause pneumonia are usually spread through the air, while viruses and fungi can be spread through contact with infected surfaces or droplets. The infection can also occur in people who have weakened immune systems or have underlying medical conditions.</w:t>
            </w:r>
          </w:p>
        </w:tc>
      </w:tr>
      <w:tr>
        <w:tc>
          <w:tcPr>
            <w:tcW w:type="dxa" w:w="1400"/>
            <w:tcBorders>
              <w:top w:val="single" w:color="CCCCCC" w:sz="1"/>
              <w:left w:val="single" w:color="CCCCCC" w:sz="1"/>
              <w:bottom w:val="single" w:color="CCCCCC" w:sz="1"/>
              <w:right w:val="single" w:color="CCCCCC" w:sz="1"/>
            </w:tcBorders>
            <w:shd w:fill="EEF3FB" w:val="clear"/>
            <w:tcMar>
              <w:top w:type="dxa" w:w="60"/>
              <w:left w:type="dxa" w:w="120"/>
              <w:bottom w:type="dxa" w:w="60"/>
              <w:right w:type="dxa" w:w="120"/>
            </w:tcMar>
          </w:tcPr>
          <w:p>
            <w:pPr>
              <w:jc w:val="center"/>
            </w:pPr>
            <w:r>
              <w:rPr>
                <w:rFonts w:ascii="Arial" w:cs="Arial" w:eastAsia="Arial" w:hAnsi="Arial"/>
                <w:sz w:val="18"/>
                <w:szCs w:val="18"/>
              </w:rPr>
              <w:t xml:space="preserve">Fine-tuned</w:t>
            </w:r>
          </w:p>
        </w:tc>
        <w:tc>
          <w:tcPr>
            <w:tcW w:type="dxa" w:w="7960"/>
            <w:tcBorders>
              <w:top w:val="single" w:color="CCCCCC" w:sz="1"/>
              <w:left w:val="single" w:color="CCCCCC" w:sz="1"/>
              <w:bottom w:val="single" w:color="CCCCCC" w:sz="1"/>
              <w:right w:val="single" w:color="CCCCCC" w:sz="1"/>
            </w:tcBorders>
            <w:shd w:fill="EEF3FB" w:val="clear"/>
            <w:tcMar>
              <w:top w:type="dxa" w:w="60"/>
              <w:left w:type="dxa" w:w="120"/>
              <w:bottom w:type="dxa" w:w="60"/>
              <w:right w:type="dxa" w:w="120"/>
            </w:tcMar>
          </w:tcPr>
          <w:p>
            <w:pPr>
              <w:jc w:val="center"/>
            </w:pPr>
            <w:r>
              <w:rPr>
                <w:rFonts w:ascii="Arial" w:cs="Arial" w:eastAsia="Arial" w:hAnsi="Arial"/>
                <w:sz w:val="18"/>
                <w:szCs w:val="18"/>
              </w:rPr>
              <w:t xml:space="preserve">Pneumonia is caused by bacteria.</w:t>
            </w:r>
          </w:p>
        </w:tc>
      </w:tr>
    </w:tbl>
    <w:p>
      <w:pPr>
        <w:spacing w:before="60" w:after="60"/>
      </w:pPr>
      <w:r>
        <w:t xml:space="preserve"/>
      </w:r>
    </w:p>
    <w:p>
      <w:pPr>
        <w:spacing w:before="200" w:after="80"/>
      </w:pPr>
      <w:r>
        <w:rPr>
          <w:rFonts w:ascii="Arial" w:cs="Arial" w:eastAsia="Arial" w:hAnsi="Arial"/>
          <w:b/>
          <w:bCs/>
          <w:color w:val="333333"/>
          <w:sz w:val="24"/>
          <w:szCs w:val="24"/>
        </w:rPr>
        <w:t xml:space="preserve">Q4: Explain the difference between Type 1 and Type 2 diabetes.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tcBorders>
              <w:top w:val="single" w:color="1E40AF" w:sz="1"/>
              <w:left w:val="single" w:color="1E40AF" w:sz="1"/>
              <w:bottom w:val="single" w:color="1E40AF" w:sz="1"/>
              <w:right w:val="single" w:color="1E40AF"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Model</w:t>
            </w:r>
          </w:p>
        </w:tc>
        <w:tc>
          <w:tcPr>
            <w:tcW w:type="dxa" w:w="7960"/>
            <w:tcBorders>
              <w:top w:val="single" w:color="1E40AF" w:sz="1"/>
              <w:left w:val="single" w:color="1E40AF" w:sz="1"/>
              <w:bottom w:val="single" w:color="1E40AF" w:sz="1"/>
              <w:right w:val="single" w:color="1E40AF"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Response</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Baseline</w:t>
            </w:r>
          </w:p>
        </w:tc>
        <w:tc>
          <w:tcPr>
            <w:tcW w:type="dxa" w:w="7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Type 1 diabetes is a chronic metabolic disorder characterized by the absence or dysfunction of insulin-producing cells in the pancreas. This results in a lack of insulin, which leads to high blood sugar levels (hyperglycemia) and the development of complications such as blindness, kidney failure, and heart disease. On the other hand, Type 2 diabetes is a metabolic disorder... [truncated]</w:t>
            </w:r>
          </w:p>
        </w:tc>
      </w:tr>
      <w:tr>
        <w:tc>
          <w:tcPr>
            <w:tcW w:type="dxa" w:w="1400"/>
            <w:tcBorders>
              <w:top w:val="single" w:color="CCCCCC" w:sz="1"/>
              <w:left w:val="single" w:color="CCCCCC" w:sz="1"/>
              <w:bottom w:val="single" w:color="CCCCCC" w:sz="1"/>
              <w:right w:val="single" w:color="CCCCCC" w:sz="1"/>
            </w:tcBorders>
            <w:shd w:fill="EEF3FB" w:val="clear"/>
            <w:tcMar>
              <w:top w:type="dxa" w:w="60"/>
              <w:left w:type="dxa" w:w="120"/>
              <w:bottom w:type="dxa" w:w="60"/>
              <w:right w:type="dxa" w:w="120"/>
            </w:tcMar>
          </w:tcPr>
          <w:p>
            <w:pPr>
              <w:jc w:val="center"/>
            </w:pPr>
            <w:r>
              <w:rPr>
                <w:rFonts w:ascii="Arial" w:cs="Arial" w:eastAsia="Arial" w:hAnsi="Arial"/>
                <w:sz w:val="18"/>
                <w:szCs w:val="18"/>
              </w:rPr>
              <w:t xml:space="preserve">Fine-tuned</w:t>
            </w:r>
          </w:p>
        </w:tc>
        <w:tc>
          <w:tcPr>
            <w:tcW w:type="dxa" w:w="7960"/>
            <w:tcBorders>
              <w:top w:val="single" w:color="CCCCCC" w:sz="1"/>
              <w:left w:val="single" w:color="CCCCCC" w:sz="1"/>
              <w:bottom w:val="single" w:color="CCCCCC" w:sz="1"/>
              <w:right w:val="single" w:color="CCCCCC" w:sz="1"/>
            </w:tcBorders>
            <w:shd w:fill="EEF3FB" w:val="clear"/>
            <w:tcMar>
              <w:top w:type="dxa" w:w="60"/>
              <w:left w:type="dxa" w:w="120"/>
              <w:bottom w:type="dxa" w:w="60"/>
              <w:right w:type="dxa" w:w="120"/>
            </w:tcMar>
          </w:tcPr>
          <w:p>
            <w:pPr>
              <w:jc w:val="center"/>
            </w:pPr>
            <w:r>
              <w:rPr>
                <w:rFonts w:ascii="Arial" w:cs="Arial" w:eastAsia="Arial" w:hAnsi="Arial"/>
                <w:sz w:val="18"/>
                <w:szCs w:val="18"/>
              </w:rPr>
              <w:t xml:space="preserve">Type 1 diabetes is characterized by autoimmune destruction of beta cells in the pancreas, while Type 2 diabetes is characterized by insulin resistance due to dysfunction of beta cells or other insulin-producing cells in the pancreas.</w:t>
            </w:r>
          </w:p>
        </w:tc>
      </w:tr>
    </w:tbl>
    <w:p>
      <w:pPr>
        <w:spacing w:before="60" w:after="60"/>
      </w:pPr>
      <w:r>
        <w:t xml:space="preserve"/>
      </w:r>
    </w:p>
    <w:p>
      <w:pPr>
        <w:spacing w:before="200" w:after="80"/>
      </w:pPr>
      <w:r>
        <w:rPr>
          <w:rFonts w:ascii="Arial" w:cs="Arial" w:eastAsia="Arial" w:hAnsi="Arial"/>
          <w:b/>
          <w:bCs/>
          <w:color w:val="333333"/>
          <w:sz w:val="24"/>
          <w:szCs w:val="24"/>
        </w:rPr>
        <w:t xml:space="preserve">Q5: What are the side effects of aspirin?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tcBorders>
              <w:top w:val="single" w:color="1E40AF" w:sz="1"/>
              <w:left w:val="single" w:color="1E40AF" w:sz="1"/>
              <w:bottom w:val="single" w:color="1E40AF" w:sz="1"/>
              <w:right w:val="single" w:color="1E40AF"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Model</w:t>
            </w:r>
          </w:p>
        </w:tc>
        <w:tc>
          <w:tcPr>
            <w:tcW w:type="dxa" w:w="7960"/>
            <w:tcBorders>
              <w:top w:val="single" w:color="1E40AF" w:sz="1"/>
              <w:left w:val="single" w:color="1E40AF" w:sz="1"/>
              <w:bottom w:val="single" w:color="1E40AF" w:sz="1"/>
              <w:right w:val="single" w:color="1E40AF"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Response</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Baseline</w:t>
            </w:r>
          </w:p>
        </w:tc>
        <w:tc>
          <w:tcPr>
            <w:tcW w:type="dxa" w:w="7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Aspirin can cause the following side effects: 1. Gastric bleeding: Aspirin can cause bleeding in the stomach or intestines, which can lead to severe pain, vomiting, and bleeding. 2. Stomach ulcers: Aspirin can cause stomach ulcers, which are inflammation of the lining of the stomach or intestines. 3. Heartburn... [truncated]</w:t>
            </w:r>
          </w:p>
        </w:tc>
      </w:tr>
      <w:tr>
        <w:tc>
          <w:tcPr>
            <w:tcW w:type="dxa" w:w="1400"/>
            <w:tcBorders>
              <w:top w:val="single" w:color="CCCCCC" w:sz="1"/>
              <w:left w:val="single" w:color="CCCCCC" w:sz="1"/>
              <w:bottom w:val="single" w:color="CCCCCC" w:sz="1"/>
              <w:right w:val="single" w:color="CCCCCC" w:sz="1"/>
            </w:tcBorders>
            <w:shd w:fill="EEF3FB" w:val="clear"/>
            <w:tcMar>
              <w:top w:type="dxa" w:w="60"/>
              <w:left w:type="dxa" w:w="120"/>
              <w:bottom w:type="dxa" w:w="60"/>
              <w:right w:type="dxa" w:w="120"/>
            </w:tcMar>
          </w:tcPr>
          <w:p>
            <w:pPr>
              <w:jc w:val="center"/>
            </w:pPr>
            <w:r>
              <w:rPr>
                <w:rFonts w:ascii="Arial" w:cs="Arial" w:eastAsia="Arial" w:hAnsi="Arial"/>
                <w:sz w:val="18"/>
                <w:szCs w:val="18"/>
              </w:rPr>
              <w:t xml:space="preserve">Fine-tuned</w:t>
            </w:r>
          </w:p>
        </w:tc>
        <w:tc>
          <w:tcPr>
            <w:tcW w:type="dxa" w:w="7960"/>
            <w:tcBorders>
              <w:top w:val="single" w:color="CCCCCC" w:sz="1"/>
              <w:left w:val="single" w:color="CCCCCC" w:sz="1"/>
              <w:bottom w:val="single" w:color="CCCCCC" w:sz="1"/>
              <w:right w:val="single" w:color="CCCCCC" w:sz="1"/>
            </w:tcBorders>
            <w:shd w:fill="EEF3FB" w:val="clear"/>
            <w:tcMar>
              <w:top w:type="dxa" w:w="60"/>
              <w:left w:type="dxa" w:w="120"/>
              <w:bottom w:type="dxa" w:w="60"/>
              <w:right w:type="dxa" w:w="120"/>
            </w:tcMar>
          </w:tcPr>
          <w:p>
            <w:pPr>
              <w:jc w:val="center"/>
            </w:pPr>
            <w:r>
              <w:rPr>
                <w:rFonts w:ascii="Arial" w:cs="Arial" w:eastAsia="Arial" w:hAnsi="Arial"/>
                <w:sz w:val="18"/>
                <w:szCs w:val="18"/>
              </w:rPr>
              <w:t xml:space="preserve">Aspirin can cause gastric ulcers and hemorrhage.</w:t>
            </w:r>
          </w:p>
        </w:tc>
      </w:tr>
    </w:tbl>
    <w:p>
      <w:pPr>
        <w:spacing w:before="60" w:after="60"/>
      </w:pPr>
      <w:r>
        <w:t xml:space="preserve"/>
      </w:r>
    </w:p>
    <w:p>
      <w:pPr>
        <w:pStyle w:val="Heading2"/>
        <w:spacing w:before="240" w:after="100"/>
      </w:pPr>
      <w:r>
        <w:rPr>
          <w:rFonts w:ascii="Arial" w:cs="Arial" w:eastAsia="Arial" w:hAnsi="Arial"/>
          <w:b/>
          <w:bCs/>
          <w:color w:val="2E5090"/>
          <w:sz w:val="26"/>
          <w:szCs w:val="26"/>
        </w:rPr>
        <w:t xml:space="preserve">5.4 Qualitative Analysis</w:t>
      </w:r>
    </w:p>
    <w:p>
      <w:pPr>
        <w:spacing w:before="80" w:after="100"/>
      </w:pPr>
      <w:r>
        <w:rPr>
          <w:rFonts w:ascii="Arial" w:cs="Arial" w:eastAsia="Arial" w:hAnsi="Arial"/>
          <w:b w:val="false"/>
          <w:bCs w:val="false"/>
          <w:color w:val="000000"/>
          <w:sz w:val="22"/>
          <w:szCs w:val="22"/>
        </w:rPr>
        <w:t xml:space="preserve">The qualitative results reveal an interesting and nuanced trade-off between the two models. The fine-tuned model consistently produces responses that are more concise, clinically precise, and aligned with formal medical terminology — for example, correctly using 'polyuria and polydipsia' for diabetes symptoms (Q1) and 'autoimmune destruction of beta cells' for Type 1 diabetes (Q4). This reflects successful domain adaptation through fine-tuning on medical flashcard content [5] [8].</w:t>
      </w:r>
    </w:p>
    <w:p>
      <w:pPr>
        <w:spacing w:before="60" w:after="60"/>
      </w:pPr>
      <w:r>
        <w:t xml:space="preserve"/>
      </w:r>
    </w:p>
    <w:p>
      <w:pPr>
        <w:spacing w:before="80" w:after="100"/>
      </w:pPr>
      <w:r>
        <w:rPr>
          <w:rFonts w:ascii="Arial" w:cs="Arial" w:eastAsia="Arial" w:hAnsi="Arial"/>
          <w:b w:val="false"/>
          <w:bCs w:val="false"/>
          <w:color w:val="000000"/>
          <w:sz w:val="22"/>
          <w:szCs w:val="22"/>
        </w:rPr>
        <w:t xml:space="preserve">However, the fine-tuned model also exhibits over-conciseness in some responses. For instance, its answer to Q2 ('Hypertension is treated with medication.') and Q3 ('Pneumonia is caused by bacteria.') are technically correct but incomplete compared to the richer detail provided by the baseline model. This is likely a consequence of the flashcard format of the training dataset [8], which encourages brief, high-density answers rather than elaborative explanations.</w:t>
      </w:r>
    </w:p>
    <w:p>
      <w:pPr>
        <w:spacing w:before="60" w:after="60"/>
      </w:pPr>
      <w:r>
        <w:t xml:space="preserve"/>
      </w:r>
    </w:p>
    <w:p>
      <w:pPr>
        <w:spacing w:before="80" w:after="100"/>
      </w:pPr>
      <w:r>
        <w:rPr>
          <w:rFonts w:ascii="Arial" w:cs="Arial" w:eastAsia="Arial" w:hAnsi="Arial"/>
          <w:b w:val="false"/>
          <w:bCs w:val="false"/>
          <w:color w:val="000000"/>
          <w:sz w:val="22"/>
          <w:szCs w:val="22"/>
        </w:rPr>
        <w:t xml:space="preserve">The baseline model, while verbose and occasionally unfocused, sometimes provides more patient-friendly explanatory detail. This highlights an important finding: fine-tuning on a concise flashcard corpus shifts the model toward clinical precision at the cost of conversational completeness. Future work should consider augmenting the training dataset with longer-form medical explanations to balance both qualities [5].</w:t>
      </w:r>
    </w:p>
    <w:p>
      <w:pPr>
        <w:spacing w:before="60" w:after="60"/>
      </w:pPr>
      <w:r>
        <w:t xml:space="preserve"/>
      </w:r>
    </w:p>
    <w:p>
      <w:pPr>
        <w:spacing w:before="80" w:after="100"/>
      </w:pPr>
      <w:r>
        <w:rPr>
          <w:rFonts w:ascii="Arial" w:cs="Arial" w:eastAsia="Arial" w:hAnsi="Arial"/>
          <w:b w:val="false"/>
          <w:bCs w:val="false"/>
          <w:color w:val="000000"/>
          <w:sz w:val="22"/>
          <w:szCs w:val="22"/>
        </w:rPr>
        <w:t xml:space="preserve">Overall, the fine-tuned model demonstrates superior domain alignment and terminological accuracy, which is the primary objective of this project, and the metric improvements (BLEU +31%, ROUGE-L +24%, perplexity -99.999%) are consistent with these qualitative observations [4].</w:t>
      </w:r>
    </w:p>
    <w:p>
      <w:pPr>
        <w:spacing w:before="60" w:after="60"/>
      </w:pPr>
      <w:r>
        <w:t xml:space="preserve"/>
      </w:r>
    </w:p>
    <w:p>
      <w:r>
        <w:br w:type="page"/>
      </w:r>
    </w:p>
    <w:p>
      <w:pPr>
        <w:pStyle w:val="Heading1"/>
        <w:spacing w:before="360" w:after="120"/>
      </w:pPr>
      <w:r>
        <w:rPr>
          <w:rFonts w:ascii="Arial" w:cs="Arial" w:eastAsia="Arial" w:hAnsi="Arial"/>
          <w:b/>
          <w:bCs/>
          <w:color w:val="1E3A5F"/>
          <w:sz w:val="32"/>
          <w:szCs w:val="32"/>
        </w:rPr>
        <w:t xml:space="preserve">6. User Interface and Deployment</w:t>
      </w:r>
    </w:p>
    <w:p>
      <w:pPr>
        <w:pStyle w:val="Heading2"/>
        <w:spacing w:before="240" w:after="100"/>
      </w:pPr>
      <w:r>
        <w:rPr>
          <w:rFonts w:ascii="Arial" w:cs="Arial" w:eastAsia="Arial" w:hAnsi="Arial"/>
          <w:b/>
          <w:bCs/>
          <w:color w:val="2E5090"/>
          <w:sz w:val="26"/>
          <w:szCs w:val="26"/>
        </w:rPr>
        <w:t xml:space="preserve">6.1 Interface Design</w:t>
      </w:r>
    </w:p>
    <w:p>
      <w:pPr>
        <w:spacing w:before="80" w:after="100"/>
      </w:pPr>
      <w:r>
        <w:rPr>
          <w:rFonts w:ascii="Arial" w:cs="Arial" w:eastAsia="Arial" w:hAnsi="Arial"/>
          <w:b w:val="false"/>
          <w:bCs w:val="false"/>
          <w:color w:val="000000"/>
          <w:sz w:val="22"/>
          <w:szCs w:val="22"/>
        </w:rPr>
        <w:t xml:space="preserve">The chatbot is deployed as a Gradio [7] web application, selected for its native support for conversational interfaces and seamless integration with Hugging Face Spaces. The interface prioritises usability, providing an accessible experience for users without technical backgrounds.</w:t>
      </w:r>
    </w:p>
    <w:p>
      <w:pPr>
        <w:spacing w:before="60" w:after="60"/>
      </w:pPr>
      <w:r>
        <w:t xml:space="preserve"/>
      </w:r>
    </w:p>
    <w:p>
      <w:pPr>
        <w:spacing w:before="80" w:after="100"/>
      </w:pPr>
      <w:r>
        <w:rPr>
          <w:rFonts w:ascii="Arial" w:cs="Arial" w:eastAsia="Arial" w:hAnsi="Arial"/>
          <w:sz w:val="22"/>
          <w:szCs w:val="22"/>
        </w:rPr>
        <w:t xml:space="preserve">Key interface features include:</w:t>
      </w:r>
    </w:p>
    <w:p>
      <w:pPr>
        <w:pStyle w:val="ListParagraph"/>
        <w:numPr>
          <w:ilvl w:val="0"/>
          <w:numId w:val="2"/>
        </w:numPr>
        <w:spacing w:before="40" w:after="40"/>
      </w:pPr>
      <w:r>
        <w:rPr>
          <w:rFonts w:ascii="Arial" w:cs="Arial" w:eastAsia="Arial" w:hAnsi="Arial"/>
          <w:b w:val="false"/>
          <w:bCs w:val="false"/>
          <w:sz w:val="22"/>
          <w:szCs w:val="22"/>
        </w:rPr>
        <w:t xml:space="preserve">A persistent chat interface with message history, supporting natural multi-turn interactions.</w:t>
      </w:r>
    </w:p>
    <w:p>
      <w:pPr>
        <w:pStyle w:val="ListParagraph"/>
        <w:numPr>
          <w:ilvl w:val="0"/>
          <w:numId w:val="2"/>
        </w:numPr>
        <w:spacing w:before="40" w:after="40"/>
      </w:pPr>
      <w:r>
        <w:rPr>
          <w:rFonts w:ascii="Arial" w:cs="Arial" w:eastAsia="Arial" w:hAnsi="Arial"/>
          <w:b w:val="false"/>
          <w:bCs w:val="false"/>
          <w:sz w:val="22"/>
          <w:szCs w:val="22"/>
        </w:rPr>
        <w:t xml:space="preserve">Pre-loaded example questions allowing immediate engagement without query formulation.</w:t>
      </w:r>
    </w:p>
    <w:p>
      <w:pPr>
        <w:pStyle w:val="ListParagraph"/>
        <w:numPr>
          <w:ilvl w:val="0"/>
          <w:numId w:val="2"/>
        </w:numPr>
        <w:spacing w:before="40" w:after="40"/>
      </w:pPr>
      <w:r>
        <w:rPr>
          <w:rFonts w:ascii="Arial" w:cs="Arial" w:eastAsia="Arial" w:hAnsi="Arial"/>
          <w:b w:val="false"/>
          <w:bCs w:val="false"/>
          <w:sz w:val="22"/>
          <w:szCs w:val="22"/>
        </w:rPr>
        <w:t xml:space="preserve">A collapsible 'How to use' section with clear user instructions.</w:t>
      </w:r>
    </w:p>
    <w:p>
      <w:pPr>
        <w:pStyle w:val="ListParagraph"/>
        <w:numPr>
          <w:ilvl w:val="0"/>
          <w:numId w:val="2"/>
        </w:numPr>
        <w:spacing w:before="40" w:after="40"/>
      </w:pPr>
      <w:r>
        <w:rPr>
          <w:rFonts w:ascii="Arial" w:cs="Arial" w:eastAsia="Arial" w:hAnsi="Arial"/>
          <w:b w:val="false"/>
          <w:bCs w:val="false"/>
          <w:sz w:val="22"/>
          <w:szCs w:val="22"/>
        </w:rPr>
        <w:t xml:space="preserve">A prominent medical disclaimer ensuring informed, responsible use.</w:t>
      </w:r>
    </w:p>
    <w:p>
      <w:pPr>
        <w:pStyle w:val="ListParagraph"/>
        <w:numPr>
          <w:ilvl w:val="0"/>
          <w:numId w:val="2"/>
        </w:numPr>
        <w:spacing w:before="40" w:after="40"/>
      </w:pPr>
      <w:r>
        <w:rPr>
          <w:rFonts w:ascii="Arial" w:cs="Arial" w:eastAsia="Arial" w:hAnsi="Arial"/>
          <w:b w:val="false"/>
          <w:bCs w:val="false"/>
          <w:sz w:val="22"/>
          <w:szCs w:val="22"/>
        </w:rPr>
        <w:t xml:space="preserve">A professional visual design using Gradio's Soft theme for a healthcare-appropriate aesthetic [7].</w:t>
      </w:r>
    </w:p>
    <w:p>
      <w:pPr>
        <w:spacing w:before="60" w:after="60"/>
      </w:pPr>
      <w:r>
        <w:t xml:space="preserve"/>
      </w:r>
    </w:p>
    <w:p>
      <w:pPr>
        <w:pStyle w:val="Heading2"/>
        <w:spacing w:before="240" w:after="100"/>
      </w:pPr>
      <w:r>
        <w:rPr>
          <w:rFonts w:ascii="Arial" w:cs="Arial" w:eastAsia="Arial" w:hAnsi="Arial"/>
          <w:b/>
          <w:bCs/>
          <w:color w:val="2E5090"/>
          <w:sz w:val="26"/>
          <w:szCs w:val="26"/>
        </w:rPr>
        <w:t xml:space="preserve">6.2 Deployment</w:t>
      </w:r>
    </w:p>
    <w:p>
      <w:pPr>
        <w:spacing w:before="80" w:after="100"/>
      </w:pPr>
      <w:r>
        <w:rPr>
          <w:rFonts w:ascii="Arial" w:cs="Arial" w:eastAsia="Arial" w:hAnsi="Arial"/>
          <w:b w:val="false"/>
          <w:bCs w:val="false"/>
          <w:color w:val="000000"/>
          <w:sz w:val="22"/>
          <w:szCs w:val="22"/>
        </w:rPr>
        <w:t xml:space="preserve">The application is deployed on Hugging Face Spaces using the Gradio SDK with ZeroGPU. The </w:t>
      </w:r>
      <w:r>
        <w:rPr>
          <w:rFonts w:ascii="Arial" w:cs="Arial" w:eastAsia="Arial" w:hAnsi="Arial"/>
          <w:b/>
          <w:bCs/>
          <w:color w:val="000000"/>
          <w:sz w:val="22"/>
          <w:szCs w:val="22"/>
        </w:rPr>
        <w:t xml:space="preserve">@spaces.GPU</w:t>
      </w:r>
      <w:r>
        <w:rPr>
          <w:rFonts w:ascii="Arial" w:cs="Arial" w:eastAsia="Arial" w:hAnsi="Arial"/>
          <w:b w:val="false"/>
          <w:bCs w:val="false"/>
          <w:color w:val="000000"/>
          <w:sz w:val="22"/>
          <w:szCs w:val="22"/>
        </w:rPr>
        <w:t xml:space="preserve"> decorator registers the generation function with Hugging Face's dynamic GPU scheduler, allocating GPU resources on demand [7]. The </w:t>
      </w:r>
      <w:r>
        <w:rPr>
          <w:rFonts w:ascii="Arial" w:cs="Arial" w:eastAsia="Arial" w:hAnsi="Arial"/>
          <w:b/>
          <w:bCs/>
          <w:color w:val="000000"/>
          <w:sz w:val="22"/>
          <w:szCs w:val="22"/>
        </w:rPr>
        <w:t xml:space="preserve">merge_and_unload()</w:t>
      </w:r>
      <w:r>
        <w:rPr>
          <w:rFonts w:ascii="Arial" w:cs="Arial" w:eastAsia="Arial" w:hAnsi="Arial"/>
          <w:b w:val="false"/>
          <w:bCs w:val="false"/>
          <w:color w:val="000000"/>
          <w:sz w:val="22"/>
          <w:szCs w:val="22"/>
        </w:rPr>
        <w:t xml:space="preserve"> method merges LoRA weights into the base model at load time, eliminating adapter overhead during inference and improving generation speed [2] [6].</w:t>
      </w:r>
    </w:p>
    <w:p>
      <w:pPr>
        <w:spacing w:before="60" w:after="60"/>
      </w:pPr>
      <w:r>
        <w:t xml:space="preserve"/>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tblGrid>
      <w:tr>
        <w:trPr>
          <w:tblHeader/>
        </w:trPr>
        <w:tc>
          <w:tcPr>
            <w:tcW w:type="dxa" w:w="2800"/>
            <w:tcBorders>
              <w:top w:val="single" w:color="1E40AF" w:sz="1"/>
              <w:left w:val="single" w:color="1E40AF" w:sz="1"/>
              <w:bottom w:val="single" w:color="1E40AF" w:sz="1"/>
              <w:right w:val="single" w:color="1E40AF"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Component</w:t>
            </w:r>
          </w:p>
        </w:tc>
        <w:tc>
          <w:tcPr>
            <w:tcW w:type="dxa" w:w="4200"/>
            <w:tcBorders>
              <w:top w:val="single" w:color="1E40AF" w:sz="1"/>
              <w:left w:val="single" w:color="1E40AF" w:sz="1"/>
              <w:bottom w:val="single" w:color="1E40AF" w:sz="1"/>
              <w:right w:val="single" w:color="1E40AF"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Details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Interface Framework</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Gradio [7]</w:t>
            </w:r>
          </w:p>
        </w:tc>
      </w:tr>
      <w:tr>
        <w:tc>
          <w:tcPr>
            <w:tcW w:type="dxa" w:w="2800"/>
            <w:tcBorders>
              <w:top w:val="single" w:color="CCCCCC" w:sz="1"/>
              <w:left w:val="single" w:color="CCCCCC" w:sz="1"/>
              <w:bottom w:val="single" w:color="CCCCCC" w:sz="1"/>
              <w:right w:val="single" w:color="CCCCCC" w:sz="1"/>
            </w:tcBorders>
            <w:shd w:fill="EEF3FB" w:val="clear"/>
            <w:tcMar>
              <w:top w:type="dxa" w:w="60"/>
              <w:left w:type="dxa" w:w="120"/>
              <w:bottom w:type="dxa" w:w="60"/>
              <w:right w:type="dxa" w:w="120"/>
            </w:tcMar>
          </w:tcPr>
          <w:p>
            <w:pPr>
              <w:jc w:val="center"/>
            </w:pPr>
            <w:r>
              <w:rPr>
                <w:rFonts w:ascii="Arial" w:cs="Arial" w:eastAsia="Arial" w:hAnsi="Arial"/>
                <w:sz w:val="18"/>
                <w:szCs w:val="18"/>
              </w:rPr>
              <w:t xml:space="preserve">Hosting Platform</w:t>
            </w:r>
          </w:p>
        </w:tc>
        <w:tc>
          <w:tcPr>
            <w:tcW w:type="dxa" w:w="4200"/>
            <w:tcBorders>
              <w:top w:val="single" w:color="CCCCCC" w:sz="1"/>
              <w:left w:val="single" w:color="CCCCCC" w:sz="1"/>
              <w:bottom w:val="single" w:color="CCCCCC" w:sz="1"/>
              <w:right w:val="single" w:color="CCCCCC" w:sz="1"/>
            </w:tcBorders>
            <w:shd w:fill="EEF3FB" w:val="clear"/>
            <w:tcMar>
              <w:top w:type="dxa" w:w="60"/>
              <w:left w:type="dxa" w:w="120"/>
              <w:bottom w:type="dxa" w:w="60"/>
              <w:right w:type="dxa" w:w="120"/>
            </w:tcMar>
          </w:tcPr>
          <w:p>
            <w:pPr>
              <w:jc w:val="center"/>
            </w:pPr>
            <w:r>
              <w:rPr>
                <w:rFonts w:ascii="Arial" w:cs="Arial" w:eastAsia="Arial" w:hAnsi="Arial"/>
                <w:sz w:val="18"/>
                <w:szCs w:val="18"/>
              </w:rPr>
              <w:t xml:space="preserve">Hugging Face Spaces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GPU Allocation</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ZeroGPU (free tier)</w:t>
            </w:r>
          </w:p>
        </w:tc>
      </w:tr>
      <w:tr>
        <w:tc>
          <w:tcPr>
            <w:tcW w:type="dxa" w:w="2800"/>
            <w:tcBorders>
              <w:top w:val="single" w:color="CCCCCC" w:sz="1"/>
              <w:left w:val="single" w:color="CCCCCC" w:sz="1"/>
              <w:bottom w:val="single" w:color="CCCCCC" w:sz="1"/>
              <w:right w:val="single" w:color="CCCCCC" w:sz="1"/>
            </w:tcBorders>
            <w:shd w:fill="EEF3FB" w:val="clear"/>
            <w:tcMar>
              <w:top w:type="dxa" w:w="60"/>
              <w:left w:type="dxa" w:w="120"/>
              <w:bottom w:type="dxa" w:w="60"/>
              <w:right w:type="dxa" w:w="120"/>
            </w:tcMar>
          </w:tcPr>
          <w:p>
            <w:pPr>
              <w:jc w:val="center"/>
            </w:pPr>
            <w:r>
              <w:rPr>
                <w:rFonts w:ascii="Arial" w:cs="Arial" w:eastAsia="Arial" w:hAnsi="Arial"/>
                <w:sz w:val="18"/>
                <w:szCs w:val="18"/>
              </w:rPr>
              <w:t xml:space="preserve">Model Hosting</w:t>
            </w:r>
          </w:p>
        </w:tc>
        <w:tc>
          <w:tcPr>
            <w:tcW w:type="dxa" w:w="4200"/>
            <w:tcBorders>
              <w:top w:val="single" w:color="CCCCCC" w:sz="1"/>
              <w:left w:val="single" w:color="CCCCCC" w:sz="1"/>
              <w:bottom w:val="single" w:color="CCCCCC" w:sz="1"/>
              <w:right w:val="single" w:color="CCCCCC" w:sz="1"/>
            </w:tcBorders>
            <w:shd w:fill="EEF3FB" w:val="clear"/>
            <w:tcMar>
              <w:top w:type="dxa" w:w="60"/>
              <w:left w:type="dxa" w:w="120"/>
              <w:bottom w:type="dxa" w:w="60"/>
              <w:right w:type="dxa" w:w="120"/>
            </w:tcMar>
          </w:tcPr>
          <w:p>
            <w:pPr>
              <w:jc w:val="center"/>
            </w:pPr>
            <w:r>
              <w:rPr>
                <w:rFonts w:ascii="Arial" w:cs="Arial" w:eastAsia="Arial" w:hAnsi="Arial"/>
                <w:sz w:val="18"/>
                <w:szCs w:val="18"/>
              </w:rPr>
              <w:t xml:space="preserve">Hugging Face Hub</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Inference Optimisation</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merge_and_unload() [2]</w:t>
            </w:r>
          </w:p>
        </w:tc>
      </w:tr>
      <w:tr>
        <w:tc>
          <w:tcPr>
            <w:tcW w:type="dxa" w:w="2800"/>
            <w:tcBorders>
              <w:top w:val="single" w:color="CCCCCC" w:sz="1"/>
              <w:left w:val="single" w:color="CCCCCC" w:sz="1"/>
              <w:bottom w:val="single" w:color="CCCCCC" w:sz="1"/>
              <w:right w:val="single" w:color="CCCCCC" w:sz="1"/>
            </w:tcBorders>
            <w:shd w:fill="EEF3FB" w:val="clear"/>
            <w:tcMar>
              <w:top w:type="dxa" w:w="60"/>
              <w:left w:type="dxa" w:w="120"/>
              <w:bottom w:type="dxa" w:w="60"/>
              <w:right w:type="dxa" w:w="120"/>
            </w:tcMar>
          </w:tcPr>
          <w:p>
            <w:pPr>
              <w:jc w:val="center"/>
            </w:pPr>
            <w:r>
              <w:rPr>
                <w:rFonts w:ascii="Arial" w:cs="Arial" w:eastAsia="Arial" w:hAnsi="Arial"/>
                <w:sz w:val="18"/>
                <w:szCs w:val="18"/>
              </w:rPr>
              <w:t xml:space="preserve">Decoding Strategy</w:t>
            </w:r>
          </w:p>
        </w:tc>
        <w:tc>
          <w:tcPr>
            <w:tcW w:type="dxa" w:w="4200"/>
            <w:tcBorders>
              <w:top w:val="single" w:color="CCCCCC" w:sz="1"/>
              <w:left w:val="single" w:color="CCCCCC" w:sz="1"/>
              <w:bottom w:val="single" w:color="CCCCCC" w:sz="1"/>
              <w:right w:val="single" w:color="CCCCCC" w:sz="1"/>
            </w:tcBorders>
            <w:shd w:fill="EEF3FB" w:val="clear"/>
            <w:tcMar>
              <w:top w:type="dxa" w:w="60"/>
              <w:left w:type="dxa" w:w="120"/>
              <w:bottom w:type="dxa" w:w="60"/>
              <w:right w:type="dxa" w:w="120"/>
            </w:tcMar>
          </w:tcPr>
          <w:p>
            <w:pPr>
              <w:jc w:val="center"/>
            </w:pPr>
            <w:r>
              <w:rPr>
                <w:rFonts w:ascii="Arial" w:cs="Arial" w:eastAsia="Arial" w:hAnsi="Arial"/>
                <w:sz w:val="18"/>
                <w:szCs w:val="18"/>
              </w:rPr>
              <w:t xml:space="preserve">Greedy decoding (do_sample=False)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Max Output Tokens</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100</w:t>
            </w:r>
          </w:p>
        </w:tc>
      </w:tr>
    </w:tbl>
    <w:p>
      <w:pPr>
        <w:spacing w:before="60" w:after="60"/>
      </w:pPr>
      <w:r>
        <w:t xml:space="preserve"/>
      </w:r>
    </w:p>
    <w:p>
      <w:r>
        <w:br w:type="page"/>
      </w:r>
    </w:p>
    <w:p>
      <w:pPr>
        <w:pStyle w:val="Heading1"/>
        <w:spacing w:before="360" w:after="120"/>
      </w:pPr>
      <w:r>
        <w:rPr>
          <w:rFonts w:ascii="Arial" w:cs="Arial" w:eastAsia="Arial" w:hAnsi="Arial"/>
          <w:b/>
          <w:bCs/>
          <w:color w:val="1E3A5F"/>
          <w:sz w:val="32"/>
          <w:szCs w:val="32"/>
        </w:rPr>
        <w:t xml:space="preserve">7. Conclusion</w:t>
      </w:r>
    </w:p>
    <w:p>
      <w:pPr>
        <w:spacing w:before="80" w:after="100"/>
      </w:pPr>
      <w:r>
        <w:rPr>
          <w:rFonts w:ascii="Arial" w:cs="Arial" w:eastAsia="Arial" w:hAnsi="Arial"/>
          <w:b w:val="false"/>
          <w:bCs w:val="false"/>
          <w:color w:val="000000"/>
          <w:sz w:val="22"/>
          <w:szCs w:val="22"/>
        </w:rPr>
        <w:t xml:space="preserve">This project successfully demonstrated the effectiveness of parameter-efficient fine-tuning for building a domain-specific medical assistant. Using LoRA [2] on TinyLlama [1], the fine-tuned model achieved substantial improvements over the pre-trained baseline: a 99.999% perplexity reduction, 31.06% BLEU improvement [12], and 23.83% ROUGE-L improvement [13].</w:t>
      </w:r>
    </w:p>
    <w:p>
      <w:pPr>
        <w:spacing w:before="60" w:after="60"/>
      </w:pPr>
      <w:r>
        <w:t xml:space="preserve"/>
      </w:r>
    </w:p>
    <w:p>
      <w:pPr>
        <w:spacing w:before="80" w:after="100"/>
      </w:pPr>
      <w:r>
        <w:rPr>
          <w:rFonts w:ascii="Arial" w:cs="Arial" w:eastAsia="Arial" w:hAnsi="Arial"/>
          <w:b w:val="false"/>
          <w:bCs w:val="false"/>
          <w:color w:val="000000"/>
          <w:sz w:val="22"/>
          <w:szCs w:val="22"/>
        </w:rPr>
        <w:t xml:space="preserve">The hyperparameter experiments confirmed that a medium learning rate of 5e-5 provides the best optimisation stability, consistent with recommendations in the LoRA literature [2] [6]. Deployment on Hugging Face Spaces with ZeroGPU [7] demonstrates that production-grade LLM inference is achievable at no cost using modern open-source tooling.</w:t>
      </w:r>
    </w:p>
    <w:p>
      <w:pPr>
        <w:spacing w:before="60" w:after="60"/>
      </w:pPr>
      <w:r>
        <w:t xml:space="preserve"/>
      </w:r>
    </w:p>
    <w:p>
      <w:pPr>
        <w:spacing w:before="80" w:after="100"/>
      </w:pPr>
      <w:r>
        <w:rPr>
          <w:rFonts w:ascii="Arial" w:cs="Arial" w:eastAsia="Arial" w:hAnsi="Arial"/>
          <w:b w:val="false"/>
          <w:bCs w:val="false"/>
          <w:color w:val="000000"/>
          <w:sz w:val="22"/>
          <w:szCs w:val="22"/>
        </w:rPr>
        <w:t xml:space="preserve">The project reinforces the practical viability of parameter-efficient fine-tuning on constrained hardware and underscores the importance of systematic hyperparameter experimentation in achieving meaningful performance gains over pre-trained baselines [10].</w:t>
      </w:r>
    </w:p>
    <w:p>
      <w:pPr>
        <w:spacing w:before="60" w:after="60"/>
      </w:pPr>
      <w:r>
        <w:t xml:space="preserve"/>
      </w:r>
    </w:p>
    <w:p>
      <w:pPr>
        <w:pStyle w:val="Heading2"/>
        <w:spacing w:before="240" w:after="100"/>
      </w:pPr>
      <w:r>
        <w:rPr>
          <w:rFonts w:ascii="Arial" w:cs="Arial" w:eastAsia="Arial" w:hAnsi="Arial"/>
          <w:b/>
          <w:bCs/>
          <w:color w:val="2E5090"/>
          <w:sz w:val="26"/>
          <w:szCs w:val="26"/>
        </w:rPr>
        <w:t xml:space="preserve">Future Work</w:t>
      </w:r>
    </w:p>
    <w:p>
      <w:pPr>
        <w:pStyle w:val="ListParagraph"/>
        <w:numPr>
          <w:ilvl w:val="0"/>
          <w:numId w:val="2"/>
        </w:numPr>
        <w:spacing w:before="40" w:after="40"/>
      </w:pPr>
      <w:r>
        <w:rPr>
          <w:rFonts w:ascii="Arial" w:cs="Arial" w:eastAsia="Arial" w:hAnsi="Arial"/>
          <w:b w:val="false"/>
          <w:bCs w:val="false"/>
          <w:sz w:val="22"/>
          <w:szCs w:val="22"/>
        </w:rPr>
        <w:t xml:space="preserve">Expand training data to cover additional medical subfields and improve generalisation [5].</w:t>
      </w:r>
    </w:p>
    <w:p>
      <w:pPr>
        <w:pStyle w:val="ListParagraph"/>
        <w:numPr>
          <w:ilvl w:val="0"/>
          <w:numId w:val="2"/>
        </w:numPr>
        <w:spacing w:before="40" w:after="40"/>
      </w:pPr>
      <w:r>
        <w:rPr>
          <w:rFonts w:ascii="Arial" w:cs="Arial" w:eastAsia="Arial" w:hAnsi="Arial"/>
          <w:b w:val="false"/>
          <w:bCs w:val="false"/>
          <w:sz w:val="22"/>
          <w:szCs w:val="22"/>
        </w:rPr>
        <w:t xml:space="preserve">Experiment with larger base models such as Gemma-2B [3] or Mistral-7B for improved quality.</w:t>
      </w:r>
    </w:p>
    <w:p>
      <w:pPr>
        <w:pStyle w:val="ListParagraph"/>
        <w:numPr>
          <w:ilvl w:val="0"/>
          <w:numId w:val="2"/>
        </w:numPr>
        <w:spacing w:before="40" w:after="40"/>
      </w:pPr>
      <w:r>
        <w:rPr>
          <w:rFonts w:ascii="Arial" w:cs="Arial" w:eastAsia="Arial" w:hAnsi="Arial"/>
          <w:b w:val="false"/>
          <w:bCs w:val="false"/>
          <w:sz w:val="22"/>
          <w:szCs w:val="22"/>
        </w:rPr>
        <w:t xml:space="preserve">Implement retrieval-augmented generation (RAG) to ground responses in verified medical literature [4].</w:t>
      </w:r>
    </w:p>
    <w:p>
      <w:pPr>
        <w:pStyle w:val="ListParagraph"/>
        <w:numPr>
          <w:ilvl w:val="0"/>
          <w:numId w:val="2"/>
        </w:numPr>
        <w:spacing w:before="40" w:after="40"/>
      </w:pPr>
      <w:r>
        <w:rPr>
          <w:rFonts w:ascii="Arial" w:cs="Arial" w:eastAsia="Arial" w:hAnsi="Arial"/>
          <w:b w:val="false"/>
          <w:bCs w:val="false"/>
          <w:sz w:val="22"/>
          <w:szCs w:val="22"/>
        </w:rPr>
        <w:t xml:space="preserve">Introduce uncertainty estimation to help users assess response reliability.</w:t>
      </w:r>
    </w:p>
    <w:p>
      <w:pPr>
        <w:spacing w:before="60" w:after="60"/>
      </w:pPr>
      <w:r>
        <w:t xml:space="preserve"/>
      </w:r>
    </w:p>
    <w:p>
      <w:r>
        <w:br w:type="page"/>
      </w:r>
    </w:p>
    <w:p>
      <w:pPr>
        <w:pStyle w:val="Heading1"/>
        <w:spacing w:before="360" w:after="120"/>
      </w:pPr>
      <w:r>
        <w:rPr>
          <w:rFonts w:ascii="Arial" w:cs="Arial" w:eastAsia="Arial" w:hAnsi="Arial"/>
          <w:b/>
          <w:bCs/>
          <w:color w:val="1E3A5F"/>
          <w:sz w:val="32"/>
          <w:szCs w:val="32"/>
        </w:rPr>
        <w:t xml:space="preserve">8. References</w:t>
      </w:r>
    </w:p>
    <w:p>
      <w:pPr>
        <w:spacing w:before="60" w:after="60"/>
        <w:ind w:left="400" w:hanging="400"/>
      </w:pPr>
      <w:r>
        <w:rPr>
          <w:rFonts w:ascii="Arial" w:cs="Arial" w:eastAsia="Arial" w:hAnsi="Arial"/>
          <w:b/>
          <w:bCs/>
          <w:sz w:val="22"/>
          <w:szCs w:val="22"/>
        </w:rPr>
        <w:t xml:space="preserve">[1]   </w:t>
      </w:r>
      <w:r>
        <w:rPr>
          <w:rFonts w:ascii="Arial" w:cs="Arial" w:eastAsia="Arial" w:hAnsi="Arial"/>
          <w:sz w:val="22"/>
          <w:szCs w:val="22"/>
        </w:rPr>
        <w:t xml:space="preserve">J. Zhang, G. Zeng, T. Wang, and W. Lu, "TinyLlama: An Open-Source Small Language Model," arXiv preprint arXiv:2401.02385, Jan. 2024.</w:t>
      </w:r>
    </w:p>
    <w:p>
      <w:pPr>
        <w:spacing w:before="60" w:after="60"/>
      </w:pPr>
      <w:r>
        <w:t xml:space="preserve"/>
      </w:r>
    </w:p>
    <w:p>
      <w:pPr>
        <w:spacing w:before="60" w:after="60"/>
        <w:ind w:left="400" w:hanging="400"/>
      </w:pPr>
      <w:r>
        <w:rPr>
          <w:rFonts w:ascii="Arial" w:cs="Arial" w:eastAsia="Arial" w:hAnsi="Arial"/>
          <w:b/>
          <w:bCs/>
          <w:sz w:val="22"/>
          <w:szCs w:val="22"/>
        </w:rPr>
        <w:t xml:space="preserve">[2]   </w:t>
      </w:r>
      <w:r>
        <w:rPr>
          <w:rFonts w:ascii="Arial" w:cs="Arial" w:eastAsia="Arial" w:hAnsi="Arial"/>
          <w:sz w:val="22"/>
          <w:szCs w:val="22"/>
        </w:rPr>
        <w:t xml:space="preserve">E. J. Hu, Y. Shen, P. Wallis, Z. Allen-Zhu, Y. Li, S. Wang, L. Wang, and W. Chen, "LoRA: Low-Rank Adaptation of Large Language Models," in Proc. Int. Conf. Learn. Representations (ICLR), 2022.</w:t>
      </w:r>
    </w:p>
    <w:p>
      <w:pPr>
        <w:spacing w:before="60" w:after="60"/>
      </w:pPr>
      <w:r>
        <w:t xml:space="preserve"/>
      </w:r>
    </w:p>
    <w:p>
      <w:pPr>
        <w:spacing w:before="60" w:after="60"/>
        <w:ind w:left="400" w:hanging="400"/>
      </w:pPr>
      <w:r>
        <w:rPr>
          <w:rFonts w:ascii="Arial" w:cs="Arial" w:eastAsia="Arial" w:hAnsi="Arial"/>
          <w:b/>
          <w:bCs/>
          <w:sz w:val="22"/>
          <w:szCs w:val="22"/>
        </w:rPr>
        <w:t xml:space="preserve">[3]   </w:t>
      </w:r>
      <w:r>
        <w:rPr>
          <w:rFonts w:ascii="Arial" w:cs="Arial" w:eastAsia="Arial" w:hAnsi="Arial"/>
          <w:sz w:val="22"/>
          <w:szCs w:val="22"/>
        </w:rPr>
        <w:t xml:space="preserve">T. Brown et al., "Language Models are Few-Shot Learners," in Advances in Neural Information Processing Systems (NeurIPS), vol. 33, pp. 1877-1901, 2020.</w:t>
      </w:r>
    </w:p>
    <w:p>
      <w:pPr>
        <w:spacing w:before="60" w:after="60"/>
      </w:pPr>
      <w:r>
        <w:t xml:space="preserve"/>
      </w:r>
    </w:p>
    <w:p>
      <w:pPr>
        <w:spacing w:before="60" w:after="60"/>
        <w:ind w:left="400" w:hanging="400"/>
      </w:pPr>
      <w:r>
        <w:rPr>
          <w:rFonts w:ascii="Arial" w:cs="Arial" w:eastAsia="Arial" w:hAnsi="Arial"/>
          <w:b/>
          <w:bCs/>
          <w:sz w:val="22"/>
          <w:szCs w:val="22"/>
        </w:rPr>
        <w:t xml:space="preserve">[4]   </w:t>
      </w:r>
      <w:r>
        <w:rPr>
          <w:rFonts w:ascii="Arial" w:cs="Arial" w:eastAsia="Arial" w:hAnsi="Arial"/>
          <w:sz w:val="22"/>
          <w:szCs w:val="22"/>
        </w:rPr>
        <w:t xml:space="preserve">K. Singhal et al., "Large Language Models Encode Clinical Knowledge," Nature, vol. 620, pp. 172-180, Aug. 2023.</w:t>
      </w:r>
    </w:p>
    <w:p>
      <w:pPr>
        <w:spacing w:before="60" w:after="60"/>
      </w:pPr>
      <w:r>
        <w:t xml:space="preserve"/>
      </w:r>
    </w:p>
    <w:p>
      <w:pPr>
        <w:spacing w:before="60" w:after="60"/>
        <w:ind w:left="400" w:hanging="400"/>
      </w:pPr>
      <w:r>
        <w:rPr>
          <w:rFonts w:ascii="Arial" w:cs="Arial" w:eastAsia="Arial" w:hAnsi="Arial"/>
          <w:b/>
          <w:bCs/>
          <w:sz w:val="22"/>
          <w:szCs w:val="22"/>
        </w:rPr>
        <w:t xml:space="preserve">[5]   </w:t>
      </w:r>
      <w:r>
        <w:rPr>
          <w:rFonts w:ascii="Arial" w:cs="Arial" w:eastAsia="Arial" w:hAnsi="Arial"/>
          <w:sz w:val="22"/>
          <w:szCs w:val="22"/>
        </w:rPr>
        <w:t xml:space="preserve">L. Yunxiang, L. Zihan, Z. Kai, D. Ruilong, and L. You, "ChatDoctor: A Medical Chat Model Fine-Tuned on a Large Language Model Meta-AI (LLaMA) Using Medical Domain Knowledge," Cureus, vol. 15, no. 6, e40895, Jun. 2023.</w:t>
      </w:r>
    </w:p>
    <w:p>
      <w:pPr>
        <w:spacing w:before="60" w:after="60"/>
      </w:pPr>
      <w:r>
        <w:t xml:space="preserve"/>
      </w:r>
    </w:p>
    <w:p>
      <w:pPr>
        <w:spacing w:before="60" w:after="60"/>
        <w:ind w:left="400" w:hanging="400"/>
      </w:pPr>
      <w:r>
        <w:rPr>
          <w:rFonts w:ascii="Arial" w:cs="Arial" w:eastAsia="Arial" w:hAnsi="Arial"/>
          <w:b/>
          <w:bCs/>
          <w:sz w:val="22"/>
          <w:szCs w:val="22"/>
        </w:rPr>
        <w:t xml:space="preserve">[6]   </w:t>
      </w:r>
      <w:r>
        <w:rPr>
          <w:rFonts w:ascii="Arial" w:cs="Arial" w:eastAsia="Arial" w:hAnsi="Arial"/>
          <w:sz w:val="22"/>
          <w:szCs w:val="22"/>
        </w:rPr>
        <w:t xml:space="preserve">T. Dettmers, A. Pagnoni, A. Holtzman, and L. Zettlemoyer, "QLoRA: Efficient Finetuning of Quantized LLMs," in Advances in Neural Information Processing Systems (NeurIPS), vol. 36, 2023.</w:t>
      </w:r>
    </w:p>
    <w:p>
      <w:pPr>
        <w:spacing w:before="60" w:after="60"/>
      </w:pPr>
      <w:r>
        <w:t xml:space="preserve"/>
      </w:r>
    </w:p>
    <w:p>
      <w:pPr>
        <w:spacing w:before="60" w:after="60"/>
        <w:ind w:left="400" w:hanging="400"/>
      </w:pPr>
      <w:r>
        <w:rPr>
          <w:rFonts w:ascii="Arial" w:cs="Arial" w:eastAsia="Arial" w:hAnsi="Arial"/>
          <w:b/>
          <w:bCs/>
          <w:sz w:val="22"/>
          <w:szCs w:val="22"/>
        </w:rPr>
        <w:t xml:space="preserve">[7]   </w:t>
      </w:r>
      <w:r>
        <w:rPr>
          <w:rFonts w:ascii="Arial" w:cs="Arial" w:eastAsia="Arial" w:hAnsi="Arial"/>
          <w:sz w:val="22"/>
          <w:szCs w:val="22"/>
        </w:rPr>
        <w:t xml:space="preserve">A. Abid, A. Abdalla, A. Abid, D. Khan, A. Alfozan, and J. Zou, "Gradio: Hassle-Free Sharing and Testing of ML Models in the Wild," arXiv preprint arXiv:1906.02569, 2019. [Online]. Available: https://gradio.app</w:t>
      </w:r>
    </w:p>
    <w:p>
      <w:pPr>
        <w:spacing w:before="60" w:after="60"/>
      </w:pPr>
      <w:r>
        <w:t xml:space="preserve"/>
      </w:r>
    </w:p>
    <w:p>
      <w:pPr>
        <w:spacing w:before="60" w:after="60"/>
        <w:ind w:left="400" w:hanging="400"/>
      </w:pPr>
      <w:r>
        <w:rPr>
          <w:rFonts w:ascii="Arial" w:cs="Arial" w:eastAsia="Arial" w:hAnsi="Arial"/>
          <w:b/>
          <w:bCs/>
          <w:sz w:val="22"/>
          <w:szCs w:val="22"/>
        </w:rPr>
        <w:t xml:space="preserve">[8]   </w:t>
      </w:r>
      <w:r>
        <w:rPr>
          <w:rFonts w:ascii="Arial" w:cs="Arial" w:eastAsia="Arial" w:hAnsi="Arial"/>
          <w:sz w:val="22"/>
          <w:szCs w:val="22"/>
        </w:rPr>
        <w:t xml:space="preserve">T. Han, A. Adams, J. Papale, S. Hanni, K. Diab, R. Bader, R. Schafer, and J. Rauschecker, "MedAlpaca — An Open-Source Collection of Medical Conversational AI Models and Training Data," arXiv preprint arXiv:2304.08247, Apr. 2023.</w:t>
      </w:r>
    </w:p>
    <w:p>
      <w:pPr>
        <w:spacing w:before="60" w:after="60"/>
      </w:pPr>
      <w:r>
        <w:t xml:space="preserve"/>
      </w:r>
    </w:p>
    <w:p>
      <w:pPr>
        <w:spacing w:before="60" w:after="60"/>
        <w:ind w:left="400" w:hanging="400"/>
      </w:pPr>
      <w:r>
        <w:rPr>
          <w:rFonts w:ascii="Arial" w:cs="Arial" w:eastAsia="Arial" w:hAnsi="Arial"/>
          <w:b/>
          <w:bCs/>
          <w:sz w:val="22"/>
          <w:szCs w:val="22"/>
        </w:rPr>
        <w:t xml:space="preserve">[9]   </w:t>
      </w:r>
      <w:r>
        <w:rPr>
          <w:rFonts w:ascii="Arial" w:cs="Arial" w:eastAsia="Arial" w:hAnsi="Arial"/>
          <w:sz w:val="22"/>
          <w:szCs w:val="22"/>
        </w:rPr>
        <w:t xml:space="preserve">L. von Werra et al., "TRL: Transformer Reinforcement Learning," GitHub repository, Hugging Face, 2023. [Online]. Available: https://github.com/huggingface/trl</w:t>
      </w:r>
    </w:p>
    <w:p>
      <w:pPr>
        <w:spacing w:before="60" w:after="60"/>
      </w:pPr>
      <w:r>
        <w:t xml:space="preserve"/>
      </w:r>
    </w:p>
    <w:p>
      <w:pPr>
        <w:spacing w:before="60" w:after="60"/>
        <w:ind w:left="400" w:hanging="400"/>
      </w:pPr>
      <w:r>
        <w:rPr>
          <w:rFonts w:ascii="Arial" w:cs="Arial" w:eastAsia="Arial" w:hAnsi="Arial"/>
          <w:b/>
          <w:bCs/>
          <w:sz w:val="22"/>
          <w:szCs w:val="22"/>
        </w:rPr>
        <w:t xml:space="preserve">[10]   </w:t>
      </w:r>
      <w:r>
        <w:rPr>
          <w:rFonts w:ascii="Arial" w:cs="Arial" w:eastAsia="Arial" w:hAnsi="Arial"/>
          <w:sz w:val="22"/>
          <w:szCs w:val="22"/>
        </w:rPr>
        <w:t xml:space="preserve">I. Loshchilov and F. Hutter, "Decoupled Weight Decay Regularization," in Proc. Int. Conf. Learn. Representations (ICLR), 2019.</w:t>
      </w:r>
    </w:p>
    <w:p>
      <w:pPr>
        <w:spacing w:before="60" w:after="60"/>
      </w:pPr>
      <w:r>
        <w:t xml:space="preserve"/>
      </w:r>
    </w:p>
    <w:p>
      <w:pPr>
        <w:spacing w:before="60" w:after="60"/>
        <w:ind w:left="400" w:hanging="400"/>
      </w:pPr>
      <w:r>
        <w:rPr>
          <w:rFonts w:ascii="Arial" w:cs="Arial" w:eastAsia="Arial" w:hAnsi="Arial"/>
          <w:b/>
          <w:bCs/>
          <w:sz w:val="22"/>
          <w:szCs w:val="22"/>
        </w:rPr>
        <w:t xml:space="preserve">[11]   </w:t>
      </w:r>
      <w:r>
        <w:rPr>
          <w:rFonts w:ascii="Arial" w:cs="Arial" w:eastAsia="Arial" w:hAnsi="Arial"/>
          <w:sz w:val="22"/>
          <w:szCs w:val="22"/>
        </w:rPr>
        <w:t xml:space="preserve">D. P. Kingma and J. Ba, "Adam: A Method for Stochastic Optimization," in Proc. Int. Conf. Learn. Representations (ICLR), 2015.</w:t>
      </w:r>
    </w:p>
    <w:p>
      <w:pPr>
        <w:spacing w:before="60" w:after="60"/>
      </w:pPr>
      <w:r>
        <w:t xml:space="preserve"/>
      </w:r>
    </w:p>
    <w:p>
      <w:pPr>
        <w:spacing w:before="60" w:after="60"/>
        <w:ind w:left="400" w:hanging="400"/>
      </w:pPr>
      <w:r>
        <w:rPr>
          <w:rFonts w:ascii="Arial" w:cs="Arial" w:eastAsia="Arial" w:hAnsi="Arial"/>
          <w:b/>
          <w:bCs/>
          <w:sz w:val="22"/>
          <w:szCs w:val="22"/>
        </w:rPr>
        <w:t xml:space="preserve">[12]   </w:t>
      </w:r>
      <w:r>
        <w:rPr>
          <w:rFonts w:ascii="Arial" w:cs="Arial" w:eastAsia="Arial" w:hAnsi="Arial"/>
          <w:sz w:val="22"/>
          <w:szCs w:val="22"/>
        </w:rPr>
        <w:t xml:space="preserve">K. Papineni, S. Roukos, T. Ward, and W.-J. Zhu, "BLEU: A Method for Automatic Evaluation of Machine Translation," in Proc. 40th Annual Meeting Assoc. Computational Linguistics (ACL), Philadelphia, PA, Jul. 2002, pp. 311-318.</w:t>
      </w:r>
    </w:p>
    <w:p>
      <w:pPr>
        <w:spacing w:before="60" w:after="60"/>
      </w:pPr>
      <w:r>
        <w:t xml:space="preserve"/>
      </w:r>
    </w:p>
    <w:p>
      <w:pPr>
        <w:spacing w:before="60" w:after="60"/>
        <w:ind w:left="400" w:hanging="400"/>
      </w:pPr>
      <w:r>
        <w:rPr>
          <w:rFonts w:ascii="Arial" w:cs="Arial" w:eastAsia="Arial" w:hAnsi="Arial"/>
          <w:b/>
          <w:bCs/>
          <w:sz w:val="22"/>
          <w:szCs w:val="22"/>
        </w:rPr>
        <w:t xml:space="preserve">[13]   </w:t>
      </w:r>
      <w:r>
        <w:rPr>
          <w:rFonts w:ascii="Arial" w:cs="Arial" w:eastAsia="Arial" w:hAnsi="Arial"/>
          <w:sz w:val="22"/>
          <w:szCs w:val="22"/>
        </w:rPr>
        <w:t xml:space="preserve">C.-Y. Lin, "ROUGE: A Package for Automatic Evaluation of Summaries," in Proc. Workshop Text Summarization Branches Out, Barcelona, Spain, Jul. 2004, pp. 74-81.</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E3A5F"/>
      <w:sz w:val="32"/>
      <w:szCs w:val="32"/>
    </w:rPr>
  </w:style>
  <w:style w:type="paragraph" w:styleId="Heading2">
    <w:name w:val="Heading 2"/>
    <w:basedOn w:val="Normal"/>
    <w:next w:val="Normal"/>
    <w:qFormat/>
    <w:pPr>
      <w:spacing w:before="240" w:after="100"/>
      <w:outlineLvl w:val="1"/>
    </w:pPr>
    <w:rPr>
      <w:rFonts w:ascii="Arial" w:cs="Arial" w:eastAsia="Arial" w:hAnsi="Arial"/>
      <w:b/>
      <w:bCs/>
      <w:color w:val="2E509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2026-02-21T23:29:47.137Z</dcterms:created>
  <dcterms:modified xsi:type="dcterms:W3CDTF">2026-02-21T23:29:47.138Z</dcterms:modified>
</cp:coreProperties>
</file>

<file path=docProps/custom.xml><?xml version="1.0" encoding="utf-8"?>
<Properties xmlns="http://schemas.openxmlformats.org/officeDocument/2006/custom-properties" xmlns:vt="http://schemas.openxmlformats.org/officeDocument/2006/docPropsVTypes"/>
</file>