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Domain-Specific Assistant via LLM Fine-Tuning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Medical Assistant Chatbot — TinyLlama Fine-tuned with LoRA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Submitted by: Fadhil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Course: ML Techniques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Date: February 2026</w:t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Live Demo: huggingface.co/spaces/fadhuweb/medical-assistant</w:t>
      </w:r>
    </w:p>
    <w:p>
      <w:pPr>
        <w:jc w:val="center"/>
      </w:pPr>
      <w:r>
        <w:rPr>
          <w:rFonts w:ascii="Arial" w:cs="Arial" w:eastAsia="Arial" w:hAnsi="Arial"/>
          <w:color w:val="2563EB"/>
          <w:sz w:val="22"/>
          <w:szCs w:val="22"/>
        </w:rPr>
        <w:t xml:space="preserve">Model: huggingface.co/fadhuweb/medical-assistant-model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Definition and Domain Alignment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project develops a healthcare domain-specific conversational AI assistant by fine-tuning TinyLlama-1.1B-Chat [1] using Low-Rank Adaptation (LoRA) [2]. The assistant is designed to answer medical questions covering symptoms, treatments, prevention strategies, and general health advice.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of large language models (LLMs) to healthcare has grown significantly following the success of transformer-based architectures [3]. However, general-purpose pre-trained models often lack the domain-specific knowledge necessary to provide accurate medical responses [4]. Fine-tuning on curated medical datasets is widely recognised as an effective approach to address this limitation [5].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TinyLlama [1] was selected as the base model due to its balance between capability and computational efficiency, making it suitable for training on Google Colab's free T4 GPU. LoRA [2] was adopted as the fine-tuning strategy because it enables effective domain adaptation by training only a small fraction of total model parameters. Studies have shown that parameter-efficient methods such as LoRA can achieve performance comparable to full fine-tuning while reducing trainable parameters by over 90% [6].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final assistant is deployed as an interactive Gradio [7] web application on Hugging Face Spaces with ZeroGPU, making it publicly accessible.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Disclaimer: </w:t>
      </w:r>
      <w:r>
        <w:rPr>
          <w:rFonts w:ascii="Arial" w:cs="Arial" w:eastAsia="Arial" w:hAnsi="Arial"/>
          <w:color w:val="D97706"/>
          <w:sz w:val="22"/>
          <w:szCs w:val="22"/>
        </w:rPr>
        <w:t xml:space="preserve">This assistant is strictly for educational purposes and does not replace professional medical advice.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Dataset Collection and Preprocessing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Dataset Source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dataset used is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medalpaca/medical_meadow_medical_flashcards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[8], sourced from the Hugging Face Datasets Hub. It consists of high-quality medical question-and-answer pairs derived from medical flashcard content, covering pharmacology, physiology, pathology, and clinical practice.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The dataset was selected for the following reasons: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domain-specific and directly aligned with the healthcare assistant objective.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flashcard format maps naturally to the instruction-response template required for instruction-tuned generative models [9].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provides diverse coverage across medical subfields, supporting generalisation across query types [5].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 is publicly available on Hugging Face, ensuring full reproducibility.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Preprocessing Pipeline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comprehensive preprocessing pipeline was applied to prepare the dataset for supervised fine-tuning (SFT) [9].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Formatting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Each sample was reformatted into the TinyLlama chat template, consistent with the instruction-following format established in the model's original training [1]:</w:t>
      </w:r>
    </w:p>
    <w:p>
      <w:pPr>
        <w:shd w:fill="F3F4F6" w:val="clear"/>
        <w:spacing w:before="80" w:after="8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&lt;|user|&gt;\n{question}\n&lt;|assistant|&gt;\n{answer}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Tokenization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Text was tokenized using the TinyLlama tokenizer [1] with sequences truncated to a maximum of 512 tokens. Padding was applied on the right using the EOS token as the pad token, following standard practice for causal language model fine-tuning [10].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Filtering and Cleaning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Entries with empty or null fields were removed. Sequences shorter than 10 tokens were excluded as they provide insufficient training signal [9]. The cleaned dataset was split 80/20 into training and validation sets.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Dataset Statistics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samples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Training 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sequence length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512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Tokenizer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TinyLlama (fast)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Model Fine-Tuning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Base Model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base model is TinyLlama/TinyLlama-1.1B-Chat-v1.0 [1], a 1.1 billion parameter causal language model pre-trained on a large general corpus and instruction-tuned for chat. It was selected for its small memory footprint (under 6 GB VRAM in float16), enabling training on Colab's free T4 GPU, while remaining competitive for its size [1].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LoRA Configuration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LoRA [2] was applied to the query and value projection matrices of the self-attention layers. This approach inserts trainable low-rank decomposition matrices into frozen pre-trained weights, enabling domain adaptation with a fraction of the parameters required for full fine-tuning. Dettmers et al. [6] demonstrated that LoRA-based methods achieve near full fine-tuning performance at greatly reduced memory cost.</w:t>
      </w:r>
    </w:p>
    <w:p>
      <w:pPr>
        <w:spacing w:before="60" w:after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LoRA Parameter</w:t>
            </w:r>
          </w:p>
        </w:tc>
        <w:tc>
          <w:tcPr>
            <w:tcW w:type="dxa" w:w="3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(r)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Alpha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Dropout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0.05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Target Modules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q_proj, v_proj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Trainable Parameters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~4% of total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Training Configuration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experiments used the AdamW optimiser [11] with cosine annealing scheduling and a warmup ratio of 0.03. Mixed precision training (float16) was used to reduce GPU memory consumption [10]. Training was conducted using the Hugging Face SFTTrainer [9] on a Google Colab T4 GPU.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Optimiser: AdamW [11] with weight decay 0.01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Scheduler: Cosine annealing with linear warmup [10]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Warmup ratio: 0.03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Precision: float16 mixed precision [10]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framework: Hugging Face SFTTrainer [9]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Hardware: Google Colab T4 GPU (16 GB VRAM)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Hyperparameter Experiments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experiments were conducted to identify the optimal learning rate and batch size. Learning rate is widely recognised as the most influential hyperparameter in transformer fine-tuning [10], and effective batch size through gradient accumulation significantly affects convergence stability [3]. All experiments ran for 5 epochs on the same data split.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850"/>
        <w:gridCol w:w="900"/>
        <w:gridCol w:w="950"/>
        <w:gridCol w:w="650"/>
        <w:gridCol w:w="750"/>
        <w:gridCol w:w="750"/>
        <w:gridCol w:w="750"/>
        <w:gridCol w:w="780"/>
        <w:gridCol w:w="780"/>
      </w:tblGrid>
      <w:tr>
        <w:trPr>
          <w:tblHeader/>
        </w:trPr>
        <w:tc>
          <w:tcPr>
            <w:tcW w:type="dxa" w:w="13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LR</w:t>
            </w:r>
          </w:p>
        </w:tc>
        <w:tc>
          <w:tcPr>
            <w:tcW w:type="dxa" w:w="8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Batch</w:t>
            </w:r>
          </w:p>
        </w:tc>
        <w:tc>
          <w:tcPr>
            <w:tcW w:type="dxa" w:w="9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Grad Accum</w:t>
            </w:r>
          </w:p>
        </w:tc>
        <w:tc>
          <w:tcPr>
            <w:tcW w:type="dxa" w:w="9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Eff. Batch</w:t>
            </w:r>
          </w:p>
        </w:tc>
        <w:tc>
          <w:tcPr>
            <w:tcW w:type="dxa" w:w="6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Epochs</w:t>
            </w:r>
          </w:p>
        </w:tc>
        <w:tc>
          <w:tcPr>
            <w:tcW w:type="dxa" w:w="7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 Loss</w:t>
            </w:r>
          </w:p>
        </w:tc>
        <w:tc>
          <w:tcPr>
            <w:tcW w:type="dxa" w:w="7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Loss</w:t>
            </w:r>
          </w:p>
        </w:tc>
        <w:tc>
          <w:tcPr>
            <w:tcW w:type="dxa" w:w="75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Perplexity</w:t>
            </w:r>
          </w:p>
        </w:tc>
        <w:tc>
          <w:tcPr>
            <w:tcW w:type="dxa" w:w="7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BLEU</w:t>
            </w:r>
          </w:p>
        </w:tc>
        <w:tc>
          <w:tcPr>
            <w:tcW w:type="dxa" w:w="7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ROUGE-L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11.8996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147,204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67.67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76.57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 1 High LR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1e-4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0.7976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0.3680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88.67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94.72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 2 Med LR [BEST]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5e-5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0.5717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0.3658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88.69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94.81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 3 Low LR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2e-5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0.8304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0.3893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80.38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85.27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Best Model: Experiment 2 (LR = 5e-5) — lowest validation loss (0.3658) and highest ROUGE-L (94.81).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Analysis of Experiments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Experiment 1 — High Learning Rate (1e-4)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learning rate of 1e-4 with an effective batch size of 8 produced strong results: validation loss 0.368, BLEU 88.67. Training completed in 27 minutes. The marginally higher validation loss compared to Experiment 2 is consistent with findings that very high learning rates can cause overshoot in later training epochs [10].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Experiment 2 — Medium Learning Rate (5e-5) — Best Model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learning rate of 5e-5 achieved the best overall performance: validation loss 0.3658 and ROUGE-L 94.81. The lower training loss of 0.5717 indicates more stable convergence. This range of 1e-5 to 1e-4 is consistent with recommended learning rates for LoRA fine-tuning reported in [2] and [6].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Experiment 3 — Low Learning Rate (2e-5)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low learning rate of 2e-5 produced weaker performance: BLEU 80.38 and ROUGE-L 85.27. The higher training loss of 0.8304 suggests insufficient convergence within 5 epochs at this rate, consistent with the expectation that very low learning rates require more training steps [10].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GPU Memory and Training Time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All experiments consumed approximately 6.28 GB of GPU memory, confirming the LoRA configuration is memory-efficient for constrained hardware [6]. Training times ranged from 27 to 48 minutes, with Experiment 2 taking longer due to its smaller effective batch size.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Performance Metrics and Evaluation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Quantitative Metrics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Models were evaluated using three standard NLP metrics: Perplexity, BLEU [12], and ROUGE-L [13]. These metrics capture complementary aspects of response quality and are widely used for evaluating generative language model outputs [4] [5].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170"/>
        <w:gridCol w:w="1170"/>
      </w:tblGrid>
      <w:tr>
        <w:trPr>
          <w:tblHeader/>
        </w:trPr>
        <w:tc>
          <w:tcPr>
            <w:tcW w:type="dxa" w:w="234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1</w:t>
            </w:r>
          </w:p>
        </w:tc>
        <w:tc>
          <w:tcPr>
            <w:tcW w:type="dxa" w:w="1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2 (Best)</w:t>
            </w:r>
          </w:p>
        </w:tc>
        <w:tc>
          <w:tcPr>
            <w:tcW w:type="dxa" w:w="117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 3</w:t>
            </w:r>
          </w:p>
        </w:tc>
        <w:tc>
          <w:tcPr>
            <w:tcW w:type="dxa" w:w="117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 (Best)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Perplexity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147,204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99.999%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BLEU [12]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67.67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88.67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88.69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80.38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31.06%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ROUGE-L [13]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76.57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94.72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94.81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85.27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23.83%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 Loss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11.8996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0.3680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0.3658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0.3893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96.93%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Metric Interpretation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Perplexity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Perplexity quantifies how well a model predicts a sequence — lower is better. The reduction from 147,204 to 1.44 demonstrates that fine-tuning fundamentally transformed the model's domain knowledge. This aligns with findings in medical NLP literature showing that general-purpose LLMs without domain adaptation exhibit poor perplexity on specialised corpora [4] [5].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BLEU Score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BLEU [12] measures n-gram precision between generated and reference responses. The improvement from 67.67 to 88.69 (31.06%) confirms that the fine-tuned model produces responses with substantially higher lexical overlap with expected medical answers, indicating improved factual alignment.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ROUGE-L Score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ROUGE-L [13] measures the longest common subsequence between generated and reference responses. The improvement from 76.57 to 94.81 (23.83%) indicates the model not only uses appropriate medical vocabulary but arranges it in a coherent structure consistent with domain conventions.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Qualitative Evaluation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Qualitative evaluation through direct interaction complements automated metrics, as metric scores alone do not fully capture response utility and clinical relevance [4]. The table below compares base model and fine-tuned responses on representative queries: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43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Model Response</w:t>
            </w:r>
          </w:p>
        </w:tc>
        <w:tc>
          <w:tcPr>
            <w:tcW w:type="dxa" w:w="343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Fine-tuned Model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are common symptoms of the flu?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Generic or off-topic, lacking medical structure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Fever, chills, body aches, fatigue, sore throat, runny nose. Rest and fluids recommended.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can I prevent high blood pressure?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Vague lifestyle advice without medical grounding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Reduce salt intake, exercise regularly, maintain healthy weight, limit alcohol, avoid smoking.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daily water intake?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Inconsistent or uncertain answer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Approximately 8 cups (2 litres) per day, varying by activity level and climate.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Why is sleep important for health?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answer unrelated to medical context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Sleep supports immune function, cognitive performance, emotional regulation, and cardiovascular health.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qualitative results confirm that fine-tuning substantially improves response focus, accuracy, and domain relevance. The base model produces vague or off-topic outputs on domain-specific queries, consistent with the documented limitation of general-purpose LLMs on specialised tasks [3] [5].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User Interface and Deployment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Interface Design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chatbot is deployed as a Gradio [7] web application, selected for its native support for conversational interfaces and seamless integration with Hugging Face Spaces. The interface prioritises usability, providing an accessible experience for users without technical backgrounds.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sz w:val="22"/>
          <w:szCs w:val="22"/>
        </w:rPr>
        <w:t xml:space="preserve">Key interface features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persistent chat interface with message history, supporting natural multi-turn interactions.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Pre-loaded example questions allowing immediate engagement without query formulation.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collapsible 'How to use' section with clear user instructions.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prominent medical disclaimer ensuring informed, responsible use.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professional visual design using Gradio's Soft theme for a healthcare-appropriate aesthetic [7].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Deployment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application is deployed on Hugging Face Spaces using the Gradio SDK with ZeroGPU.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@spaces.GPU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decorator registers the generation function with Hugging Face's dynamic GPU scheduler, allocating GPU resources on demand [7]. The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merge_and_unload()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method merges LoRA weights into the base model at load time, eliminating adapter overhead during inference and improving generation speed [2] [6].</w:t>
      </w:r>
    </w:p>
    <w:p>
      <w:pPr>
        <w:spacing w:before="60" w:after="6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Interface Framework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Gradio [7]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Hosting 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GPU Allocation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ZeroGPU (free tier)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 Hosting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Hub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Inference Optimisation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merge_and_unload() [2]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Decoding Strategy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Greedy decoding (do_sample=False)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 Output Tokens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Conclusion</w:t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project successfully demonstrated the effectiveness of parameter-efficient fine-tuning for building a domain-specific medical assistant. Using LoRA [2] on TinyLlama [1], the fine-tuned model achieved substantial improvements over the pre-trained baseline: a 99.999% perplexity reduction, 31.06% BLEU improvement [12], and 23.83% ROUGE-L improvement [13].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hyperparameter experiments confirmed that a medium learning rate of 5e-5 provides the best optimisation stability, consistent with recommendations in the LoRA literature [2] [6]. Deployment on Hugging Face Spaces with ZeroGPU [7] demonstrates that production-grade LLM inference is achievable at no cost using modern open-source tooling.</w:t>
      </w:r>
    </w:p>
    <w:p>
      <w:pPr>
        <w:spacing w:before="60" w:after="60"/>
      </w:pPr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project reinforces the practical viability of parameter-efficient fine-tuning on constrained hardware and underscores the importance of systematic hyperparameter experimentation in achieving meaningful performance gains over pre-trained baselines [10].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 training data to cover additional medical subfields and improve generalisation [5].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Experiment with larger base models such as Gemma-2B [3] or Mistral-7B for improved quality.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 retrieval-augmented generation (RAG) to ground responses in verified medical literature [4].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Introduce uncertainty estimation to help users assess response reliability.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References</w:t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  </w:t>
      </w:r>
      <w:r>
        <w:rPr>
          <w:rFonts w:ascii="Arial" w:cs="Arial" w:eastAsia="Arial" w:hAnsi="Arial"/>
          <w:sz w:val="22"/>
          <w:szCs w:val="22"/>
        </w:rPr>
        <w:t xml:space="preserve">J. Zhang, G. Zeng, T. Wang, and W. Lu, "TinyLlama: An Open-Source Small Language Model," arXiv preprint arXiv:2401.02385, Jan. 2024.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  </w:t>
      </w:r>
      <w:r>
        <w:rPr>
          <w:rFonts w:ascii="Arial" w:cs="Arial" w:eastAsia="Arial" w:hAnsi="Arial"/>
          <w:sz w:val="22"/>
          <w:szCs w:val="22"/>
        </w:rPr>
        <w:t xml:space="preserve">E. J. Hu, Y. Shen, P. Wallis, Z. Allen-Zhu, Y. Li, S. Wang, L. Wang, and W. Chen, "LoRA: Low-Rank Adaptation of Large Language Models," in Proc. Int. Conf. Learn. Representations (ICLR), 2022.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  </w:t>
      </w:r>
      <w:r>
        <w:rPr>
          <w:rFonts w:ascii="Arial" w:cs="Arial" w:eastAsia="Arial" w:hAnsi="Arial"/>
          <w:sz w:val="22"/>
          <w:szCs w:val="22"/>
        </w:rPr>
        <w:t xml:space="preserve">T. Brown et al., "Language Models are Few-Shot Learners," in Advances in Neural Information Processing Systems (NeurIPS), vol. 33, pp. 1877-1901, 2020.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  </w:t>
      </w:r>
      <w:r>
        <w:rPr>
          <w:rFonts w:ascii="Arial" w:cs="Arial" w:eastAsia="Arial" w:hAnsi="Arial"/>
          <w:sz w:val="22"/>
          <w:szCs w:val="22"/>
        </w:rPr>
        <w:t xml:space="preserve">K. Singhal et al., "Large Language Models Encode Clinical Knowledge," Nature, vol. 620, pp. 172-180, Aug. 2023.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  </w:t>
      </w:r>
      <w:r>
        <w:rPr>
          <w:rFonts w:ascii="Arial" w:cs="Arial" w:eastAsia="Arial" w:hAnsi="Arial"/>
          <w:sz w:val="22"/>
          <w:szCs w:val="22"/>
        </w:rPr>
        <w:t xml:space="preserve">L. Yunxiang, L. Zihan, Z. Kai, D. Ruilong, and L. You, "ChatDoctor: A Medical Chat Model Fine-Tuned on a Large Language Model Meta-AI (LLaMA) Using Medical Domain Knowledge," Cureus, vol. 15, no. 6, e40895, Jun. 2023.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  </w:t>
      </w:r>
      <w:r>
        <w:rPr>
          <w:rFonts w:ascii="Arial" w:cs="Arial" w:eastAsia="Arial" w:hAnsi="Arial"/>
          <w:sz w:val="22"/>
          <w:szCs w:val="22"/>
        </w:rPr>
        <w:t xml:space="preserve">T. Dettmers, A. Pagnoni, A. Holtzman, and L. Zettlemoyer, "QLoRA: Efficient Finetuning of Quantized LLMs," in Advances in Neural Information Processing Systems (NeurIPS), vol. 36, 2023.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[7]   </w:t>
      </w:r>
      <w:r>
        <w:rPr>
          <w:rFonts w:ascii="Arial" w:cs="Arial" w:eastAsia="Arial" w:hAnsi="Arial"/>
          <w:sz w:val="22"/>
          <w:szCs w:val="22"/>
        </w:rPr>
        <w:t xml:space="preserve">A. Abid, A. Abdalla, A. Abid, D. Khan, A. Alfozan, and J. Zou, "Gradio: Hassle-Free Sharing and Testing of ML Models in the Wild," arXiv preprint arXiv:1906.02569, 2019. [Online]. Available: https://gradio.app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[8]   </w:t>
      </w:r>
      <w:r>
        <w:rPr>
          <w:rFonts w:ascii="Arial" w:cs="Arial" w:eastAsia="Arial" w:hAnsi="Arial"/>
          <w:sz w:val="22"/>
          <w:szCs w:val="22"/>
        </w:rPr>
        <w:t xml:space="preserve">T. Han, A. Adams, J. Papale, S. Hanni, K. Diab, R. Bader, R. Schafer, and J. Rauschecker, "MedAlpaca — An Open-Source Collection of Medical Conversational AI Models and Training Data," arXiv preprint arXiv:2304.08247, Apr. 2023.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[9]   </w:t>
      </w:r>
      <w:r>
        <w:rPr>
          <w:rFonts w:ascii="Arial" w:cs="Arial" w:eastAsia="Arial" w:hAnsi="Arial"/>
          <w:sz w:val="22"/>
          <w:szCs w:val="22"/>
        </w:rPr>
        <w:t xml:space="preserve">L. von Werra et al., "TRL: Transformer Reinforcement Learning," GitHub repository, Hugging Face, 2023. [Online]. Available: https://github.com/huggingface/trl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[10]   </w:t>
      </w:r>
      <w:r>
        <w:rPr>
          <w:rFonts w:ascii="Arial" w:cs="Arial" w:eastAsia="Arial" w:hAnsi="Arial"/>
          <w:sz w:val="22"/>
          <w:szCs w:val="22"/>
        </w:rPr>
        <w:t xml:space="preserve">I. Loshchilov and F. Hutter, "Decoupled Weight Decay Regularization," in Proc. Int. Conf. Learn. Representations (ICLR), 2019.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[11]   </w:t>
      </w:r>
      <w:r>
        <w:rPr>
          <w:rFonts w:ascii="Arial" w:cs="Arial" w:eastAsia="Arial" w:hAnsi="Arial"/>
          <w:sz w:val="22"/>
          <w:szCs w:val="22"/>
        </w:rPr>
        <w:t xml:space="preserve">D. P. Kingma and J. Ba, "Adam: A Method for Stochastic Optimization," in Proc. Int. Conf. Learn. Representations (ICLR), 2015.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[12]   </w:t>
      </w:r>
      <w:r>
        <w:rPr>
          <w:rFonts w:ascii="Arial" w:cs="Arial" w:eastAsia="Arial" w:hAnsi="Arial"/>
          <w:sz w:val="22"/>
          <w:szCs w:val="22"/>
        </w:rPr>
        <w:t xml:space="preserve">K. Papineni, S. Roukos, T. Ward, and W.-J. Zhu, "BLEU: A Method for Automatic Evaluation of Machine Translation," in Proc. 40th Annual Meeting Assoc. Computational Linguistics (ACL), Philadelphia, PA, Jul. 2002, pp. 311-318.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400" w:hanging="4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[13]   </w:t>
      </w:r>
      <w:r>
        <w:rPr>
          <w:rFonts w:ascii="Arial" w:cs="Arial" w:eastAsia="Arial" w:hAnsi="Arial"/>
          <w:sz w:val="22"/>
          <w:szCs w:val="22"/>
        </w:rPr>
        <w:t xml:space="preserve">C.-Y. Lin, "ROUGE: A Package for Automatic Evaluation of Summaries," in Proc. Workshop Text Summarization Branches Out, Barcelona, Spain, Jul. 2004, pp. 74-81.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2026-02-21T22:35:00.669Z</dcterms:created>
  <dcterms:modified xsi:type="dcterms:W3CDTF">2026-02-21T22:35:00.669Z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