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ContractsCounsel has assisted 419 clients with commercial leases and maintains a network of 214 </w:t>
      </w:r>
      <w:hyperlink r:id="rId2">
        <w:r>
          <w:rPr>
            <w:rStyle w:val="ListLabel64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real estate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lawyers available daily. These lawyers collectively have </w:t>
      </w:r>
      <w:hyperlink r:id="rId3">
        <w:r>
          <w:rPr>
            <w:rStyle w:val="ListLabel64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 reviews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to help you choose the best lawyer for your needs. Customers rate lawyers for commercial lease matters 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What is a Commercial Lease?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 commercial lease is a legal document which outlines the </w:t>
      </w:r>
      <w:hyperlink r:id="rId4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terms and conditions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between a landlord and tenant to rent a business property. It's a </w:t>
      </w:r>
      <w:hyperlink r:id="rId5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legally binding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made between a landlord, or the "lessor" (often the owner or management company of the property), and a business tenant, or the "lessee", that must be followed.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Provides a clear framework to the relationship between the landlord and tenant.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 </w:t>
      </w:r>
      <w:hyperlink r:id="rId6">
        <w:r>
          <w:rPr>
            <w:rStyle w:val="ListLabel65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lease agreement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 protects the interest of both parties.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Ensures there is compliance with local and state laws governing commercial properties.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What Is Included in a Commercial Lease Agreement?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 commercial lease agreement outlines the rights and responsibilities of a "LESSEE" and "LESSOR." It includes the following terms and conditions: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Both of your names and information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address and basic information about the property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type of commercial building you're leasing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square footage of the space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length of the lease and the terms of renewing the lease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rent and when you must pay it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The cost of the security deposit.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An outline of how you may use the leased space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See Commercial Lease by State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Alabama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Alaska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Arizona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Arkansas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California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Colorado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Connecticut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Delaware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District of Columbia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Florida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Georgia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Hawaii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1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Idaho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Illinois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Indiana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Iowa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Kansas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Kentucky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Louisiana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Maine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7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Maryland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Massachusetts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29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Michigan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0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Minnesota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1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Mississippi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2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Missouri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3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Montana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4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Nebraska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5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Nevada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6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Hampshire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</w:pPr>
      <w:hyperlink r:id="rId38">
        <w:r>
          <w:rPr>
            <w:rStyle w:val="ListLabel66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New Jersey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jersey" TargetMode="External"/><Relationship Id="rId38" Type="http://schemas.openxmlformats.org/officeDocument/2006/relationships/hyperlink" Target="https://www.contractscounsel.com/t/us/commercial-lease/new-mexico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2</Pages>
  <Words>312</Words>
  <Characters>1508</Characters>
  <CharactersWithSpaces>1731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2025-03-03T15:32:19Z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