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ns1="http://schemas.openxmlformats.org/markup-compatibility/2006" xmlns:ns2="http://schemas.microsoft.com/office/word/2010/wordml" xmlns:ns3="http://schemas.openxmlformats.org/officeDocument/2006/relationships" xmlns:w="http://schemas.openxmlformats.org/wordprocessingml/2006/main" ns1:Ignorable="w14 wp14 w15">
  <w:body>
    <w:p>
      <w:pPr>
        <w:pStyle w:val="Normal"/>
        <w:shd w:val="clear" w:color="auto" w:fill="FFFFFF"/>
        <w:spacing w:lineRule="atLeast" w:line="420" w:before="0" w:after="36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ساعدت ContractsCounsel 419 عميلًا في عقود الإيجار التجاري وتحتفظ بشبكة تضم 214 محاميًا في مجال العقارات متاحين يوميًا. يمتلك هؤلاء المحامون مجتمعين 71 تقييمًا لمساعدتك في اختيار أفضل محامي لاحتياجاتك. يقيم العملاء المحامين في مسائل عقود الإيجار التجاري بتقييم 4.97.</w:t>
      </w:r>
      <w:hyperlink ns3:id="rId2">
        <w:r>
          <w:rPr>
            <w:rStyle w:val="ListLabel64"/>
            <w:rFonts w:eastAsia="Times New Roman" w:cs="Poppins" w:ascii="Poppins" w:hAnsi="Poppins"/>
            <w:color w:val="C9002A"/>
            <w:kern w:val="0"/>
            <w:u w:val="single"/>
            <w:lang w:eastAsia="en-GB"/>
            <ns2:ligatures ns2:val="none"/>
          </w:rPr>
          <w:t/>
        </w:r>
      </w:hyperlink>
      <w:r>
        <w:rPr>
          <w:rFonts w:eastAsia="Times New Roman" w:cs="Poppins" w:ascii="Poppins" w:hAnsi="Poppins"/>
          <w:color w:val="2F2D2D"/>
          <w:kern w:val="0"/>
          <w:lang w:eastAsia="en-GB"/>
          <ns2:ligatures ns2:val="none"/>
        </w:rPr>
        <w:t/>
      </w:r>
      <w:hyperlink ns3:id="rId3">
        <w:r>
          <w:rPr>
            <w:rStyle w:val="ListLabel64"/>
            <w:rFonts w:eastAsia="Times New Roman" w:cs="Poppins" w:ascii="Poppins" w:hAnsi="Poppins"/>
            <w:color w:val="C9002A"/>
            <w:kern w:val="0"/>
            <w:u w:val="single"/>
            <w:lang w:eastAsia="en-GB"/>
            <ns2:ligatures ns2:val="none"/>
          </w:rPr>
          <w:t/>
        </w:r>
      </w:hyperlink>
      <w:r>
        <w:rPr>
          <w:rFonts w:eastAsia="Times New Roman" w:cs="Poppins" w:ascii="Poppins" w:hAnsi="Poppins"/>
          <w:color w:val="2F2D2D"/>
          <w:kern w:val="0"/>
          <w:lang w:eastAsia="en-GB"/>
          <ns2:ligatures ns2:val="none"/>
        </w:rPr>
        <w:t/>
      </w:r>
      <w:r>
        <w:rPr>
          <w:rFonts w:eastAsia="Times New Roman" w:cs="Poppins" w:ascii="Poppins" w:hAnsi="Poppins"/>
          <w:color w:val="2F2D2D"/>
          <w:kern w:val="0"/>
          <w:lang w:val="en-US" w:eastAsia="en-GB"/>
          <ns2:ligatures ns2:val="none"/>
        </w:rPr>
        <w:t xml:space="preserve"/>
      </w:r>
      <w:r>
        <w:rPr>
          <w:rFonts w:eastAsia="Times New Roman" w:cs="Poppins" w:ascii="Poppins" w:hAnsi="Poppins"/>
          <w:color w:val="2F2D2D"/>
          <w:kern w:val="0"/>
          <w:lang w:eastAsia="en-GB"/>
          <ns2:ligatures ns2:val="none"/>
        </w:rPr>
        <w:t/>
      </w:r>
    </w:p>
    <w:p>
      <w:pPr>
        <w:pStyle w:val="Normal"/>
        <w:numPr>
          <w:ilvl w:val="0"/>
          <w:numId w:val="0"/>
        </w:numPr>
        <w:shd w:val="clear" w:color="auto" w:fill="FFFFFF"/>
        <w:spacing w:lineRule="atLeast" w:line="690" w:before="0" w:after="150"/>
        <w:ind w:hanging="0" w:left="0"/>
        <w:outlineLvl w:val="1"/>
        <w:rPr>
          <w:rFonts w:ascii="Poppins" w:hAnsi="Poppins" w:eastAsia="Times New Roman" w:cs="Poppins"/>
          <w:b/>
          <w:bCs/>
          <w:color w:val="2F2D2D"/>
          <w:kern w:val="0"/>
          <w:sz w:val="39"/>
          <w:szCs w:val="39"/>
          <w:lang w:eastAsia="en-GB"/>
          <ns2:ligatures ns2:val="none"/>
        </w:rPr>
        <w:bidi w:val="on"/>
      </w:pPr>
      <w:r>
        <w:rPr>
          <w:rFonts w:eastAsia="Times New Roman" w:cs="Poppins" w:ascii="Poppins" w:hAnsi="Poppins"/>
          <w:b/>
          <w:bCs/>
          <w:color w:val="2F2D2D"/>
          <w:kern w:val="0"/>
          <w:sz w:val="39"/>
          <w:szCs w:val="39"/>
          <w:lang w:eastAsia="en-GB"/>
          <ns2:ligatures ns2:val="none"/>
        </w:rPr>
        <w:t>ما هو عقد الإيجار التجاري؟</w:t>
      </w:r>
    </w:p>
    <w:p>
      <w:pPr>
        <w:pStyle w:val="Normal"/>
        <w:shd w:val="clear" w:color="auto" w:fill="FFFFFF"/>
        <w:spacing w:lineRule="atLeast" w:line="420" w:before="0" w:after="36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عقد الإيجار التجاري هو وثيقة قانونية تحدد الشروط والأحكام بين المالك والمستأجر لاستئجار ممتلكات تجارية. إنه اتفاق ملزم قانونيًا يتم بين المالك، أو "المؤجر" (غالبًا مالك أو شركة إدارة الممتلكات)، ومستأجر تجاري، أو "المستأجر"، يجب اتباعه.</w:t>
      </w:r>
      <w:hyperlink ns3:id="rId4">
        <w:r>
          <w:rPr>
            <w:rStyle w:val="ListLabel65"/>
            <w:rFonts w:eastAsia="Times New Roman" w:cs="Poppins" w:ascii="Poppins" w:hAnsi="Poppins"/>
            <w:color w:val="0000FF"/>
            <w:kern w:val="0"/>
            <w:u w:val="single"/>
            <w:lang w:eastAsia="en-GB"/>
            <ns2:ligatures ns2:val="none"/>
          </w:rPr>
          <w:t/>
        </w:r>
      </w:hyperlink>
      <w:r>
        <w:rPr>
          <w:rFonts w:eastAsia="Times New Roman" w:cs="Poppins" w:ascii="Poppins" w:hAnsi="Poppins"/>
          <w:color w:val="2F2D2D"/>
          <w:kern w:val="0"/>
          <w:lang w:eastAsia="en-GB"/>
          <ns2:ligatures ns2:val="none"/>
        </w:rPr>
        <w:t/>
      </w:r>
      <w:hyperlink ns3:id="rId5">
        <w:r>
          <w:rPr>
            <w:rStyle w:val="ListLabel65"/>
            <w:rFonts w:eastAsia="Times New Roman" w:cs="Poppins" w:ascii="Poppins" w:hAnsi="Poppins"/>
            <w:color w:val="0000FF"/>
            <w:kern w:val="0"/>
            <w:u w:val="single"/>
            <w:lang w:eastAsia="en-GB"/>
            <ns2:ligatures ns2:val="none"/>
          </w:rPr>
          <w:t/>
        </w:r>
      </w:hyperlink>
      <w:r>
        <w:rPr>
          <w:rFonts w:eastAsia="Times New Roman" w:cs="Poppins" w:ascii="Poppins" w:hAnsi="Poppins"/>
          <w:color w:val="2F2D2D"/>
          <w:kern w:val="0"/>
          <w:lang w:eastAsia="en-GB"/>
          <ns2:ligatures ns2:val="none"/>
        </w:rPr>
        <w:t/>
      </w:r>
    </w:p>
    <w:p>
      <w:pPr>
        <w:pStyle w:val="Normal"/>
        <w:numPr>
          <w:ilvl w:val="0"/>
          <w:numId w:val="1"/>
        </w:numPr>
        <w:shd w:val="clear" w:color="auto" w:fill="FFFFFF"/>
        <w:spacing w:lineRule="atLeast" w:line="420" w:beforeAutospacing="1"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يوفر إطارًا واضحًا للعلاقة بين المالك والمستأجر.</w:t>
      </w:r>
    </w:p>
    <w:p>
      <w:pPr>
        <w:pStyle w:val="Normal"/>
        <w:numPr>
          <w:ilvl w:val="0"/>
          <w:numId w:val="1"/>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يحمي عقد الإيجار مصلحة كل من الطرفين.</w:t>
      </w:r>
      <w:hyperlink ns3:id="rId6">
        <w:r>
          <w:rPr>
            <w:rStyle w:val="ListLabel65"/>
            <w:rFonts w:eastAsia="Times New Roman" w:cs="Poppins" w:ascii="Poppins" w:hAnsi="Poppins"/>
            <w:color w:val="0000FF"/>
            <w:kern w:val="0"/>
            <w:u w:val="single"/>
            <w:lang w:eastAsia="en-GB"/>
            <ns2:ligatures ns2:val="none"/>
          </w:rPr>
          <w:t/>
        </w:r>
      </w:hyperlink>
      <w:r>
        <w:rPr>
          <w:rFonts w:eastAsia="Times New Roman" w:cs="Poppins" w:ascii="Poppins" w:hAnsi="Poppins"/>
          <w:color w:val="2F2D2D"/>
          <w:kern w:val="0"/>
          <w:lang w:eastAsia="en-GB"/>
          <ns2:ligatures ns2:val="none"/>
        </w:rPr>
        <w:t/>
      </w:r>
    </w:p>
    <w:p>
      <w:pPr>
        <w:pStyle w:val="Normal"/>
        <w:numPr>
          <w:ilvl w:val="0"/>
          <w:numId w:val="1"/>
        </w:numPr>
        <w:shd w:val="clear" w:color="auto" w:fill="FFFFFF"/>
        <w:spacing w:lineRule="atLeast" w:line="420" w:before="0" w:afterAutospacing="1"/>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يضمن الامتثال للقوانين المحلية والولائية التي تحكم العقارات التجارية.</w:t>
      </w:r>
    </w:p>
    <w:p>
      <w:pPr>
        <w:pStyle w:val="Normal"/>
        <w:numPr>
          <w:ilvl w:val="0"/>
          <w:numId w:val="0"/>
        </w:numPr>
        <w:shd w:val="clear" w:color="auto" w:fill="FFFFFF"/>
        <w:spacing w:lineRule="atLeast" w:line="690" w:before="300" w:after="150"/>
        <w:ind w:hanging="0" w:left="0"/>
        <w:outlineLvl w:val="1"/>
        <w:rPr>
          <w:rFonts w:ascii="Poppins" w:hAnsi="Poppins" w:eastAsia="Times New Roman" w:cs="Poppins"/>
          <w:b/>
          <w:bCs/>
          <w:color w:val="2F2D2D"/>
          <w:kern w:val="0"/>
          <w:sz w:val="39"/>
          <w:szCs w:val="39"/>
          <w:lang w:eastAsia="en-GB"/>
          <ns2:ligatures ns2:val="none"/>
        </w:rPr>
        <w:bidi w:val="on"/>
      </w:pPr>
      <w:r>
        <w:rPr>
          <w:rFonts w:eastAsia="Times New Roman" w:cs="Poppins" w:ascii="Poppins" w:hAnsi="Poppins"/>
          <w:b/>
          <w:bCs/>
          <w:color w:val="2F2D2D"/>
          <w:kern w:val="0"/>
          <w:sz w:val="39"/>
          <w:szCs w:val="39"/>
          <w:lang w:eastAsia="en-GB"/>
          <ns2:ligatures ns2:val="none"/>
        </w:rPr>
        <w:t>ما الذي يتضمنه اتفاقية تأجير تجارية؟</w:t>
      </w:r>
    </w:p>
    <w:p>
      <w:pPr>
        <w:pStyle w:val="Normal"/>
        <w:shd w:val="clear" w:color="auto" w:fill="FFFFFF"/>
        <w:spacing w:lineRule="atLeast" w:line="420" w:before="0" w:after="36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اتفاقية تأجير تجارية تحدد حقوق ومسؤوليات "المستأجر" و"المؤجر". تتضمن شروط وأحكام التالية:</w:t>
      </w:r>
    </w:p>
    <w:p>
      <w:pPr>
        <w:pStyle w:val="Normal"/>
        <w:numPr>
          <w:ilvl w:val="0"/>
          <w:numId w:val="2"/>
        </w:numPr>
        <w:shd w:val="clear" w:color="auto" w:fill="FFFFFF"/>
        <w:spacing w:lineRule="atLeast" w:line="420" w:beforeAutospacing="1"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كلا من أسمائكما ومعلوماتكما</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العنوان والمعلومات الأساسية حول الممتلكات</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نوع المبنى التجاري الذي تقوم بتأجيره</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مساحة المساحة بالقدم المربع</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طول فترة الإيجار وشروط تجديد العقد</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تكلفة الإيجار وموعد سداده</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تكلفة الوديعة الأمنية.</w:t>
      </w:r>
    </w:p>
    <w:p>
      <w:pPr>
        <w:pStyle w:val="Normal"/>
        <w:numPr>
          <w:ilvl w:val="0"/>
          <w:numId w:val="2"/>
        </w:numPr>
        <w:shd w:val="clear" w:color="auto" w:fill="FFFFFF"/>
        <w:spacing w:lineRule="atLeast" w:line="420" w:before="0" w:after="0"/>
        <w:rPr>
          <w:rFonts w:ascii="Poppins" w:hAnsi="Poppins" w:eastAsia="Times New Roman" w:cs="Poppins"/>
          <w:color w:val="2F2D2D"/>
          <w:kern w:val="0"/>
          <w:lang w:eastAsia="en-GB"/>
          <ns2:ligatures ns2:val="none"/>
        </w:rPr>
        <w:bidi w:val="on"/>
      </w:pPr>
      <w:r>
        <w:rPr>
          <w:rFonts w:eastAsia="Times New Roman" w:cs="Poppins" w:ascii="Poppins" w:hAnsi="Poppins"/>
          <w:color w:val="2F2D2D"/>
          <w:kern w:val="0"/>
          <w:lang w:eastAsia="en-GB"/>
          <ns2:ligatures ns2:val="none"/>
        </w:rPr>
        <w:t>مخطط لكيفية استخدامك للمساحة المؤجرة</w:t>
      </w:r>
    </w:p>
    <w:p>
      <w:pPr>
        <w:pStyle w:val="Normal"/>
        <w:numPr>
          <w:ilvl w:val="0"/>
          <w:numId w:val="0"/>
        </w:numPr>
        <w:shd w:val="clear" w:color="auto" w:fill="FFFFFF"/>
        <w:spacing w:lineRule="atLeast" w:line="450" w:before="300" w:after="150"/>
        <w:ind w:hanging="0" w:left="0"/>
        <w:outlineLvl w:val="2"/>
        <w:rPr>
          <w:rFonts w:ascii="Poppins" w:hAnsi="Poppins" w:eastAsia="Times New Roman" w:cs="Poppins"/>
          <w:b/>
          <w:bCs/>
          <w:color w:val="2F2D2D"/>
          <w:kern w:val="0"/>
          <w:sz w:val="30"/>
          <w:szCs w:val="30"/>
          <w:lang w:eastAsia="en-GB"/>
          <ns2:ligatures ns2:val="none"/>
        </w:rPr>
        <w:bidi w:val="on"/>
      </w:pPr>
      <w:r>
        <w:rPr>
          <w:rFonts w:eastAsia="Times New Roman" w:cs="Poppins" w:ascii="Poppins" w:hAnsi="Poppins"/>
          <w:b/>
          <w:bCs/>
          <w:color w:val="2F2D2D"/>
          <w:kern w:val="0"/>
          <w:sz w:val="30"/>
          <w:szCs w:val="30"/>
          <w:lang w:eastAsia="en-GB"/>
          <ns2:ligatures ns2:val="none"/>
        </w:rPr>
        <w:t>انظر إلى عقود الإيجار التجاري حسب الولاية</w:t>
      </w:r>
    </w:p>
    <w:p>
      <w:pPr>
        <w:pStyle w:val="Normal"/>
        <w:numPr>
          <w:ilvl w:val="0"/>
          <w:numId w:val="3"/>
        </w:numPr>
        <w:spacing w:lineRule="atLeast" w:line="420" w:beforeAutospacing="1" w:after="0"/>
        <w:rPr>
          <w:rFonts w:ascii="Poppins" w:hAnsi="Poppins" w:eastAsia="Times New Roman" w:cs="Poppins"/>
          <w:color w:val="2F2D2D"/>
          <w:kern w:val="0"/>
          <w:lang w:eastAsia="en-GB"/>
          <ns2:ligatures ns2:val="none"/>
        </w:rPr>
        <w:bidi w:val="on"/>
      </w:pPr>
      <w:hyperlink ns3:id="rId7">
        <w:r>
          <w:rPr>
            <w:rStyle w:val="ListLabel66"/>
            <w:rFonts w:eastAsia="Times New Roman" w:cs="Poppins" w:ascii="Poppins" w:hAnsi="Poppins"/>
            <w:color w:val="2F2D2D"/>
            <w:kern w:val="0"/>
            <w:u w:val="single"/>
            <w:lang w:eastAsia="en-GB"/>
            <ns2:ligatures ns2:val="none"/>
          </w:rPr>
          <w:t>ألاباما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8">
        <w:r>
          <w:rPr>
            <w:rStyle w:val="ListLabel66"/>
            <w:rFonts w:eastAsia="Times New Roman" w:cs="Poppins" w:ascii="Poppins" w:hAnsi="Poppins"/>
            <w:color w:val="2F2D2D"/>
            <w:kern w:val="0"/>
            <w:u w:val="single"/>
            <w:lang w:eastAsia="en-GB"/>
            <ns2:ligatures ns2:val="none"/>
          </w:rPr>
          <w:t>ألاسكا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9">
        <w:r>
          <w:rPr>
            <w:rStyle w:val="ListLabel66"/>
            <w:rFonts w:eastAsia="Times New Roman" w:cs="Poppins" w:ascii="Poppins" w:hAnsi="Poppins"/>
            <w:color w:val="2F2D2D"/>
            <w:kern w:val="0"/>
            <w:u w:val="single"/>
            <w:lang w:eastAsia="en-GB"/>
            <ns2:ligatures ns2:val="none"/>
          </w:rPr>
          <w:t>أريزونا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0">
        <w:r>
          <w:rPr>
            <w:rStyle w:val="ListLabel66"/>
            <w:rFonts w:eastAsia="Times New Roman" w:cs="Poppins" w:ascii="Poppins" w:hAnsi="Poppins"/>
            <w:color w:val="2F2D2D"/>
            <w:kern w:val="0"/>
            <w:u w:val="single"/>
            <w:lang w:eastAsia="en-GB"/>
            <ns2:ligatures ns2:val="none"/>
          </w:rPr>
          <w:t>أركنساس</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1">
        <w:r>
          <w:rPr>
            <w:rStyle w:val="ListLabel66"/>
            <w:rFonts w:eastAsia="Times New Roman" w:cs="Poppins" w:ascii="Poppins" w:hAnsi="Poppins"/>
            <w:color w:val="2F2D2D"/>
            <w:kern w:val="0"/>
            <w:u w:val="single"/>
            <w:lang w:eastAsia="en-GB"/>
            <ns2:ligatures ns2:val="none"/>
          </w:rPr>
          <w:t>كاليفورنيا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2">
        <w:r>
          <w:rPr>
            <w:rStyle w:val="ListLabel66"/>
            <w:rFonts w:eastAsia="Times New Roman" w:cs="Poppins" w:ascii="Poppins" w:hAnsi="Poppins"/>
            <w:color w:val="2F2D2D"/>
            <w:kern w:val="0"/>
            <w:u w:val="single"/>
            <w:lang w:eastAsia="en-GB"/>
            <ns2:ligatures ns2:val="none"/>
          </w:rPr>
          <w:t>كولورادو</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3">
        <w:r>
          <w:rPr>
            <w:rStyle w:val="ListLabel66"/>
            <w:rFonts w:eastAsia="Times New Roman" w:cs="Poppins" w:ascii="Poppins" w:hAnsi="Poppins"/>
            <w:color w:val="2F2D2D"/>
            <w:kern w:val="0"/>
            <w:u w:val="single"/>
            <w:lang w:eastAsia="en-GB"/>
            <ns2:ligatures ns2:val="none"/>
          </w:rPr>
          <w:t>كونيتيكت</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4">
        <w:r>
          <w:rPr>
            <w:rStyle w:val="ListLabel66"/>
            <w:rFonts w:eastAsia="Times New Roman" w:cs="Poppins" w:ascii="Poppins" w:hAnsi="Poppins"/>
            <w:color w:val="2F2D2D"/>
            <w:kern w:val="0"/>
            <w:u w:val="single"/>
            <w:lang w:eastAsia="en-GB"/>
            <ns2:ligatures ns2:val="none"/>
          </w:rPr>
          <w:t>ديلاوير</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5">
        <w:r>
          <w:rPr>
            <w:rStyle w:val="ListLabel66"/>
            <w:rFonts w:eastAsia="Times New Roman" w:cs="Poppins" w:ascii="Poppins" w:hAnsi="Poppins"/>
            <w:color w:val="2F2D2D"/>
            <w:kern w:val="0"/>
            <w:u w:val="single"/>
            <w:lang w:eastAsia="en-GB"/>
            <ns2:ligatures ns2:val="none"/>
          </w:rPr>
          <w:t>منطقة كولومبيا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6">
        <w:r>
          <w:rPr>
            <w:rStyle w:val="ListLabel66"/>
            <w:rFonts w:eastAsia="Times New Roman" w:cs="Poppins" w:ascii="Poppins" w:hAnsi="Poppins"/>
            <w:color w:val="2F2D2D"/>
            <w:kern w:val="0"/>
            <w:u w:val="single"/>
            <w:lang w:eastAsia="en-GB"/>
            <ns2:ligatures ns2:val="none"/>
          </w:rPr>
          <w:t>فلوريدا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7">
        <w:r>
          <w:rPr>
            <w:rStyle w:val="ListLabel66"/>
            <w:rFonts w:eastAsia="Times New Roman" w:cs="Poppins" w:ascii="Poppins" w:hAnsi="Poppins"/>
            <w:color w:val="2F2D2D"/>
            <w:kern w:val="0"/>
            <w:u w:val="single"/>
            <w:lang w:eastAsia="en-GB"/>
            <ns2:ligatures ns2:val="none"/>
          </w:rPr>
          <w:t>جورجيا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8">
        <w:r>
          <w:rPr>
            <w:rStyle w:val="ListLabel66"/>
            <w:rFonts w:eastAsia="Times New Roman" w:cs="Poppins" w:ascii="Poppins" w:hAnsi="Poppins"/>
            <w:color w:val="2F2D2D"/>
            <w:kern w:val="0"/>
            <w:u w:val="single"/>
            <w:lang w:eastAsia="en-GB"/>
            <ns2:ligatures ns2:val="none"/>
          </w:rPr>
          <w:t>هاواي</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19">
        <w:r>
          <w:rPr>
            <w:rStyle w:val="ListLabel66"/>
            <w:rFonts w:eastAsia="Times New Roman" w:cs="Poppins" w:ascii="Poppins" w:hAnsi="Poppins"/>
            <w:color w:val="2F2D2D"/>
            <w:kern w:val="0"/>
            <w:u w:val="single"/>
            <w:lang w:eastAsia="en-GB"/>
            <ns2:ligatures ns2:val="none"/>
          </w:rPr>
          <w:t>أيداهو</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0">
        <w:r>
          <w:rPr>
            <w:rStyle w:val="ListLabel66"/>
            <w:rFonts w:eastAsia="Times New Roman" w:cs="Poppins" w:ascii="Poppins" w:hAnsi="Poppins"/>
            <w:color w:val="2F2D2D"/>
            <w:kern w:val="0"/>
            <w:u w:val="single"/>
            <w:lang w:eastAsia="en-GB"/>
            <ns2:ligatures ns2:val="none"/>
          </w:rPr>
          <w:t>إلينوي</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1">
        <w:r>
          <w:rPr>
            <w:rStyle w:val="ListLabel66"/>
            <w:rFonts w:eastAsia="Times New Roman" w:cs="Poppins" w:ascii="Poppins" w:hAnsi="Poppins"/>
            <w:color w:val="2F2D2D"/>
            <w:kern w:val="0"/>
            <w:u w:val="single"/>
            <w:lang w:eastAsia="en-GB"/>
            <ns2:ligatures ns2:val="none"/>
          </w:rPr>
          <w:t>إنديانا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2">
        <w:r>
          <w:rPr>
            <w:rStyle w:val="ListLabel66"/>
            <w:rFonts w:eastAsia="Times New Roman" w:cs="Poppins" w:ascii="Poppins" w:hAnsi="Poppins"/>
            <w:color w:val="2F2D2D"/>
            <w:kern w:val="0"/>
            <w:u w:val="single"/>
            <w:lang w:eastAsia="en-GB"/>
            <ns2:ligatures ns2:val="none"/>
          </w:rPr>
          <w:t>آيوا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3">
        <w:r>
          <w:rPr>
            <w:rStyle w:val="ListLabel66"/>
            <w:rFonts w:eastAsia="Times New Roman" w:cs="Poppins" w:ascii="Poppins" w:hAnsi="Poppins"/>
            <w:color w:val="2F2D2D"/>
            <w:kern w:val="0"/>
            <w:u w:val="single"/>
            <w:lang w:eastAsia="en-GB"/>
            <ns2:ligatures ns2:val="none"/>
          </w:rPr>
          <w:t>كانساس</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4">
        <w:r>
          <w:rPr>
            <w:rStyle w:val="ListLabel66"/>
            <w:rFonts w:eastAsia="Times New Roman" w:cs="Poppins" w:ascii="Poppins" w:hAnsi="Poppins"/>
            <w:color w:val="2F2D2D"/>
            <w:kern w:val="0"/>
            <w:u w:val="single"/>
            <w:lang w:eastAsia="en-GB"/>
            <ns2:ligatures ns2:val="none"/>
          </w:rPr>
          <w:t>كنتاكي</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5">
        <w:r>
          <w:rPr>
            <w:rStyle w:val="ListLabel66"/>
            <w:rFonts w:eastAsia="Times New Roman" w:cs="Poppins" w:ascii="Poppins" w:hAnsi="Poppins"/>
            <w:color w:val="2F2D2D"/>
            <w:kern w:val="0"/>
            <w:u w:val="single"/>
            <w:lang w:eastAsia="en-GB"/>
            <ns2:ligatures ns2:val="none"/>
          </w:rPr>
          <w:t>لويزيانا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6">
        <w:r>
          <w:rPr>
            <w:rStyle w:val="ListLabel66"/>
            <w:rFonts w:eastAsia="Times New Roman" w:cs="Poppins" w:ascii="Poppins" w:hAnsi="Poppins"/>
            <w:color w:val="2F2D2D"/>
            <w:kern w:val="0"/>
            <w:u w:val="single"/>
            <w:lang w:eastAsia="en-GB"/>
            <ns2:ligatures ns2:val="none"/>
          </w:rPr>
          <w:t>ماين</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7">
        <w:r>
          <w:rPr>
            <w:rStyle w:val="ListLabel66"/>
            <w:rFonts w:eastAsia="Times New Roman" w:cs="Poppins" w:ascii="Poppins" w:hAnsi="Poppins"/>
            <w:color w:val="2F2D2D"/>
            <w:kern w:val="0"/>
            <w:u w:val="single"/>
            <w:lang w:eastAsia="en-GB"/>
            <ns2:ligatures ns2:val="none"/>
          </w:rPr>
          <w:t>ميريلاند</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8">
        <w:r>
          <w:rPr>
            <w:rStyle w:val="ListLabel66"/>
            <w:rFonts w:eastAsia="Times New Roman" w:cs="Poppins" w:ascii="Poppins" w:hAnsi="Poppins"/>
            <w:color w:val="2F2D2D"/>
            <w:kern w:val="0"/>
            <w:u w:val="single"/>
            <w:lang w:eastAsia="en-GB"/>
            <ns2:ligatures ns2:val="none"/>
          </w:rPr>
          <w:t>ماساتشوستس</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29">
        <w:r>
          <w:rPr>
            <w:rStyle w:val="ListLabel66"/>
            <w:rFonts w:eastAsia="Times New Roman" w:cs="Poppins" w:ascii="Poppins" w:hAnsi="Poppins"/>
            <w:color w:val="2F2D2D"/>
            <w:kern w:val="0"/>
            <w:u w:val="single"/>
            <w:lang w:eastAsia="en-GB"/>
            <ns2:ligatures ns2:val="none"/>
          </w:rPr>
          <w:t>ميشيغان</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0">
        <w:r>
          <w:rPr>
            <w:rStyle w:val="ListLabel66"/>
            <w:rFonts w:eastAsia="Times New Roman" w:cs="Poppins" w:ascii="Poppins" w:hAnsi="Poppins"/>
            <w:color w:val="2F2D2D"/>
            <w:kern w:val="0"/>
            <w:u w:val="single"/>
            <w:lang w:eastAsia="en-GB"/>
            <ns2:ligatures ns2:val="none"/>
          </w:rPr>
          <w:t>مينيسوتا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1">
        <w:r>
          <w:rPr>
            <w:rStyle w:val="ListLabel66"/>
            <w:rFonts w:eastAsia="Times New Roman" w:cs="Poppins" w:ascii="Poppins" w:hAnsi="Poppins"/>
            <w:color w:val="2F2D2D"/>
            <w:kern w:val="0"/>
            <w:u w:val="single"/>
            <w:lang w:eastAsia="en-GB"/>
            <ns2:ligatures ns2:val="none"/>
          </w:rPr>
          <w:t>ميسيسيبي</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2">
        <w:r>
          <w:rPr>
            <w:rStyle w:val="ListLabel66"/>
            <w:rFonts w:eastAsia="Times New Roman" w:cs="Poppins" w:ascii="Poppins" w:hAnsi="Poppins"/>
            <w:color w:val="2F2D2D"/>
            <w:kern w:val="0"/>
            <w:u w:val="single"/>
            <w:lang w:eastAsia="en-GB"/>
            <ns2:ligatures ns2:val="none"/>
          </w:rPr>
          <w:t>ميزوري</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3">
        <w:r>
          <w:rPr>
            <w:rStyle w:val="ListLabel66"/>
            <w:rFonts w:eastAsia="Times New Roman" w:cs="Poppins" w:ascii="Poppins" w:hAnsi="Poppins"/>
            <w:color w:val="2F2D2D"/>
            <w:kern w:val="0"/>
            <w:u w:val="single"/>
            <w:lang w:eastAsia="en-GB"/>
            <ns2:ligatures ns2:val="none"/>
          </w:rPr>
          <w:t>مونتانا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4">
        <w:r>
          <w:rPr>
            <w:rStyle w:val="ListLabel66"/>
            <w:rFonts w:eastAsia="Times New Roman" w:cs="Poppins" w:ascii="Poppins" w:hAnsi="Poppins"/>
            <w:color w:val="2F2D2D"/>
            <w:kern w:val="0"/>
            <w:u w:val="single"/>
            <w:lang w:eastAsia="en-GB"/>
            <ns2:ligatures ns2:val="none"/>
          </w:rPr>
          <w:t>نبراسكا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5">
        <w:r>
          <w:rPr>
            <w:rStyle w:val="ListLabel66"/>
            <w:rFonts w:eastAsia="Times New Roman" w:cs="Poppins" w:ascii="Poppins" w:hAnsi="Poppins"/>
            <w:color w:val="2F2D2D"/>
            <w:kern w:val="0"/>
            <w:u w:val="single"/>
            <w:lang w:eastAsia="en-GB"/>
            <ns2:ligatures ns2:val="none"/>
          </w:rPr>
          <w:t>نيفادا</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6">
        <w:r>
          <w:rPr>
            <w:rStyle w:val="ListLabel66"/>
            <w:rFonts w:eastAsia="Times New Roman" w:cs="Poppins" w:ascii="Poppins" w:hAnsi="Poppins"/>
            <w:color w:val="2F2D2D"/>
            <w:kern w:val="0"/>
            <w:u w:val="single"/>
            <w:lang w:eastAsia="en-GB"/>
            <ns2:ligatures ns2:val="none"/>
          </w:rPr>
          <w:t>نيو هامبشاير</w:t>
        </w:r>
      </w:hyperlink>
    </w:p>
    <w:p>
      <w:pPr>
        <w:pStyle w:val="Normal"/>
        <w:numPr>
          <w:ilvl w:val="0"/>
          <w:numId w:val="3"/>
        </w:numPr>
        <w:spacing w:lineRule="atLeast" w:line="420" w:before="0" w:after="0"/>
        <w:rPr>
          <w:rFonts w:ascii="Poppins" w:hAnsi="Poppins" w:eastAsia="Times New Roman" w:cs="Poppins"/>
          <w:color w:val="2F2D2D"/>
          <w:kern w:val="0"/>
          <w:lang w:eastAsia="en-GB"/>
          <ns2:ligatures ns2:val="none"/>
        </w:rPr>
        <w:bidi w:val="on"/>
      </w:pPr>
      <w:hyperlink ns3:id="rId38">
        <w:r>
          <w:rPr>
            <w:rStyle w:val="ListLabel66"/>
            <w:rFonts w:eastAsia="Times New Roman" w:cs="Poppins" w:ascii="Poppins" w:hAnsi="Poppins"/>
            <w:color w:val="2F2D2D"/>
            <w:kern w:val="0"/>
            <w:u w:val="single"/>
            <w:lang w:eastAsia="en-GB"/>
            <ns2:ligatures ns2:val="none"/>
          </w:rPr>
          <w:t>نيو جيرسي</w:t>
        </w:r>
      </w:hyperlink>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P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PK" w:eastAsia="en-US" w:bidi="ar-SA"/>
      <w14:ligatures w14:val="standardContextual"/>
    </w:rPr>
  </w:style>
  <w:style w:type="paragraph" w:styleId="Heading2">
    <w:name w:val="Heading 2"/>
    <w:basedOn w:val="Normal"/>
    <w:link w:val="Heading2Char"/>
    <w:uiPriority w:val="9"/>
    <w:qFormat/>
    <w:rsid w:val="008d3714"/>
    <w:pPr>
      <w:spacing w:beforeAutospacing="1" w:afterAutospacing="1"/>
      <w:outlineLvl w:val="1"/>
    </w:pPr>
    <w:rPr>
      <w:rFonts w:ascii="Times New Roman" w:hAnsi="Times New Roman" w:eastAsia="Times New Roman" w:cs="Times New Roman"/>
      <w:b/>
      <w:bCs/>
      <w:kern w:val="0"/>
      <w:sz w:val="36"/>
      <w:szCs w:val="36"/>
      <w:lang w:eastAsia="en-GB"/>
      <w14:ligatures w14:val="none"/>
    </w:rPr>
  </w:style>
  <w:style w:type="paragraph" w:styleId="Heading3">
    <w:name w:val="Heading 3"/>
    <w:basedOn w:val="Normal"/>
    <w:link w:val="Heading3Char"/>
    <w:uiPriority w:val="9"/>
    <w:qFormat/>
    <w:rsid w:val="008d3714"/>
    <w:pPr>
      <w:spacing w:beforeAutospacing="1" w:afterAutospacing="1"/>
      <w:outlineLvl w:val="2"/>
    </w:pPr>
    <w:rPr>
      <w:rFonts w:ascii="Times New Roman" w:hAnsi="Times New Roman" w:eastAsia="Times New Roman" w:cs="Times New Roman"/>
      <w:b/>
      <w:bCs/>
      <w:kern w:val="0"/>
      <w:sz w:val="27"/>
      <w:szCs w:val="27"/>
      <w:lang w:eastAsia="en-GB"/>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d3714"/>
    <w:rPr>
      <w:rFonts w:ascii="Times New Roman" w:hAnsi="Times New Roman" w:eastAsia="Times New Roman" w:cs="Times New Roman"/>
      <w:b/>
      <w:bCs/>
      <w:kern w:val="0"/>
      <w:sz w:val="36"/>
      <w:szCs w:val="36"/>
      <w:lang w:eastAsia="en-GB"/>
      <w14:ligatures w14:val="none"/>
    </w:rPr>
  </w:style>
  <w:style w:type="character" w:styleId="Heading3Char" w:customStyle="1">
    <w:name w:val="Heading 3 Char"/>
    <w:basedOn w:val="DefaultParagraphFont"/>
    <w:link w:val="Heading3"/>
    <w:uiPriority w:val="9"/>
    <w:qFormat/>
    <w:rsid w:val="008d3714"/>
    <w:rPr>
      <w:rFonts w:ascii="Times New Roman" w:hAnsi="Times New Roman" w:eastAsia="Times New Roman" w:cs="Times New Roman"/>
      <w:b/>
      <w:bCs/>
      <w:kern w:val="0"/>
      <w:sz w:val="27"/>
      <w:szCs w:val="27"/>
      <w:lang w:eastAsia="en-GB"/>
      <w14:ligatures w14:val="none"/>
    </w:rPr>
  </w:style>
  <w:style w:type="character" w:styleId="Emphasis">
    <w:name w:val="Emphasis"/>
    <w:basedOn w:val="DefaultParagraphFont"/>
    <w:uiPriority w:val="20"/>
    <w:qFormat/>
    <w:rsid w:val="008d3714"/>
    <w:rPr>
      <w:i/>
      <w:iCs/>
    </w:rPr>
  </w:style>
  <w:style w:type="character" w:styleId="Hyperlink">
    <w:name w:val="Hyperlink"/>
    <w:basedOn w:val="DefaultParagraphFont"/>
    <w:uiPriority w:val="99"/>
    <w:semiHidden/>
    <w:unhideWhenUsed/>
    <w:rsid w:val="008d3714"/>
    <w:rPr>
      <w:color w:val="0000FF"/>
      <w:u w:val="single"/>
    </w:rPr>
  </w:style>
  <w:style w:type="character" w:styleId="display-inline-block" w:customStyle="1">
    <w:name w:val="display-inline-block"/>
    <w:basedOn w:val="DefaultParagraphFont"/>
    <w:qFormat/>
    <w:rsid w:val="008d3714"/>
    <w:rPr/>
  </w:style>
  <w:style w:type="character" w:styleId="Strong">
    <w:name w:val="Strong"/>
    <w:basedOn w:val="DefaultParagraphFont"/>
    <w:uiPriority w:val="22"/>
    <w:qFormat/>
    <w:rsid w:val="008d3714"/>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8d3714"/>
    <w:pPr>
      <w:spacing w:beforeAutospacing="1" w:afterAutospacing="1"/>
    </w:pPr>
    <w:rPr>
      <w:rFonts w:ascii="Times New Roman" w:hAnsi="Times New Roman" w:eastAsia="Times New Roman" w:cs="Times New Roman"/>
      <w:kern w:val="0"/>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tractscounsel.com/f/us/real-estate-lawyers" TargetMode="External"/><Relationship Id="rId3" Type="http://schemas.openxmlformats.org/officeDocument/2006/relationships/hyperlink" Target="https://www.contractscounsel.com/wd/lawyer-reviews/commercial-lease" TargetMode="External"/><Relationship Id="rId4" Type="http://schemas.openxmlformats.org/officeDocument/2006/relationships/hyperlink" Target="https://www.contractscounsel.com/t/us/terms-and-conditions" TargetMode="External"/><Relationship Id="rId5" Type="http://schemas.openxmlformats.org/officeDocument/2006/relationships/hyperlink" Target="https://www.contractscounsel.com/t/us/legally-binding-agreement" TargetMode="External"/><Relationship Id="rId6" Type="http://schemas.openxmlformats.org/officeDocument/2006/relationships/hyperlink" Target="https://www.contractscounsel.com/t/us/lease-agreement" TargetMode="External"/><Relationship Id="rId7" Type="http://schemas.openxmlformats.org/officeDocument/2006/relationships/hyperlink" Target="https://www.contractscounsel.com/t/us/commercial-lease/alabama" TargetMode="External"/><Relationship Id="rId8" Type="http://schemas.openxmlformats.org/officeDocument/2006/relationships/hyperlink" Target="https://www.contractscounsel.com/t/us/commercial-lease/alaska" TargetMode="External"/><Relationship Id="rId9" Type="http://schemas.openxmlformats.org/officeDocument/2006/relationships/hyperlink" Target="https://www.contractscounsel.com/t/us/commercial-lease/arizona" TargetMode="External"/><Relationship Id="rId10" Type="http://schemas.openxmlformats.org/officeDocument/2006/relationships/hyperlink" Target="https://www.contractscounsel.com/t/us/commercial-lease/arkansas" TargetMode="External"/><Relationship Id="rId11" Type="http://schemas.openxmlformats.org/officeDocument/2006/relationships/hyperlink" Target="https://www.contractscounsel.com/t/us/commercial-lease/california" TargetMode="External"/><Relationship Id="rId12" Type="http://schemas.openxmlformats.org/officeDocument/2006/relationships/hyperlink" Target="https://www.contractscounsel.com/t/us/commercial-lease/colorado" TargetMode="External"/><Relationship Id="rId13" Type="http://schemas.openxmlformats.org/officeDocument/2006/relationships/hyperlink" Target="https://www.contractscounsel.com/t/us/commercial-lease/connecticut" TargetMode="External"/><Relationship Id="rId14" Type="http://schemas.openxmlformats.org/officeDocument/2006/relationships/hyperlink" Target="https://www.contractscounsel.com/t/us/commercial-lease/delaware" TargetMode="External"/><Relationship Id="rId15" Type="http://schemas.openxmlformats.org/officeDocument/2006/relationships/hyperlink" Target="https://www.contractscounsel.com/t/us/commercial-lease/district-of-columbia" TargetMode="External"/><Relationship Id="rId16" Type="http://schemas.openxmlformats.org/officeDocument/2006/relationships/hyperlink" Target="https://www.contractscounsel.com/t/us/commercial-lease/florida" TargetMode="External"/><Relationship Id="rId17" Type="http://schemas.openxmlformats.org/officeDocument/2006/relationships/hyperlink" Target="https://www.contractscounsel.com/t/us/commercial-lease/georgia" TargetMode="External"/><Relationship Id="rId18" Type="http://schemas.openxmlformats.org/officeDocument/2006/relationships/hyperlink" Target="https://www.contractscounsel.com/t/us/commercial-lease/hawaii" TargetMode="External"/><Relationship Id="rId19" Type="http://schemas.openxmlformats.org/officeDocument/2006/relationships/hyperlink" Target="https://www.contractscounsel.com/t/us/commercial-lease/idaho" TargetMode="External"/><Relationship Id="rId20" Type="http://schemas.openxmlformats.org/officeDocument/2006/relationships/hyperlink" Target="https://www.contractscounsel.com/t/us/commercial-lease/illinois" TargetMode="External"/><Relationship Id="rId21" Type="http://schemas.openxmlformats.org/officeDocument/2006/relationships/hyperlink" Target="https://www.contractscounsel.com/t/us/commercial-lease/indiana" TargetMode="External"/><Relationship Id="rId22" Type="http://schemas.openxmlformats.org/officeDocument/2006/relationships/hyperlink" Target="https://www.contractscounsel.com/t/us/commercial-lease/iowa" TargetMode="External"/><Relationship Id="rId23" Type="http://schemas.openxmlformats.org/officeDocument/2006/relationships/hyperlink" Target="https://www.contractscounsel.com/t/us/commercial-lease/kansas" TargetMode="External"/><Relationship Id="rId24" Type="http://schemas.openxmlformats.org/officeDocument/2006/relationships/hyperlink" Target="https://www.contractscounsel.com/t/us/commercial-lease/kentucky" TargetMode="External"/><Relationship Id="rId25" Type="http://schemas.openxmlformats.org/officeDocument/2006/relationships/hyperlink" Target="https://www.contractscounsel.com/t/us/commercial-lease/louisiana" TargetMode="External"/><Relationship Id="rId26" Type="http://schemas.openxmlformats.org/officeDocument/2006/relationships/hyperlink" Target="https://www.contractscounsel.com/t/us/commercial-lease/maine" TargetMode="External"/><Relationship Id="rId27" Type="http://schemas.openxmlformats.org/officeDocument/2006/relationships/hyperlink" Target="https://www.contractscounsel.com/t/us/commercial-lease/maryland" TargetMode="External"/><Relationship Id="rId28" Type="http://schemas.openxmlformats.org/officeDocument/2006/relationships/hyperlink" Target="https://www.contractscounsel.com/t/us/commercial-lease/massachusetts" TargetMode="External"/><Relationship Id="rId29" Type="http://schemas.openxmlformats.org/officeDocument/2006/relationships/hyperlink" Target="https://www.contractscounsel.com/t/us/commercial-lease/michigan" TargetMode="External"/><Relationship Id="rId30" Type="http://schemas.openxmlformats.org/officeDocument/2006/relationships/hyperlink" Target="https://www.contractscounsel.com/t/us/commercial-lease/minnesota" TargetMode="External"/><Relationship Id="rId31" Type="http://schemas.openxmlformats.org/officeDocument/2006/relationships/hyperlink" Target="https://www.contractscounsel.com/t/us/commercial-lease/mississippi" TargetMode="External"/><Relationship Id="rId32" Type="http://schemas.openxmlformats.org/officeDocument/2006/relationships/hyperlink" Target="https://www.contractscounsel.com/t/us/commercial-lease/missouri" TargetMode="External"/><Relationship Id="rId33" Type="http://schemas.openxmlformats.org/officeDocument/2006/relationships/hyperlink" Target="https://www.contractscounsel.com/t/us/commercial-lease/montana" TargetMode="External"/><Relationship Id="rId34" Type="http://schemas.openxmlformats.org/officeDocument/2006/relationships/hyperlink" Target="https://www.contractscounsel.com/t/us/commercial-lease/nebraska" TargetMode="External"/><Relationship Id="rId35" Type="http://schemas.openxmlformats.org/officeDocument/2006/relationships/hyperlink" Target="https://www.contractscounsel.com/t/us/commercial-lease/nevada" TargetMode="External"/><Relationship Id="rId36" Type="http://schemas.openxmlformats.org/officeDocument/2006/relationships/hyperlink" Target="https://www.contractscounsel.com/t/us/commercial-lease/new-hampshire" TargetMode="External"/><Relationship Id="rId37" Type="http://schemas.openxmlformats.org/officeDocument/2006/relationships/hyperlink" Target="https://www.contractscounsel.com/t/us/commercial-lease/new-jersey" TargetMode="External"/><Relationship Id="rId38" Type="http://schemas.openxmlformats.org/officeDocument/2006/relationships/hyperlink" Target="https://www.contractscounsel.com/t/us/commercial-lease/new-mexico"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2</Pages>
  <Words>312</Words>
  <Characters>1508</Characters>
  <CharactersWithSpaces>1731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2025-02-26T18:21:00Z</dcterms:created>
  <dc:creator>shaoor siddique</dc:creator>
  <dc:description/>
  <dc:language>en-US</dc:language>
  <cp:lastModifiedBy/>
  <dcterms:modified xsi:type="dcterms:W3CDTF">2025-03-03T15:32:19Z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