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ساعدت كونتراكتس كونسل 419 عميلًا بعقود إيجار تجارية وتحافظ على شبكة من 214</w:t>
      </w:r>
      <w:hyperlink r:id="rId2">
        <w:r>
          <w:rPr>
            <w:rStyle w:val="ListLabel37"/>
            <w:rFonts w:eastAsia="Times New Roman" w:cs="Poppins" w:ascii="Poppins" w:hAnsi="Poppins"/>
            <w:color w:val="C9002A"/>
            <w:kern w:val="0"/>
            <w:u w:val="single"/>
            <w:lang w:eastAsia="en-GB"/>
            <w14:ligatures w14:val="none"/>
          </w:rPr>
          <w:t>العقارات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المحامون المتاحون يوميًا. هؤلاء المحامون بشكل جماعي لديهم</w:t>
      </w:r>
      <w:hyperlink r:id="rId3">
        <w:r>
          <w:rPr>
            <w:rStyle w:val="ListLabel37"/>
            <w:rFonts w:eastAsia="Times New Roman" w:cs="Poppins" w:ascii="Poppins" w:hAnsi="Poppins"/>
            <w:color w:val="C9002A"/>
            <w:kern w:val="0"/>
            <w:u w:val="single"/>
            <w:lang w:eastAsia="en-GB"/>
            <w14:ligatures w14:val="none"/>
          </w:rPr>
          <w:t>71 تقييمًا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لمساعدتك في اختيار أفضل محام لاحتياجاتك. يقيم العملاء المحامين لمسائل الإيجار التجاري</w:t>
      </w:r>
      <w:r>
        <w:rPr>
          <w:rFonts w:eastAsia="Times New Roman" w:cs="Poppins" w:ascii="Poppins" w:hAnsi="Poppins"/>
          <w:color w:val="2F2D2D"/>
          <w:kern w:val="0"/>
          <w:lang w:val="en-US" w:eastAsia="en-GB"/>
          <w14:ligatures w14:val="none"/>
        </w:rPr>
        <w:t xml:space="preserve"> </w:t>
      </w: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4.97.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90" w:before="0" w:after="150"/>
        <w:ind w:hanging="0" w:left="0"/>
        <w:outlineLvl w:val="1"/>
        <w:rPr>
          <w:rFonts w:ascii="Poppins" w:hAnsi="Poppins" w:eastAsia="Times New Roman" w:cs="Poppins"/>
          <w:b/>
          <w:bCs/>
          <w:color w:val="2F2D2D"/>
          <w:kern w:val="0"/>
          <w:sz w:val="39"/>
          <w:szCs w:val="39"/>
          <w:lang w:eastAsia="en-GB"/>
          <w14:ligatures w14:val="none"/>
        </w:rPr>
        <w:bidi/>
      </w:pPr>
      <w:r>
        <w:rPr>
          <w:rFonts w:eastAsia="Times New Roman" w:cs="Poppins" w:ascii="Poppins" w:hAnsi="Poppins"/>
          <w:b/>
          <w:bCs/>
          <w:color w:val="2F2D2D"/>
          <w:kern w:val="0"/>
          <w:sz w:val="39"/>
          <w:szCs w:val="39"/>
          <w:lang w:eastAsia="en-GB"/>
          <w14:ligatures w14:val="none"/>
        </w:rPr>
        <w:t>ما هو عقد الإيجار التجاري ؟</w:t>
      </w:r>
    </w:p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عقد الإيجار التجاري هو وثيقة قانونية تحدد</w:t>
      </w:r>
      <w:hyperlink r:id="rId4">
        <w:r>
          <w:rPr>
            <w:rStyle w:val="ListLabel38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الأحكام والشروط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بين المالك والمستأجر لاستئجار عقار تجاري. إنه</w:t>
      </w:r>
      <w:hyperlink r:id="rId5">
        <w:r>
          <w:rPr>
            <w:rStyle w:val="ListLabel38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اتفاقية ملزمة قانونًا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بين المالك، أو "المؤجر" (غالبًا ما يكون المالك أو شركة إدارة العقار)، والمستأجر التجاري، أو "المستأجر"، الذي يجب اتباعه.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يوفر إطارًا واضحًا للعلاقة بين المالك والمستأجر.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ال</w:t>
      </w:r>
      <w:hyperlink r:id="rId6">
        <w:r>
          <w:rPr>
            <w:rStyle w:val="ListLabel38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عقد إيجار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يحمي مصلحة الطرفين.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="0" w:afterAutospacing="1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ضمان الامتثال للقوانين المحلية وقوانين الولايات التي تحكم العقارات التجارية.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90" w:before="300" w:after="150"/>
        <w:ind w:hanging="0" w:left="0"/>
        <w:outlineLvl w:val="1"/>
        <w:rPr>
          <w:i/>
          <w:i/>
          <w:iCs/>
          <w:color w:val="C9211E"/>
        </w:rPr>
        <w:bidi/>
      </w:pPr>
      <w:r>
        <w:rPr>
          <w:rFonts w:eastAsia="Times New Roman" w:cs="Poppins" w:ascii="Poppins" w:hAnsi="Poppins"/>
          <w:b/>
          <w:bCs/>
          <w:i/>
          <w:iCs/>
          <w:color w:val="C9211E"/>
          <w:kern w:val="0"/>
          <w:sz w:val="39"/>
          <w:szCs w:val="39"/>
          <w:lang w:eastAsia="en-GB"/>
          <w14:ligatures w14:val="none"/>
        </w:rPr>
        <w:t>ما الذي تتضمنه اتفاقية الإيجار التجاري ؟</w:t>
      </w:r>
    </w:p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تحدد اتفاقية الإيجار التجاري حقوق ومسؤوليات "LESSEE" و "المؤجر". "ويشمل الشروط والأحكام التالية: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كل من أسمائكم ومعلوماتكم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العنوان والمعلومات الأساسية عن العقار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نوع المبنى التجاري الذي تستأجره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اللقطات المربعة للمسكن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مدة الايجار وشروط تجديد الايجار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غلاء الايجار ومتى يجب عليك دفعه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تكلفة إيداع الضمان.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مخطط تفصيلي لكيفية استخدام المساحة المؤجرة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50" w:before="300" w:after="150"/>
        <w:ind w:hanging="0" w:left="0"/>
        <w:outlineLvl w:val="2"/>
        <w:rPr>
          <w:rFonts w:ascii="Poppins" w:hAnsi="Poppins" w:eastAsia="Times New Roman" w:cs="Poppins"/>
          <w:b/>
          <w:bCs/>
          <w:color w:val="2F2D2D"/>
          <w:kern w:val="0"/>
          <w:sz w:val="30"/>
          <w:szCs w:val="30"/>
          <w:lang w:eastAsia="en-GB"/>
          <w14:ligatures w14:val="none"/>
        </w:rPr>
        <w:bidi/>
      </w:pPr>
      <w:r>
        <w:rPr>
          <w:rFonts w:eastAsia="Times New Roman" w:cs="Poppins" w:ascii="Poppins" w:hAnsi="Poppins"/>
          <w:b/>
          <w:bCs/>
          <w:color w:val="2F2D2D"/>
          <w:kern w:val="0"/>
          <w:sz w:val="30"/>
          <w:szCs w:val="30"/>
          <w:lang w:eastAsia="en-GB"/>
          <w14:ligatures w14:val="none"/>
        </w:rPr>
        <w:t>انظر عقد الإيجار التجاري حسب الولاية</w:t>
      </w:r>
    </w:p>
    <w:p>
      <w:pPr>
        <w:pStyle w:val="Normal"/>
        <w:numPr>
          <w:ilvl w:val="0"/>
          <w:numId w:val="3"/>
        </w:numPr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ألاباما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8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ألاسكا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9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أريزونا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10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أركنسو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11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كاليفورنيا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12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كولورادو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13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كونيتيكت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14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ديلاوير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15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مقاطعة كولومبيا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16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فلوريدا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1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جورجيا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18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هاواي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19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إيداهو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20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إلينوي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21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إنديانا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22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أيوا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23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كانساس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24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كنتاكي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25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لويزيانا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26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مين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2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ماريلاند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28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ماساتشوستس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29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ميشيغان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30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مينيسوتا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31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مسيسيبي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32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ميسوري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33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مونتانا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34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نبراسكا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35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نيفادا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36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نيو هامبشاير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hyperlink r:id="rId3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نيوجيرسي</w:t>
        </w:r>
      </w:hyperlink>
    </w:p>
    <w:p>
      <w:pPr>
        <w:pStyle w:val="Normal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4"/>
        <w:gridCol w:w="2257"/>
        <w:gridCol w:w="2747"/>
        <w:gridCol w:w="1768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Theme="minorHAnsi" w:cstheme="minorBidi" w:eastAsiaTheme="minorHAnsi" w:hAnsiTheme="minorHAnsi"/>
                <w:highlight w:val="none"/>
                <w:shd w:fill="800080" w:val="clear"/>
                <w14:ligatures w14:val="standardContextual"/>
              </w:rPr>
              <w:bidi/>
            </w:pPr>
            <w:r>
              <w:rPr>
                <w:rFonts w:asciiTheme="minorHAnsi" w:cstheme="minorBidi" w:eastAsiaTheme="minorHAnsi" w:hAnsiTheme="minorHAnsi"/>
                <w:shd w:fill="800080" w:val="clear"/>
                <w14:ligatures w14:val="standardContextual"/>
              </w:rPr>
              <w:t>الاسم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81D41A"/>
              </w:rPr>
              <w:bidi/>
            </w:pPr>
            <w:r>
              <w:rPr>
                <w:color w:val="81D41A"/>
              </w:rPr>
              <w:t>الفئة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  <w:bidi/>
            </w:pPr>
            <w:r>
              <w:rPr/>
              <w:t>العمر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Theme="minorHAnsi" w:cstheme="minorBidi" w:eastAsiaTheme="minorHAnsi" w:hAnsiTheme="minorHAnsi"/>
                <w:highlight w:val="none"/>
                <w:shd w:fill="FFFF00" w:val="clear"/>
                <w14:ligatures w14:val="standardContextual"/>
              </w:rPr>
              <w:bidi/>
            </w:pPr>
            <w:r>
              <w:rPr>
                <w:rFonts w:asciiTheme="minorHAnsi" w:cstheme="minorBidi" w:eastAsiaTheme="minorHAnsi" w:hAnsiTheme="minorHAnsi"/>
                <w:shd w:fill="FFFF00" w:val="clear"/>
                <w14:ligatures w14:val="standardContextual"/>
              </w:rPr>
              <w:t>العلامات</w:t>
            </w:r>
          </w:p>
        </w:tc>
      </w:tr>
      <w:tr>
        <w:trPr>
          <w:trHeight w:val="410" w:hRule="atLeast"/>
        </w:trPr>
        <w:tc>
          <w:tcPr>
            <w:tcW w:w="2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C9211E"/>
              </w:rPr>
              <w:bidi/>
            </w:pPr>
            <w:r>
              <w:rPr>
                <w:color w:val="C9211E"/>
              </w:rPr>
              <w:t>فؤاد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  <w:bidi/>
            </w:pPr>
            <w:r>
              <w:rPr/>
              <w:t>1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Theme="minorHAnsi" w:cstheme="minorBidi" w:eastAsiaTheme="minorHAnsi" w:hAnsiTheme="minorHAnsi"/>
                <w:highlight w:val="none"/>
                <w:shd w:fill="800080" w:val="clear"/>
                <w14:ligatures w14:val="standardContextual"/>
              </w:rPr>
              <w:bidi/>
            </w:pPr>
            <w:r>
              <w:rPr>
                <w:rFonts w:asciiTheme="minorHAnsi" w:cstheme="minorBidi" w:eastAsiaTheme="minorHAnsi" w:hAnsiTheme="minorHAnsi"/>
                <w:shd w:fill="800080" w:val="clear"/>
                <w14:ligatures w14:val="standardContextual"/>
              </w:rPr>
              <w:t>1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  <w:bidi/>
            </w:pPr>
            <w:r>
              <w:rPr/>
              <w:t>11</w:t>
            </w:r>
          </w:p>
        </w:tc>
      </w:tr>
    </w:tbl>
    <w:p>
      <w:pPr>
        <w:pStyle w:val="Normal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PK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8d371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d371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d3714"/>
    <w:rPr>
      <w:rFonts w:ascii="Times New Roman" w:hAnsi="Times New Roman" w:eastAsia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3714"/>
    <w:rPr>
      <w:rFonts w:ascii="Times New Roman" w:hAnsi="Times New Roman" w:eastAsia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8d3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3714"/>
    <w:rPr>
      <w:color w:val="0000FF"/>
      <w:u w:val="single"/>
    </w:rPr>
  </w:style>
  <w:style w:type="character" w:styleId="display-inline-block" w:customStyle="1">
    <w:name w:val="display-inline-block"/>
    <w:basedOn w:val="DefaultParagraphFont"/>
    <w:qFormat/>
    <w:rsid w:val="008d3714"/>
    <w:rPr/>
  </w:style>
  <w:style w:type="character" w:styleId="Strong">
    <w:name w:val="Strong"/>
    <w:basedOn w:val="DefaultParagraphFont"/>
    <w:uiPriority w:val="22"/>
    <w:qFormat/>
    <w:rsid w:val="008d3714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8d3714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ntractscounsel.com/f/us/real-estate-lawyers" TargetMode="External"/><Relationship Id="rId3" Type="http://schemas.openxmlformats.org/officeDocument/2006/relationships/hyperlink" Target="https://www.contractscounsel.com/wd/lawyer-reviews/commercial-lease" TargetMode="External"/><Relationship Id="rId4" Type="http://schemas.openxmlformats.org/officeDocument/2006/relationships/hyperlink" Target="https://www.contractscounsel.com/t/us/terms-and-conditions" TargetMode="External"/><Relationship Id="rId5" Type="http://schemas.openxmlformats.org/officeDocument/2006/relationships/hyperlink" Target="https://www.contractscounsel.com/t/us/legally-binding-agreement" TargetMode="External"/><Relationship Id="rId6" Type="http://schemas.openxmlformats.org/officeDocument/2006/relationships/hyperlink" Target="https://www.contractscounsel.com/t/us/lease-agreement" TargetMode="External"/><Relationship Id="rId7" Type="http://schemas.openxmlformats.org/officeDocument/2006/relationships/hyperlink" Target="https://www.contractscounsel.com/t/us/commercial-lease/alabama" TargetMode="External"/><Relationship Id="rId8" Type="http://schemas.openxmlformats.org/officeDocument/2006/relationships/hyperlink" Target="https://www.contractscounsel.com/t/us/commercial-lease/alaska" TargetMode="External"/><Relationship Id="rId9" Type="http://schemas.openxmlformats.org/officeDocument/2006/relationships/hyperlink" Target="https://www.contractscounsel.com/t/us/commercial-lease/arizona" TargetMode="External"/><Relationship Id="rId10" Type="http://schemas.openxmlformats.org/officeDocument/2006/relationships/hyperlink" Target="https://www.contractscounsel.com/t/us/commercial-lease/arkansas" TargetMode="External"/><Relationship Id="rId11" Type="http://schemas.openxmlformats.org/officeDocument/2006/relationships/hyperlink" Target="https://www.contractscounsel.com/t/us/commercial-lease/california" TargetMode="External"/><Relationship Id="rId12" Type="http://schemas.openxmlformats.org/officeDocument/2006/relationships/hyperlink" Target="https://www.contractscounsel.com/t/us/commercial-lease/colorado" TargetMode="External"/><Relationship Id="rId13" Type="http://schemas.openxmlformats.org/officeDocument/2006/relationships/hyperlink" Target="https://www.contractscounsel.com/t/us/commercial-lease/connecticut" TargetMode="External"/><Relationship Id="rId14" Type="http://schemas.openxmlformats.org/officeDocument/2006/relationships/hyperlink" Target="https://www.contractscounsel.com/t/us/commercial-lease/delaware" TargetMode="External"/><Relationship Id="rId15" Type="http://schemas.openxmlformats.org/officeDocument/2006/relationships/hyperlink" Target="https://www.contractscounsel.com/t/us/commercial-lease/district-of-columbia" TargetMode="External"/><Relationship Id="rId16" Type="http://schemas.openxmlformats.org/officeDocument/2006/relationships/hyperlink" Target="https://www.contractscounsel.com/t/us/commercial-lease/florida" TargetMode="External"/><Relationship Id="rId17" Type="http://schemas.openxmlformats.org/officeDocument/2006/relationships/hyperlink" Target="https://www.contractscounsel.com/t/us/commercial-lease/georgia" TargetMode="External"/><Relationship Id="rId18" Type="http://schemas.openxmlformats.org/officeDocument/2006/relationships/hyperlink" Target="https://www.contractscounsel.com/t/us/commercial-lease/hawaii" TargetMode="External"/><Relationship Id="rId19" Type="http://schemas.openxmlformats.org/officeDocument/2006/relationships/hyperlink" Target="https://www.contractscounsel.com/t/us/commercial-lease/idaho" TargetMode="External"/><Relationship Id="rId20" Type="http://schemas.openxmlformats.org/officeDocument/2006/relationships/hyperlink" Target="https://www.contractscounsel.com/t/us/commercial-lease/illinois" TargetMode="External"/><Relationship Id="rId21" Type="http://schemas.openxmlformats.org/officeDocument/2006/relationships/hyperlink" Target="https://www.contractscounsel.com/t/us/commercial-lease/indiana" TargetMode="External"/><Relationship Id="rId22" Type="http://schemas.openxmlformats.org/officeDocument/2006/relationships/hyperlink" Target="https://www.contractscounsel.com/t/us/commercial-lease/iowa" TargetMode="External"/><Relationship Id="rId23" Type="http://schemas.openxmlformats.org/officeDocument/2006/relationships/hyperlink" Target="https://www.contractscounsel.com/t/us/commercial-lease/kansas" TargetMode="External"/><Relationship Id="rId24" Type="http://schemas.openxmlformats.org/officeDocument/2006/relationships/hyperlink" Target="https://www.contractscounsel.com/t/us/commercial-lease/kentucky" TargetMode="External"/><Relationship Id="rId25" Type="http://schemas.openxmlformats.org/officeDocument/2006/relationships/hyperlink" Target="https://www.contractscounsel.com/t/us/commercial-lease/louisiana" TargetMode="External"/><Relationship Id="rId26" Type="http://schemas.openxmlformats.org/officeDocument/2006/relationships/hyperlink" Target="https://www.contractscounsel.com/t/us/commercial-lease/maine" TargetMode="External"/><Relationship Id="rId27" Type="http://schemas.openxmlformats.org/officeDocument/2006/relationships/hyperlink" Target="https://www.contractscounsel.com/t/us/commercial-lease/maryland" TargetMode="External"/><Relationship Id="rId28" Type="http://schemas.openxmlformats.org/officeDocument/2006/relationships/hyperlink" Target="https://www.contractscounsel.com/t/us/commercial-lease/massachusetts" TargetMode="External"/><Relationship Id="rId29" Type="http://schemas.openxmlformats.org/officeDocument/2006/relationships/hyperlink" Target="https://www.contractscounsel.com/t/us/commercial-lease/michigan" TargetMode="External"/><Relationship Id="rId30" Type="http://schemas.openxmlformats.org/officeDocument/2006/relationships/hyperlink" Target="https://www.contractscounsel.com/t/us/commercial-lease/minnesota" TargetMode="External"/><Relationship Id="rId31" Type="http://schemas.openxmlformats.org/officeDocument/2006/relationships/hyperlink" Target="https://www.contractscounsel.com/t/us/commercial-lease/mississippi" TargetMode="External"/><Relationship Id="rId32" Type="http://schemas.openxmlformats.org/officeDocument/2006/relationships/hyperlink" Target="https://www.contractscounsel.com/t/us/commercial-lease/missouri" TargetMode="External"/><Relationship Id="rId33" Type="http://schemas.openxmlformats.org/officeDocument/2006/relationships/hyperlink" Target="https://www.contractscounsel.com/t/us/commercial-lease/montana" TargetMode="External"/><Relationship Id="rId34" Type="http://schemas.openxmlformats.org/officeDocument/2006/relationships/hyperlink" Target="https://www.contractscounsel.com/t/us/commercial-lease/nebraska" TargetMode="External"/><Relationship Id="rId35" Type="http://schemas.openxmlformats.org/officeDocument/2006/relationships/hyperlink" Target="https://www.contractscounsel.com/t/us/commercial-lease/nevada" TargetMode="External"/><Relationship Id="rId36" Type="http://schemas.openxmlformats.org/officeDocument/2006/relationships/hyperlink" Target="https://www.contractscounsel.com/t/us/commercial-lease/new-hampshire" TargetMode="External"/><Relationship Id="rId37" Type="http://schemas.openxmlformats.org/officeDocument/2006/relationships/hyperlink" Target="https://www.contractscounsel.com/t/us/commercial-lease/new-mexico" TargetMode="Externa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LibreOffice/24.2.7.2$Linux_X86_64 LibreOffice_project/420$Build-2</Application>
  <AppVersion>15.0000</AppVersion>
  <Pages>3</Pages>
  <Words>320</Words>
  <Characters>1534</Characters>
  <CharactersWithSpaces>1757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2025-02-26T18:21:00Z</dcterms:created>
  <dc:creator>shaoor siddique</dc:creator>
  <dc:description/>
  <dc:language>en-US</dc:language>
  <cp:lastModifiedBy/>
  <dcterms:modified xsi:type="dcterms:W3CDTF">2025-03-14T20:02:45Z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