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ساعدت ContractsCounsel 419 عميلًا في عقود الإيجار التجارية وتحافظ على شبكة تضم 214.</w:t>
      </w:r>
      <w:hyperlink r:id="rId2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العقارات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محامون متاحون يوميًا. هؤلاء المحامون لديهم مجتمعةً</w:t>
      </w:r>
      <w:hyperlink r:id="rId3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 مراجعة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لمساعدتك في اختيار أفضل محامٍ لاحتياجاتك. يقيم العملاء المحامين في قضايا الإيجارات التجارية.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٤.٩٧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ما هو عقد الإيجار التجاري؟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عقد الإيجار التجاري هو وثيقة قانونية تحدد الـ</w:t>
      </w:r>
      <w:hyperlink r:id="rId4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الشروط والأحكام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بين المالك والمستأجر لاستئجار عقار تجاري. إنه...</w:t>
      </w:r>
      <w:hyperlink r:id="rId5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اتفاق ملزم قانونياً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تمت بين المالك، أو "المؤجر" (غالبًا ما يكون مالك العقار أو شركة الإدارة)، ومستأجر الأعمال، أو "المستأجر"، والتي يجب الالتزام بها.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يوفر إطارًا واضحًا للعلاقة بين المالك والمستأجر.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الـ</w:t>
      </w:r>
      <w:hyperlink r:id="rId6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عقد الإيجار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يحمي مصلحة الطرفين.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يضمن الامتثال للقوانين المحلية والولائية التي تحكم الممتلكات التجارية.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i/>
          <w:i/>
          <w:iCs/>
          <w:color w:val="C9211E"/>
        </w:rPr>
        <w:bidi w:val="on"/>
      </w:pPr>
      <w:r>
        <w:rPr>
          <w:rFonts w:eastAsia="Times New Roman" w:cs="Poppins" w:ascii="Poppins" w:hAnsi="Poppins"/>
          <w:b/>
          <w:bCs/>
          <w:i/>
          <w:iCs/>
          <w:color w:val="C9211E"/>
          <w:kern w:val="0"/>
          <w:sz w:val="39"/>
          <w:szCs w:val="39"/>
          <w:lang w:eastAsia="en-GB"/>
          <w14:ligatures w14:val="none"/>
        </w:rPr>
        <w:t>ما الذي يتضمنه عقد الإيجار التجاري؟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تحدد اتفاقية الإيجار التجاري حقوق والتزامات "المستأجر" و"المؤجر". وتشمل الشروط والأحكام التالية: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كلا اسميكما ومعلوماتكما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العنوان والمعلومات الأساسية عن العقار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نوع المبنى التجاري الذي تقوم بتأجيره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مساحة المكان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مدة الإيجار وشروط تجديد الإيجار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الإيجار ومتى يجب عليك دفعها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وديعة الضمان.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مخطط لكيفية استخدام المساحة المستأجرة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انظر عقد الإيجار التجاري حسب الولاية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ألاباما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أريزونا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أركنساس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كاليفورنيا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كولورادو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كونيتيكت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ديلاوير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منطقة كولومبيا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فلوريدا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جورجيا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هاواي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أيداهو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إلينوي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إنديانا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أيوا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كنتاكي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لويزيانا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ماريلاند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ماساتشوستس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ميشيغان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مينيسوتا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ميسيسيبي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ميزوري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مونتانا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نبراسكا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نيفادا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هامبشير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جيرسي</w:t>
        </w:r>
      </w:hyperlink>
    </w:p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4"/>
        <w:gridCol w:w="2257"/>
        <w:gridCol w:w="2747"/>
        <w:gridCol w:w="1768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اسم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  <w:bidi w:val="on"/>
            </w:pPr>
            <w:r>
              <w:rPr>
                <w:color w:val="81D41A"/>
              </w:rPr>
              <w:t>فصل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عمر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FFFF0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FFFF00" w:val="clear"/>
                <w14:ligatures w14:val="standardContextual"/>
              </w:rPr>
              <w:t>علامات</w:t>
            </w:r>
          </w:p>
        </w:tc>
      </w:tr>
      <w:tr>
        <w:trPr>
          <w:trHeight w:val="410" w:hRule="atLeast"/>
        </w:trPr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C9211E"/>
              </w:rPr>
              <w:bidi w:val="on"/>
            </w:pPr>
            <w:r>
              <w:rPr>
                <w:color w:val="C9211E"/>
              </w:rPr>
              <w:t>فواد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1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1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11</w:t>
            </w:r>
          </w:p>
        </w:tc>
      </w:tr>
    </w:tbl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mexico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320</Words>
  <Characters>1534</Characters>
  <CharactersWithSpaces>1757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2025-03-14T20:02:45Z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