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ساعدت ContractsCounsel 419 عميلًا في عقود الإيجار التجاري وتحتفظ بشبكة تضم 214 عميلاً.</w:t>
      </w:r>
      <w:hyperlink r:id="rId2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العقارات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المحامون متاحون يوميًا. يمتلك هؤلاء المحامون بشكل جماعي</w:t>
      </w:r>
      <w:hyperlink r:id="rId3">
        <w:r>
          <w:rPr>
            <w:rStyle w:val="ListLabel37"/>
            <w:rFonts w:eastAsia="Times New Roman" w:cs="Poppins" w:ascii="Poppins" w:hAnsi="Poppins"/>
            <w:color w:val="C9002A"/>
            <w:kern w:val="0"/>
            <w:u w:val="single"/>
            <w:lang w:eastAsia="en-GB"/>
            <w14:ligatures w14:val="none"/>
          </w:rPr>
          <w:t>71 استعراض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لمساعدتك في اختيار أفضل محامي لاحتياجاتك. يقوم العملاء بتقييم المحامين في مسائل عقود الإيجار التجاري.</w:t>
      </w:r>
      <w:r>
        <w:rPr>
          <w:rFonts w:eastAsia="Times New Roman" w:cs="Poppins" w:ascii="Poppins" w:hAnsi="Poppins"/>
          <w:color w:val="2F2D2D"/>
          <w:kern w:val="0"/>
          <w:lang w:val="en-US" w:eastAsia="en-GB"/>
          <w14:ligatures w14:val="none"/>
        </w:rPr>
        <w:t xml:space="preserve"> </w:t>
      </w: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4.97. 
٤.٩٧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0" w:after="150"/>
        <w:ind w:hanging="0" w:left="0"/>
        <w:outlineLvl w:val="1"/>
        <w:rPr>
          <w:rFonts w:ascii="Poppins" w:hAnsi="Poppins" w:eastAsia="Times New Roman" w:cs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b/>
          <w:bCs/>
          <w:color w:val="2F2D2D"/>
          <w:kern w:val="0"/>
          <w:sz w:val="39"/>
          <w:szCs w:val="39"/>
          <w:lang w:eastAsia="en-GB"/>
          <w14:ligatures w14:val="none"/>
        </w:rPr>
        <w:t>ما هو عقد الإيجار التجاري؟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عقد تأجير تجاري هو وثيقة قانونية تحدد</w:t>
      </w:r>
      <w:hyperlink r:id="rId4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الشروط والأحكام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بين مالك العقار والمستأجر لتأجير ممتلكات تجارية. إنه</w:t>
      </w:r>
      <w:hyperlink r:id="rId5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اتفاق قانوني ملزم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يتم إبرام عقد بين المالك، أو "المؤجر" (غالبًا ما يكون صاحب العقار أو شركة الإدارة)، والمستأجر التجاري، أو "المستأجر"، الذي يجب اتباعه.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يوفر إطارًا واضحًا للعلاقة بين المالك والمستأجر.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</w:t>
      </w:r>
      <w:hyperlink r:id="rId6">
        <w:r>
          <w:rPr>
            <w:rStyle w:val="ListLabel38"/>
            <w:rFonts w:eastAsia="Times New Roman" w:cs="Poppins" w:ascii="Poppins" w:hAnsi="Poppins"/>
            <w:color w:val="0000FF"/>
            <w:kern w:val="0"/>
            <w:u w:val="single"/>
            <w:lang w:eastAsia="en-GB"/>
            <w14:ligatures w14:val="none"/>
          </w:rPr>
          <w:t>اتفاقية إيجار</w:t>
        </w:r>
      </w:hyperlink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يحمي مصلحة كل من الطرفين.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420" w:before="0" w:afterAutospacing="1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يضمن الامتثال للقوانين المحلية والولائية التي تحكم الممتلكات التجارية.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690" w:before="300" w:after="150"/>
        <w:ind w:hanging="0" w:left="0"/>
        <w:outlineLvl w:val="1"/>
        <w:rPr>
          <w:i/>
          <w:i/>
          <w:iCs/>
          <w:color w:val="C9211E"/>
        </w:rPr>
        <w:bidi w:val="on"/>
      </w:pPr>
      <w:r>
        <w:rPr>
          <w:rFonts w:eastAsia="Times New Roman" w:cs="Poppins" w:ascii="Poppins" w:hAnsi="Poppins"/>
          <w:b/>
          <w:bCs/>
          <w:i/>
          <w:iCs/>
          <w:color w:val="C9211E"/>
          <w:kern w:val="0"/>
          <w:sz w:val="39"/>
          <w:szCs w:val="39"/>
          <w:lang w:eastAsia="en-GB"/>
          <w14:ligatures w14:val="none"/>
        </w:rPr>
        <w:t>ما الذي يتضمنه اتفاقية تأجير تجارية؟</w:t>
      </w:r>
    </w:p>
    <w:p>
      <w:pPr>
        <w:pStyle w:val="Normal"/>
        <w:shd w:val="clear" w:color="auto" w:fill="FFFFFF"/>
        <w:spacing w:lineRule="atLeast" w:line="420" w:before="0" w:after="36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اتفاقية تأجير تجارية تحدد حقوق ومسؤوليات "المستأجر" و"المؤجر". تتضمن الشروط والأحكام التالية: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كلا من أسمائكم ومعلوماتكم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العنوان والمعلومات الأساسية حول الممتلكات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نوع المبنى التجاري الذي تقوم بتأجيره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مساحة المساحة بالقدم المربع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طول فترة الإيجار وشروط تجديد العقد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تكلفة الإيجار وموعد سداده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تكلفة الوديعة الأمنية.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color w:val="2F2D2D"/>
          <w:kern w:val="0"/>
          <w:lang w:eastAsia="en-GB"/>
          <w14:ligatures w14:val="none"/>
        </w:rPr>
        <w:t>مخطط لكيفية استخدامك للمساحة المؤجرة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tLeast" w:line="450" w:before="300" w:after="150"/>
        <w:ind w:hanging="0" w:left="0"/>
        <w:outlineLvl w:val="2"/>
        <w:rPr>
          <w:rFonts w:ascii="Poppins" w:hAnsi="Poppins" w:eastAsia="Times New Roman" w:cs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bidi w:val="on"/>
      </w:pPr>
      <w:r>
        <w:rPr>
          <w:rFonts w:eastAsia="Times New Roman" w:cs="Poppins" w:ascii="Poppins" w:hAnsi="Poppins"/>
          <w:b/>
          <w:bCs/>
          <w:color w:val="2F2D2D"/>
          <w:kern w:val="0"/>
          <w:sz w:val="30"/>
          <w:szCs w:val="30"/>
          <w:lang w:eastAsia="en-GB"/>
          <w14:ligatures w14:val="none"/>
        </w:rPr>
        <w:t>انظر إلى عقد الإيجار التجاري حسب الولاية</w:t>
      </w:r>
    </w:p>
    <w:p>
      <w:pPr>
        <w:pStyle w:val="Normal"/>
        <w:numPr>
          <w:ilvl w:val="0"/>
          <w:numId w:val="3"/>
        </w:numPr>
        <w:spacing w:lineRule="atLeast" w:line="420" w:beforeAutospacing="1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ألاباما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ألاسكا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أريزونا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أركنساس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كاليفورنيا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كولورادو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كونيتيكت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ديلاوير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منطقة كولومبيا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فلوريدا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جورجيا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هاواي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1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أيداهو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إلينوي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إنديانا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آيوا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كانساس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كنتاكي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لويزيانا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ماين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ميريلاند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8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ماساتشوستس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29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ميشيغان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0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مينيسوتا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1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مسيسيبي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2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ميزوري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3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مونتانا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4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نبراسكا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5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نيفادا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6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 هامبشاير</w:t>
        </w:r>
      </w:hyperlink>
    </w:p>
    <w:p>
      <w:pPr>
        <w:pStyle w:val="Normal"/>
        <w:numPr>
          <w:ilvl w:val="0"/>
          <w:numId w:val="3"/>
        </w:numPr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hyperlink r:id="rId37">
        <w:r>
          <w:rPr>
            <w:rStyle w:val="ListLabel39"/>
            <w:rFonts w:eastAsia="Times New Roman" w:cs="Poppins" w:ascii="Poppins" w:hAnsi="Poppins"/>
            <w:color w:val="2F2D2D"/>
            <w:kern w:val="0"/>
            <w:u w:val="single"/>
            <w:lang w:eastAsia="en-GB"/>
            <w14:ligatures w14:val="none"/>
          </w:rPr>
          <w:t>نيو جيرسي</w:t>
        </w:r>
      </w:hyperlink>
    </w:p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/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254"/>
        <w:gridCol w:w="2257"/>
        <w:gridCol w:w="2747"/>
        <w:gridCol w:w="1768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الاسم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81D41A"/>
              </w:rPr>
              <w:bidi w:val="on"/>
            </w:pPr>
            <w:r>
              <w:rPr>
                <w:color w:val="81D41A"/>
              </w:rPr>
              <w:t>صف</w:t>
            </w:r>
          </w:p>
        </w:tc>
        <w:tc>
          <w:tcPr>
            <w:tcW w:w="2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العمر</w:t>
            </w:r>
          </w:p>
        </w:tc>
        <w:tc>
          <w:tcPr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FFFF0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FFFF00" w:val="clear"/>
                <w14:ligatures w14:val="standardContextual"/>
              </w:rPr>
              <w:t>علامات</w:t>
            </w:r>
          </w:p>
        </w:tc>
      </w:tr>
      <w:tr>
        <w:trPr>
          <w:trHeight w:val="410" w:hRule="atLeast"/>
        </w:trPr>
        <w:tc>
          <w:tcPr>
            <w:tcW w:w="225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color w:val="C9211E"/>
              </w:rPr>
              <w:bidi w:val="on"/>
            </w:pPr>
            <w:r>
              <w:rPr>
                <w:color w:val="C9211E"/>
              </w:rPr>
              <w:t>فواد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1</w:t>
            </w:r>
          </w:p>
        </w:tc>
        <w:tc>
          <w:tcPr>
            <w:tcW w:w="274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Theme="minorHAnsi" w:cstheme="minorBidi" w:eastAsiaTheme="minorHAnsi" w:hAnsiTheme="minorHAnsi"/>
                <w:highlight w:val="none"/>
                <w:shd w:fill="800080" w:val="clear"/>
                <w14:ligatures w14:val="standardContextual"/>
              </w:rPr>
              <w:bidi w:val="on"/>
            </w:pPr>
            <w:r>
              <w:rPr>
                <w:rFonts w:asciiTheme="minorHAnsi" w:cstheme="minorBidi" w:eastAsiaTheme="minorHAnsi" w:hAnsiTheme="minorHAnsi"/>
                <w:shd w:fill="800080" w:val="clear"/>
                <w14:ligatures w14:val="standardContextual"/>
              </w:rPr>
              <w:t>1</w:t>
            </w:r>
          </w:p>
        </w:tc>
        <w:tc>
          <w:tcPr>
            <w:tcW w:w="17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/>
              <w:bidi w:val="on"/>
            </w:pPr>
            <w:r>
              <w:rPr/>
              <w:t>١١</w:t>
            </w:r>
          </w:p>
        </w:tc>
      </w:tr>
    </w:tbl>
    <w:p>
      <w:pPr>
        <w:pStyle w:val="Normal"/>
        <w:spacing w:lineRule="atLeast" w:line="420" w:before="0" w:after="0"/>
        <w:rPr>
          <w:rFonts w:ascii="Poppins" w:hAnsi="Poppins" w:eastAsia="Times New Roman" w:cs="Poppins"/>
          <w:color w:val="2F2D2D"/>
          <w:kern w:val="0"/>
          <w:lang w:eastAsia="en-GB"/>
          <w14:ligatures w14:val="none"/>
        </w:rPr>
        <w:bidi w:val="on"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oppi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2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4"/>
      <w:szCs w:val="24"/>
      <w:lang w:val="en-PK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8d3714"/>
    <w:pPr>
      <w:spacing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714"/>
    <w:pPr>
      <w:spacing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d3714"/>
    <w:rPr>
      <w:rFonts w:ascii="Times New Roman" w:hAnsi="Times New Roman" w:eastAsia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8d371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3714"/>
    <w:rPr>
      <w:color w:val="0000FF"/>
      <w:u w:val="single"/>
    </w:rPr>
  </w:style>
  <w:style w:type="character" w:styleId="display-inline-block" w:customStyle="1">
    <w:name w:val="display-inline-block"/>
    <w:basedOn w:val="DefaultParagraphFont"/>
    <w:qFormat/>
    <w:rsid w:val="008d3714"/>
    <w:rPr/>
  </w:style>
  <w:style w:type="character" w:styleId="Strong">
    <w:name w:val="Strong"/>
    <w:basedOn w:val="DefaultParagraphFont"/>
    <w:uiPriority w:val="22"/>
    <w:qFormat/>
    <w:rsid w:val="008d3714"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semiHidden/>
    <w:unhideWhenUsed/>
    <w:qFormat/>
    <w:rsid w:val="008d3714"/>
    <w:pPr>
      <w:spacing w:beforeAutospacing="1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ntractscounsel.com/f/us/real-estate-lawyers" TargetMode="External"/><Relationship Id="rId3" Type="http://schemas.openxmlformats.org/officeDocument/2006/relationships/hyperlink" Target="https://www.contractscounsel.com/wd/lawyer-reviews/commercial-lease" TargetMode="External"/><Relationship Id="rId4" Type="http://schemas.openxmlformats.org/officeDocument/2006/relationships/hyperlink" Target="https://www.contractscounsel.com/t/us/terms-and-conditions" TargetMode="External"/><Relationship Id="rId5" Type="http://schemas.openxmlformats.org/officeDocument/2006/relationships/hyperlink" Target="https://www.contractscounsel.com/t/us/legally-binding-agreement" TargetMode="External"/><Relationship Id="rId6" Type="http://schemas.openxmlformats.org/officeDocument/2006/relationships/hyperlink" Target="https://www.contractscounsel.com/t/us/lease-agreement" TargetMode="External"/><Relationship Id="rId7" Type="http://schemas.openxmlformats.org/officeDocument/2006/relationships/hyperlink" Target="https://www.contractscounsel.com/t/us/commercial-lease/alabama" TargetMode="External"/><Relationship Id="rId8" Type="http://schemas.openxmlformats.org/officeDocument/2006/relationships/hyperlink" Target="https://www.contractscounsel.com/t/us/commercial-lease/alaska" TargetMode="External"/><Relationship Id="rId9" Type="http://schemas.openxmlformats.org/officeDocument/2006/relationships/hyperlink" Target="https://www.contractscounsel.com/t/us/commercial-lease/arizona" TargetMode="External"/><Relationship Id="rId10" Type="http://schemas.openxmlformats.org/officeDocument/2006/relationships/hyperlink" Target="https://www.contractscounsel.com/t/us/commercial-lease/arkansas" TargetMode="External"/><Relationship Id="rId11" Type="http://schemas.openxmlformats.org/officeDocument/2006/relationships/hyperlink" Target="https://www.contractscounsel.com/t/us/commercial-lease/california" TargetMode="External"/><Relationship Id="rId12" Type="http://schemas.openxmlformats.org/officeDocument/2006/relationships/hyperlink" Target="https://www.contractscounsel.com/t/us/commercial-lease/colorado" TargetMode="External"/><Relationship Id="rId13" Type="http://schemas.openxmlformats.org/officeDocument/2006/relationships/hyperlink" Target="https://www.contractscounsel.com/t/us/commercial-lease/connecticut" TargetMode="External"/><Relationship Id="rId14" Type="http://schemas.openxmlformats.org/officeDocument/2006/relationships/hyperlink" Target="https://www.contractscounsel.com/t/us/commercial-lease/delaware" TargetMode="External"/><Relationship Id="rId15" Type="http://schemas.openxmlformats.org/officeDocument/2006/relationships/hyperlink" Target="https://www.contractscounsel.com/t/us/commercial-lease/district-of-columbia" TargetMode="External"/><Relationship Id="rId16" Type="http://schemas.openxmlformats.org/officeDocument/2006/relationships/hyperlink" Target="https://www.contractscounsel.com/t/us/commercial-lease/florida" TargetMode="External"/><Relationship Id="rId17" Type="http://schemas.openxmlformats.org/officeDocument/2006/relationships/hyperlink" Target="https://www.contractscounsel.com/t/us/commercial-lease/georgia" TargetMode="External"/><Relationship Id="rId18" Type="http://schemas.openxmlformats.org/officeDocument/2006/relationships/hyperlink" Target="https://www.contractscounsel.com/t/us/commercial-lease/hawaii" TargetMode="External"/><Relationship Id="rId19" Type="http://schemas.openxmlformats.org/officeDocument/2006/relationships/hyperlink" Target="https://www.contractscounsel.com/t/us/commercial-lease/idaho" TargetMode="External"/><Relationship Id="rId20" Type="http://schemas.openxmlformats.org/officeDocument/2006/relationships/hyperlink" Target="https://www.contractscounsel.com/t/us/commercial-lease/illinois" TargetMode="External"/><Relationship Id="rId21" Type="http://schemas.openxmlformats.org/officeDocument/2006/relationships/hyperlink" Target="https://www.contractscounsel.com/t/us/commercial-lease/indiana" TargetMode="External"/><Relationship Id="rId22" Type="http://schemas.openxmlformats.org/officeDocument/2006/relationships/hyperlink" Target="https://www.contractscounsel.com/t/us/commercial-lease/iowa" TargetMode="External"/><Relationship Id="rId23" Type="http://schemas.openxmlformats.org/officeDocument/2006/relationships/hyperlink" Target="https://www.contractscounsel.com/t/us/commercial-lease/kansas" TargetMode="External"/><Relationship Id="rId24" Type="http://schemas.openxmlformats.org/officeDocument/2006/relationships/hyperlink" Target="https://www.contractscounsel.com/t/us/commercial-lease/kentucky" TargetMode="External"/><Relationship Id="rId25" Type="http://schemas.openxmlformats.org/officeDocument/2006/relationships/hyperlink" Target="https://www.contractscounsel.com/t/us/commercial-lease/louisiana" TargetMode="External"/><Relationship Id="rId26" Type="http://schemas.openxmlformats.org/officeDocument/2006/relationships/hyperlink" Target="https://www.contractscounsel.com/t/us/commercial-lease/maine" TargetMode="External"/><Relationship Id="rId27" Type="http://schemas.openxmlformats.org/officeDocument/2006/relationships/hyperlink" Target="https://www.contractscounsel.com/t/us/commercial-lease/maryland" TargetMode="External"/><Relationship Id="rId28" Type="http://schemas.openxmlformats.org/officeDocument/2006/relationships/hyperlink" Target="https://www.contractscounsel.com/t/us/commercial-lease/massachusetts" TargetMode="External"/><Relationship Id="rId29" Type="http://schemas.openxmlformats.org/officeDocument/2006/relationships/hyperlink" Target="https://www.contractscounsel.com/t/us/commercial-lease/michigan" TargetMode="External"/><Relationship Id="rId30" Type="http://schemas.openxmlformats.org/officeDocument/2006/relationships/hyperlink" Target="https://www.contractscounsel.com/t/us/commercial-lease/minnesota" TargetMode="External"/><Relationship Id="rId31" Type="http://schemas.openxmlformats.org/officeDocument/2006/relationships/hyperlink" Target="https://www.contractscounsel.com/t/us/commercial-lease/mississippi" TargetMode="External"/><Relationship Id="rId32" Type="http://schemas.openxmlformats.org/officeDocument/2006/relationships/hyperlink" Target="https://www.contractscounsel.com/t/us/commercial-lease/missouri" TargetMode="External"/><Relationship Id="rId33" Type="http://schemas.openxmlformats.org/officeDocument/2006/relationships/hyperlink" Target="https://www.contractscounsel.com/t/us/commercial-lease/montana" TargetMode="External"/><Relationship Id="rId34" Type="http://schemas.openxmlformats.org/officeDocument/2006/relationships/hyperlink" Target="https://www.contractscounsel.com/t/us/commercial-lease/nebraska" TargetMode="External"/><Relationship Id="rId35" Type="http://schemas.openxmlformats.org/officeDocument/2006/relationships/hyperlink" Target="https://www.contractscounsel.com/t/us/commercial-lease/nevada" TargetMode="External"/><Relationship Id="rId36" Type="http://schemas.openxmlformats.org/officeDocument/2006/relationships/hyperlink" Target="https://www.contractscounsel.com/t/us/commercial-lease/new-hampshire" TargetMode="External"/><Relationship Id="rId37" Type="http://schemas.openxmlformats.org/officeDocument/2006/relationships/hyperlink" Target="https://www.contractscounsel.com/t/us/commercial-lease/new-mexico" TargetMode="Externa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LibreOffice/24.2.7.2$Linux_X86_64 LibreOffice_project/420$Build-2</Application>
  <AppVersion>15.0000</AppVersion>
  <Pages>3</Pages>
  <Words>320</Words>
  <Characters>1534</Characters>
  <CharactersWithSpaces>1757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2025-02-26T18:21:00Z</dcterms:created>
  <dc:creator>shaoor siddique</dc:creator>
  <dc:description/>
  <dc:language>en-US</dc:language>
  <cp:lastModifiedBy/>
  <dcterms:modified xsi:type="dcterms:W3CDTF">2025-03-14T20:02:45Z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