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b/>
          <w:color w:val="1B365D"/>
          <w:sz w:val="40"/>
        </w:rPr>
        <w:t>Deep Learning &amp; Transformer Architecture: Revision Guide</w:t>
      </w:r>
    </w:p>
    <w:p>
      <w:pPr>
        <w:pStyle w:val="Normal"/>
        <w:spacing w:before="0" w:after="160"/>
        <w:rPr/>
      </w:pPr>
      <w:r>
        <w:rPr>
          <w:i/>
          <w:color w:val="646E7D"/>
          <w:sz w:val="22"/>
        </w:rPr>
        <w:t>Comprehensive Student Take-Home Sheet — Essential Last-Minute Exam Reading</w:t>
      </w:r>
    </w:p>
    <w:tbl>
      <w:tblPr>
        <w:tblStyle w:val="TableGrid"/>
        <w:tblW w:w="9360" w:type="dxa"/>
        <w:jc w:val="center"/>
        <w:tblInd w:w="0" w:type="dxa"/>
        <w:tblLayout w:type="fixed"/>
        <w:tblCellMar>
          <w:top w:w="80" w:type="dxa"/>
          <w:start w:w="100" w:type="dxa"/>
          <w:bottom w:w="80" w:type="dxa"/>
          <w:end w:w="100" w:type="dxa"/>
        </w:tblCellMar>
        <w:tblLook w:noHBand="0" w:noVBand="1" w:firstColumn="1" w:lastRow="0" w:lastColumn="0" w:firstRow="1" w:val="04a0"/>
      </w:tblPr>
      <w:tblGrid>
        <w:gridCol w:w="2340"/>
        <w:gridCol w:w="2340"/>
        <w:gridCol w:w="2340"/>
        <w:gridCol w:w="2340"/>
      </w:tblGrid>
      <w:tr>
        <w:trPr/>
        <w:tc>
          <w:tcPr>
            <w:tcW w:w="2340" w:type="dxa"/>
            <w:tcBorders>
              <w:top w:val="single" w:sz="6" w:space="0" w:color="D0D7DE"/>
              <w:start w:val="single" w:sz="6" w:space="0" w:color="D0D7DE"/>
              <w:bottom w:val="single" w:sz="6" w:space="0" w:color="D0D7DE"/>
              <w:end w:val="nil"/>
            </w:tcBorders>
            <w:shd w:color="auto" w:fill="F2F4F8" w:val="clear"/>
          </w:tcPr>
          <w:p>
            <w:pPr>
              <w:pStyle w:val="Normal"/>
              <w:widowControl/>
              <w:spacing w:before="0" w:after="0"/>
              <w:jc w:val="center"/>
              <w:rPr>
                <w:rFonts w:eastAsia="ＭＳ 明朝" w:cs=""/>
                <w:kern w:val="0"/>
                <w:szCs w:val="22"/>
                <w:lang w:val="en-US" w:eastAsia="en-US" w:bidi="ar-SA"/>
              </w:rPr>
            </w:pPr>
            <w:r>
              <w:rPr>
                <w:rFonts w:eastAsia="ＭＳ 明朝" w:cs=""/>
                <w:b/>
                <w:color w:val="646E7D"/>
                <w:kern w:val="0"/>
                <w:sz w:val="17"/>
                <w:szCs w:val="22"/>
                <w:lang w:val="en-US" w:eastAsia="en-US" w:bidi="ar-SA"/>
              </w:rPr>
              <w:t>COURSE</w:t>
              <w:br/>
            </w:r>
            <w:r>
              <w:rPr>
                <w:rFonts w:eastAsia="ＭＳ 明朝" w:cs=""/>
                <w:b/>
                <w:color w:val="1B365D"/>
                <w:kern w:val="0"/>
                <w:sz w:val="19"/>
                <w:szCs w:val="22"/>
                <w:lang w:val="en-US" w:eastAsia="en-US" w:bidi="ar-SA"/>
              </w:rPr>
              <w:t>Deep Learning &amp; NLP</w:t>
            </w:r>
          </w:p>
        </w:tc>
        <w:tc>
          <w:tcPr>
            <w:tcW w:w="2340" w:type="dxa"/>
            <w:tcBorders>
              <w:top w:val="single" w:sz="6" w:space="0" w:color="D0D7DE"/>
              <w:start w:val="nil"/>
              <w:bottom w:val="single" w:sz="6" w:space="0" w:color="D0D7DE"/>
              <w:end w:val="nil"/>
            </w:tcBorders>
            <w:shd w:color="auto" w:fill="F2F4F8" w:val="clear"/>
          </w:tcPr>
          <w:p>
            <w:pPr>
              <w:pStyle w:val="Normal"/>
              <w:widowControl/>
              <w:spacing w:before="0" w:after="0"/>
              <w:jc w:val="center"/>
              <w:rPr>
                <w:rFonts w:eastAsia="ＭＳ 明朝" w:cs=""/>
                <w:kern w:val="0"/>
                <w:szCs w:val="22"/>
                <w:lang w:val="en-US" w:eastAsia="en-US" w:bidi="ar-SA"/>
              </w:rPr>
            </w:pPr>
            <w:r>
              <w:rPr>
                <w:rFonts w:eastAsia="ＭＳ 明朝" w:cs=""/>
                <w:b/>
                <w:color w:val="646E7D"/>
                <w:kern w:val="0"/>
                <w:sz w:val="17"/>
                <w:szCs w:val="22"/>
                <w:lang w:val="en-US" w:eastAsia="en-US" w:bidi="ar-SA"/>
              </w:rPr>
              <w:t>SCOPE</w:t>
              <w:br/>
            </w:r>
            <w:r>
              <w:rPr>
                <w:rFonts w:eastAsia="ＭＳ 明朝" w:cs=""/>
                <w:b/>
                <w:color w:val="1B365D"/>
                <w:kern w:val="0"/>
                <w:sz w:val="19"/>
                <w:szCs w:val="22"/>
                <w:lang w:val="en-US" w:eastAsia="en-US" w:bidi="ar-SA"/>
              </w:rPr>
              <w:t>Foundations to Attention</w:t>
            </w:r>
          </w:p>
        </w:tc>
        <w:tc>
          <w:tcPr>
            <w:tcW w:w="2340" w:type="dxa"/>
            <w:tcBorders>
              <w:top w:val="single" w:sz="6" w:space="0" w:color="D0D7DE"/>
              <w:start w:val="nil"/>
              <w:bottom w:val="single" w:sz="6" w:space="0" w:color="D0D7DE"/>
              <w:end w:val="nil"/>
            </w:tcBorders>
            <w:shd w:color="auto" w:fill="F2F4F8" w:val="clear"/>
          </w:tcPr>
          <w:p>
            <w:pPr>
              <w:pStyle w:val="Normal"/>
              <w:widowControl/>
              <w:spacing w:before="0" w:after="0"/>
              <w:jc w:val="center"/>
              <w:rPr>
                <w:rFonts w:eastAsia="ＭＳ 明朝" w:cs=""/>
                <w:kern w:val="0"/>
                <w:szCs w:val="22"/>
                <w:lang w:val="en-US" w:eastAsia="en-US" w:bidi="ar-SA"/>
              </w:rPr>
            </w:pPr>
            <w:r>
              <w:rPr>
                <w:rFonts w:eastAsia="ＭＳ 明朝" w:cs=""/>
                <w:b/>
                <w:color w:val="646E7D"/>
                <w:kern w:val="0"/>
                <w:sz w:val="17"/>
                <w:szCs w:val="22"/>
                <w:lang w:val="en-US" w:eastAsia="en-US" w:bidi="ar-SA"/>
              </w:rPr>
              <w:t>TARGET</w:t>
              <w:br/>
            </w:r>
            <w:r>
              <w:rPr>
                <w:rFonts w:eastAsia="ＭＳ 明朝" w:cs=""/>
                <w:b/>
                <w:color w:val="1B365D"/>
                <w:kern w:val="0"/>
                <w:sz w:val="19"/>
                <w:szCs w:val="22"/>
                <w:lang w:val="en-US" w:eastAsia="en-US" w:bidi="ar-SA"/>
              </w:rPr>
              <w:t>Exam Rapid Review</w:t>
            </w:r>
          </w:p>
        </w:tc>
        <w:tc>
          <w:tcPr>
            <w:tcW w:w="2340" w:type="dxa"/>
            <w:tcBorders>
              <w:top w:val="single" w:sz="6" w:space="0" w:color="D0D7DE"/>
              <w:start w:val="nil"/>
              <w:bottom w:val="single" w:sz="6" w:space="0" w:color="D0D7DE"/>
              <w:end w:val="single" w:sz="6" w:space="0" w:color="D0D7DE"/>
            </w:tcBorders>
            <w:shd w:color="auto" w:fill="F2F4F8" w:val="clear"/>
          </w:tcPr>
          <w:p>
            <w:pPr>
              <w:pStyle w:val="Normal"/>
              <w:widowControl/>
              <w:spacing w:before="0" w:after="0"/>
              <w:jc w:val="center"/>
              <w:rPr>
                <w:rFonts w:eastAsia="ＭＳ 明朝" w:cs=""/>
                <w:kern w:val="0"/>
                <w:szCs w:val="22"/>
                <w:lang w:val="en-US" w:eastAsia="en-US" w:bidi="ar-SA"/>
              </w:rPr>
            </w:pPr>
            <w:r>
              <w:rPr>
                <w:rFonts w:eastAsia="ＭＳ 明朝" w:cs=""/>
                <w:b/>
                <w:color w:val="646E7D"/>
                <w:kern w:val="0"/>
                <w:sz w:val="17"/>
                <w:szCs w:val="22"/>
                <w:lang w:val="en-US" w:eastAsia="en-US" w:bidi="ar-SA"/>
              </w:rPr>
              <w:t>INSTITUTION</w:t>
              <w:br/>
            </w:r>
            <w:r>
              <w:rPr>
                <w:rFonts w:eastAsia="ＭＳ 明朝" w:cs=""/>
                <w:b/>
                <w:color w:val="1B365D"/>
                <w:kern w:val="0"/>
                <w:sz w:val="19"/>
                <w:szCs w:val="22"/>
                <w:lang w:val="en-US" w:eastAsia="en-US" w:bidi="ar-SA"/>
              </w:rPr>
              <w:t>Catholic University of Rwanda</w:t>
            </w:r>
          </w:p>
        </w:tc>
      </w:tr>
    </w:tbl>
    <w:p>
      <w:pPr>
        <w:pStyle w:val="Normal"/>
        <w:spacing w:before="0" w:after="120"/>
        <w:rPr/>
      </w:pPr>
      <w:r>
        <w:rPr/>
      </w:r>
    </w:p>
    <w:tbl>
      <w:tblPr>
        <w:tblStyle w:val="TableGrid"/>
        <w:tblW w:w="936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360"/>
      </w:tblGrid>
      <w:tr>
        <w:trPr/>
        <w:tc>
          <w:tcPr>
            <w:tcW w:w="9360" w:type="dxa"/>
            <w:tcBorders>
              <w:top w:val="single" w:sz="8" w:space="0" w:color="2F5496"/>
              <w:start w:val="single" w:sz="8" w:space="0" w:color="2F5496"/>
              <w:bottom w:val="single" w:sz="8" w:space="0" w:color="2F5496"/>
              <w:end w:val="single" w:sz="8" w:space="0" w:color="2F5496"/>
            </w:tcBorders>
            <w:shd w:color="auto" w:fill="F0F4F8" w:val="clear"/>
          </w:tcPr>
          <w:p>
            <w:pPr>
              <w:pStyle w:val="Normal"/>
              <w:widowControl/>
              <w:spacing w:before="0" w:after="20"/>
              <w:jc w:val="start"/>
              <w:rPr>
                <w:rFonts w:eastAsia="ＭＳ 明朝" w:cs=""/>
                <w:kern w:val="0"/>
                <w:szCs w:val="22"/>
                <w:lang w:val="en-US" w:eastAsia="en-US" w:bidi="ar-SA"/>
              </w:rPr>
            </w:pPr>
            <w:r>
              <w:rPr>
                <w:rFonts w:eastAsia="ＭＳ 明朝" w:cs=""/>
                <w:b/>
                <w:color w:val="1B365D"/>
                <w:kern w:val="0"/>
                <w:szCs w:val="22"/>
                <w:lang w:val="en-US" w:eastAsia="en-US" w:bidi="ar-SA"/>
              </w:rPr>
              <w:t xml:space="preserve">CORE EXAM OBJECTIVE: </w:t>
            </w:r>
            <w:r>
              <w:rPr>
                <w:rFonts w:eastAsia="ＭＳ 明朝" w:cs=""/>
                <w:color w:val="282828"/>
                <w:kern w:val="0"/>
                <w:szCs w:val="22"/>
                <w:lang w:val="en-US" w:eastAsia="en-US" w:bidi="ar-SA"/>
              </w:rPr>
              <w:t>This guide synthesizes foundational principles of deep learning, artificial neurons, activation functions, optimization routines, and transformer self-attention mechanisms. Master the mathematical definitions, operational loops, and comparative trade-offs highlighted throughout.</w:t>
            </w:r>
          </w:p>
        </w:tc>
      </w:tr>
    </w:tbl>
    <w:p>
      <w:pPr>
        <w:pStyle w:val="Normal"/>
        <w:spacing w:before="0" w:after="80"/>
        <w:rPr/>
      </w:pPr>
      <w:r>
        <w:rPr/>
      </w:r>
    </w:p>
    <w:p>
      <w:pPr>
        <w:pStyle w:val="Heading1"/>
        <w:rPr/>
      </w:pPr>
      <w:r>
        <w:rPr/>
        <w:t>1. Conceptual Foundation &amp; The AI Hierarchy</w:t>
      </w:r>
    </w:p>
    <w:p>
      <w:pPr>
        <w:pStyle w:val="Normal"/>
        <w:rPr/>
      </w:pPr>
      <w:r>
        <w:rPr/>
        <w:t>Deep learning represents an architectural evolution in computing. Rather than programming explicit decision logic, systems discover patterns directly from empirical observations.</w:t>
      </w:r>
    </w:p>
    <w:p>
      <w:pPr>
        <w:pStyle w:val="Heading2"/>
        <w:rPr/>
      </w:pPr>
      <w:r>
        <w:rPr/>
        <w:t>1.1 The Nested AI Hierarchy</w:t>
      </w:r>
    </w:p>
    <w:p>
      <w:pPr>
        <w:pStyle w:val="ListBullet"/>
        <w:numPr>
          <w:ilvl w:val="0"/>
          <w:numId w:val="1"/>
        </w:numPr>
        <w:rPr/>
      </w:pPr>
      <w:r>
        <w:rPr>
          <w:b/>
        </w:rPr>
        <w:t xml:space="preserve">Artificial Intelligence (AI): </w:t>
      </w:r>
      <w:r>
        <w:rPr/>
        <w:t>The overarching scientific discipline dedicated to creating machines capable of performing tasks that traditionally require human intelligence.</w:t>
      </w:r>
    </w:p>
    <w:p>
      <w:pPr>
        <w:pStyle w:val="ListBullet"/>
        <w:numPr>
          <w:ilvl w:val="0"/>
          <w:numId w:val="1"/>
        </w:numPr>
        <w:rPr/>
      </w:pPr>
      <w:r>
        <w:rPr>
          <w:b/>
        </w:rPr>
        <w:t xml:space="preserve">Machine Learning (ML): </w:t>
      </w:r>
      <w:r>
        <w:rPr/>
        <w:t>A specialized subset of AI where algorithms infer mathematical rules and decision boundaries directly from data examples instead of hand-crafted code.</w:t>
      </w:r>
    </w:p>
    <w:p>
      <w:pPr>
        <w:pStyle w:val="ListBullet"/>
        <w:numPr>
          <w:ilvl w:val="0"/>
          <w:numId w:val="1"/>
        </w:numPr>
        <w:rPr/>
      </w:pPr>
      <w:r>
        <w:rPr>
          <w:b/>
        </w:rPr>
        <w:t xml:space="preserve">Deep Learning (DL): </w:t>
      </w:r>
      <w:r>
        <w:rPr/>
        <w:t>A cutting-edge subset of machine learning based on multi-layered artificial neural networks. DL extracts hierarchical feature representations directly from raw, unstructured data (pixels, text sequences, sound waves) without human feature engineering.</w:t>
      </w:r>
    </w:p>
    <w:p>
      <w:pPr>
        <w:pStyle w:val="Heading2"/>
        <w:rPr/>
      </w:pPr>
      <w:r>
        <w:rPr/>
        <w:t>1.2 Traditional Machine Learning vs. Deep Learning</w:t>
      </w:r>
    </w:p>
    <w:tbl>
      <w:tblPr>
        <w:tblStyle w:val="TableGrid"/>
        <w:tblW w:w="9360" w:type="dxa"/>
        <w:jc w:val="center"/>
        <w:tblInd w:w="0" w:type="dxa"/>
        <w:tblLayout w:type="fixed"/>
        <w:tblCellMar>
          <w:top w:w="60" w:type="dxa"/>
          <w:start w:w="90" w:type="dxa"/>
          <w:bottom w:w="60" w:type="dxa"/>
          <w:end w:w="90" w:type="dxa"/>
        </w:tblCellMar>
        <w:tblLook w:noHBand="0" w:noVBand="1" w:firstColumn="1" w:lastRow="0" w:lastColumn="0" w:firstRow="1" w:val="04a0"/>
      </w:tblPr>
      <w:tblGrid>
        <w:gridCol w:w="3120"/>
        <w:gridCol w:w="3120"/>
        <w:gridCol w:w="3120"/>
      </w:tblGrid>
      <w:tr>
        <w:trPr/>
        <w:tc>
          <w:tcPr>
            <w:tcW w:w="3120" w:type="dxa"/>
            <w:tcBorders>
              <w:top w:val="single" w:sz="6" w:space="0" w:color="D0D7DE"/>
              <w:start w:val="single" w:sz="6" w:space="0" w:color="D0D7DE"/>
              <w:bottom w:val="single" w:sz="6" w:space="0" w:color="D0D7DE"/>
              <w:end w:val="nil"/>
            </w:tcBorders>
            <w:shd w:color="auto" w:fill="1B365D"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Dimension</w:t>
            </w:r>
          </w:p>
        </w:tc>
        <w:tc>
          <w:tcPr>
            <w:tcW w:w="3120" w:type="dxa"/>
            <w:tcBorders>
              <w:top w:val="single" w:sz="6" w:space="0" w:color="D0D7DE"/>
              <w:start w:val="nil"/>
              <w:bottom w:val="single" w:sz="6" w:space="0" w:color="D0D7DE"/>
              <w:end w:val="nil"/>
            </w:tcBorders>
            <w:shd w:color="auto" w:fill="1B365D"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Traditional Machine Learning</w:t>
            </w:r>
          </w:p>
        </w:tc>
        <w:tc>
          <w:tcPr>
            <w:tcW w:w="3120" w:type="dxa"/>
            <w:tcBorders>
              <w:top w:val="single" w:sz="6" w:space="0" w:color="D0D7DE"/>
              <w:start w:val="nil"/>
              <w:bottom w:val="single" w:sz="6" w:space="0" w:color="D0D7DE"/>
              <w:end w:val="single" w:sz="6" w:space="0" w:color="D0D7DE"/>
            </w:tcBorders>
            <w:shd w:color="auto" w:fill="1B365D"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Deep Learning</w:t>
            </w:r>
          </w:p>
        </w:tc>
      </w:tr>
      <w:tr>
        <w:trPr/>
        <w:tc>
          <w:tcPr>
            <w:tcW w:w="3120" w:type="dxa"/>
            <w:tcBorders>
              <w:top w:val="single" w:sz="6" w:space="0" w:color="D0D7DE"/>
              <w:start w:val="single" w:sz="6" w:space="0" w:color="D0D7DE"/>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b/>
                <w:color w:val="1B365D"/>
                <w:kern w:val="0"/>
                <w:sz w:val="18"/>
                <w:szCs w:val="22"/>
                <w:lang w:val="en-US" w:eastAsia="en-US" w:bidi="ar-SA"/>
              </w:rPr>
              <w:t>Feature Extraction</w:t>
            </w:r>
          </w:p>
        </w:tc>
        <w:tc>
          <w:tcPr>
            <w:tcW w:w="3120" w:type="dxa"/>
            <w:tcBorders>
              <w:top w:val="single" w:sz="6" w:space="0" w:color="D0D7DE"/>
              <w:start w:val="nil"/>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Human engineers manually design and extract domain-specific features.</w:t>
            </w:r>
          </w:p>
        </w:tc>
        <w:tc>
          <w:tcPr>
            <w:tcW w:w="3120" w:type="dxa"/>
            <w:tcBorders>
              <w:top w:val="single" w:sz="6" w:space="0" w:color="D0D7DE"/>
              <w:start w:val="nil"/>
              <w:bottom w:val="single" w:sz="6" w:space="0" w:color="D0D7DE"/>
              <w:end w:val="single" w:sz="6" w:space="0" w:color="D0D7DE"/>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Learned automatically end-to-end through stacked hierarchical layers.</w:t>
            </w:r>
          </w:p>
        </w:tc>
      </w:tr>
      <w:tr>
        <w:trPr/>
        <w:tc>
          <w:tcPr>
            <w:tcW w:w="3120" w:type="dxa"/>
            <w:tcBorders>
              <w:top w:val="single" w:sz="6" w:space="0" w:color="D0D7DE"/>
              <w:start w:val="single" w:sz="6" w:space="0" w:color="D0D7DE"/>
              <w:bottom w:val="single" w:sz="6" w:space="0" w:color="D0D7DE"/>
              <w:end w:val="nil"/>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b/>
                <w:color w:val="1B365D"/>
                <w:kern w:val="0"/>
                <w:sz w:val="18"/>
                <w:szCs w:val="22"/>
                <w:lang w:val="en-US" w:eastAsia="en-US" w:bidi="ar-SA"/>
              </w:rPr>
              <w:t>Data Requirements</w:t>
            </w:r>
          </w:p>
        </w:tc>
        <w:tc>
          <w:tcPr>
            <w:tcW w:w="3120" w:type="dxa"/>
            <w:tcBorders>
              <w:top w:val="single" w:sz="6" w:space="0" w:color="D0D7DE"/>
              <w:start w:val="nil"/>
              <w:bottom w:val="single" w:sz="6" w:space="0" w:color="D0D7DE"/>
              <w:end w:val="nil"/>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Performs reliably on modest datasets (hundreds to thousands of points).</w:t>
            </w:r>
          </w:p>
        </w:tc>
        <w:tc>
          <w:tcPr>
            <w:tcW w:w="3120" w:type="dxa"/>
            <w:tcBorders>
              <w:top w:val="single" w:sz="6" w:space="0" w:color="D0D7DE"/>
              <w:start w:val="nil"/>
              <w:bottom w:val="single" w:sz="6" w:space="0" w:color="D0D7DE"/>
              <w:end w:val="single" w:sz="6" w:space="0" w:color="D0D7DE"/>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Requires massive datasets to prevent overfitting on millions of weights.</w:t>
            </w:r>
          </w:p>
        </w:tc>
      </w:tr>
      <w:tr>
        <w:trPr/>
        <w:tc>
          <w:tcPr>
            <w:tcW w:w="3120" w:type="dxa"/>
            <w:tcBorders>
              <w:top w:val="single" w:sz="6" w:space="0" w:color="D0D7DE"/>
              <w:start w:val="single" w:sz="6" w:space="0" w:color="D0D7DE"/>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b/>
                <w:color w:val="1B365D"/>
                <w:kern w:val="0"/>
                <w:sz w:val="18"/>
                <w:szCs w:val="22"/>
                <w:lang w:val="en-US" w:eastAsia="en-US" w:bidi="ar-SA"/>
              </w:rPr>
              <w:t>Computational Needs</w:t>
            </w:r>
          </w:p>
        </w:tc>
        <w:tc>
          <w:tcPr>
            <w:tcW w:w="3120" w:type="dxa"/>
            <w:tcBorders>
              <w:top w:val="single" w:sz="6" w:space="0" w:color="D0D7DE"/>
              <w:start w:val="nil"/>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Low compute; runs efficiently on standard CPUs.</w:t>
            </w:r>
          </w:p>
        </w:tc>
        <w:tc>
          <w:tcPr>
            <w:tcW w:w="3120" w:type="dxa"/>
            <w:tcBorders>
              <w:top w:val="single" w:sz="6" w:space="0" w:color="D0D7DE"/>
              <w:start w:val="nil"/>
              <w:bottom w:val="single" w:sz="6" w:space="0" w:color="D0D7DE"/>
              <w:end w:val="single" w:sz="6" w:space="0" w:color="D0D7DE"/>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High compute; requires parallel matrix accelerators (GPUs, TPUs).</w:t>
            </w:r>
          </w:p>
        </w:tc>
      </w:tr>
      <w:tr>
        <w:trPr/>
        <w:tc>
          <w:tcPr>
            <w:tcW w:w="3120" w:type="dxa"/>
            <w:tcBorders>
              <w:top w:val="single" w:sz="6" w:space="0" w:color="D0D7DE"/>
              <w:start w:val="single" w:sz="6" w:space="0" w:color="D0D7DE"/>
              <w:bottom w:val="single" w:sz="6" w:space="0" w:color="D0D7DE"/>
              <w:end w:val="nil"/>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b/>
                <w:color w:val="1B365D"/>
                <w:kern w:val="0"/>
                <w:sz w:val="18"/>
                <w:szCs w:val="22"/>
                <w:lang w:val="en-US" w:eastAsia="en-US" w:bidi="ar-SA"/>
              </w:rPr>
              <w:t>Interpretability</w:t>
            </w:r>
          </w:p>
        </w:tc>
        <w:tc>
          <w:tcPr>
            <w:tcW w:w="3120" w:type="dxa"/>
            <w:tcBorders>
              <w:top w:val="single" w:sz="6" w:space="0" w:color="D0D7DE"/>
              <w:start w:val="nil"/>
              <w:bottom w:val="single" w:sz="6" w:space="0" w:color="D0D7DE"/>
              <w:end w:val="nil"/>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Higher; decision boundaries or feature importances are inspectable.</w:t>
            </w:r>
          </w:p>
        </w:tc>
        <w:tc>
          <w:tcPr>
            <w:tcW w:w="3120" w:type="dxa"/>
            <w:tcBorders>
              <w:top w:val="single" w:sz="6" w:space="0" w:color="D0D7DE"/>
              <w:start w:val="nil"/>
              <w:bottom w:val="single" w:sz="6" w:space="0" w:color="D0D7DE"/>
              <w:end w:val="single" w:sz="6" w:space="0" w:color="D0D7DE"/>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Black-box behavior; representations are distributed across latent matrices.</w:t>
            </w:r>
          </w:p>
        </w:tc>
      </w:tr>
    </w:tbl>
    <w:p>
      <w:pPr>
        <w:pStyle w:val="Normal"/>
        <w:spacing w:before="0" w:after="120"/>
        <w:rPr/>
      </w:pPr>
      <w:r>
        <w:rPr/>
      </w:r>
    </w:p>
    <w:p>
      <w:pPr>
        <w:pStyle w:val="Heading1"/>
        <w:rPr/>
      </w:pPr>
      <w:r>
        <w:rPr/>
        <w:t>2. Anatomy of an Artificial Neuron</w:t>
      </w:r>
    </w:p>
    <w:p>
      <w:pPr>
        <w:pStyle w:val="Normal"/>
        <w:rPr/>
      </w:pPr>
      <w:r>
        <w:rPr/>
        <w:t>Inspired loosely by biological neurons, an artificial node computes a weighted sum of its inputs, adds an offset, and passes the aggregate through an activation function.</w:t>
      </w:r>
    </w:p>
    <w:tbl>
      <w:tblPr>
        <w:tblStyle w:val="TableGrid"/>
        <w:tblW w:w="9360" w:type="dxa"/>
        <w:jc w:val="center"/>
        <w:tblInd w:w="0" w:type="dxa"/>
        <w:tblLayout w:type="fixed"/>
        <w:tblCellMar>
          <w:top w:w="70" w:type="dxa"/>
          <w:start w:w="120" w:type="dxa"/>
          <w:bottom w:w="70" w:type="dxa"/>
          <w:end w:w="120" w:type="dxa"/>
        </w:tblCellMar>
        <w:tblLook w:noHBand="0" w:noVBand="1" w:firstColumn="1" w:lastRow="0" w:lastColumn="0" w:firstRow="1" w:val="04a0"/>
      </w:tblPr>
      <w:tblGrid>
        <w:gridCol w:w="9360"/>
      </w:tblGrid>
      <w:tr>
        <w:trPr/>
        <w:tc>
          <w:tcPr>
            <w:tcW w:w="9360" w:type="dxa"/>
            <w:tcBorders>
              <w:top w:val="single" w:sz="6" w:space="0" w:color="CBD5E1"/>
              <w:start w:val="single" w:sz="6" w:space="0" w:color="CBD5E1"/>
              <w:bottom w:val="single" w:sz="6" w:space="0" w:color="CBD5E1"/>
              <w:end w:val="single" w:sz="6" w:space="0" w:color="CBD5E1"/>
            </w:tcBorders>
            <w:shd w:color="auto" w:fill="F8FAFC" w:val="clear"/>
          </w:tcPr>
          <w:p>
            <w:pPr>
              <w:pStyle w:val="Normal"/>
              <w:widowControl/>
              <w:spacing w:before="0" w:after="40"/>
              <w:jc w:val="center"/>
              <w:rPr>
                <w:rFonts w:eastAsia="ＭＳ 明朝" w:cs=""/>
                <w:kern w:val="0"/>
                <w:szCs w:val="22"/>
                <w:lang w:val="en-US" w:eastAsia="en-US" w:bidi="ar-SA"/>
              </w:rPr>
            </w:pPr>
            <w:r>
              <w:rPr>
                <w:rFonts w:eastAsia="ＭＳ 明朝" w:cs="" w:ascii="Consolas" w:hAnsi="Consolas"/>
                <w:b/>
                <w:color w:val="1B365D"/>
                <w:kern w:val="0"/>
                <w:sz w:val="21"/>
                <w:szCs w:val="22"/>
                <w:lang w:val="en-US" w:eastAsia="en-US" w:bidi="ar-SA"/>
              </w:rPr>
              <w:t>z = (w_1 * x_1) + (w_2 * x_2) + ... + (w_n * x_n) + b = SUM(w_i * x_i) + b</w:t>
            </w:r>
          </w:p>
          <w:p>
            <w:pPr>
              <w:pStyle w:val="Normal"/>
              <w:widowControl/>
              <w:spacing w:before="0" w:after="0"/>
              <w:jc w:val="center"/>
              <w:rPr>
                <w:rFonts w:eastAsia="ＭＳ 明朝" w:cs=""/>
                <w:kern w:val="0"/>
                <w:szCs w:val="22"/>
                <w:lang w:val="en-US" w:eastAsia="en-US" w:bidi="ar-SA"/>
              </w:rPr>
            </w:pPr>
            <w:r>
              <w:rPr>
                <w:rFonts w:eastAsia="ＭＳ 明朝" w:cs=""/>
                <w:i/>
                <w:color w:val="64748B"/>
                <w:kern w:val="0"/>
                <w:sz w:val="17"/>
                <w:szCs w:val="22"/>
                <w:lang w:val="en-US" w:eastAsia="en-US" w:bidi="ar-SA"/>
              </w:rPr>
              <w:t>The Linear Pre-Activation Formula</w:t>
            </w:r>
          </w:p>
        </w:tc>
      </w:tr>
    </w:tbl>
    <w:p>
      <w:pPr>
        <w:pStyle w:val="Normal"/>
        <w:spacing w:before="0" w:after="80"/>
        <w:rPr/>
      </w:pPr>
      <w:r>
        <w:rPr/>
      </w:r>
    </w:p>
    <w:p>
      <w:pPr>
        <w:pStyle w:val="Heading2"/>
        <w:rPr/>
      </w:pPr>
      <w:r>
        <w:rPr/>
        <w:t>2.1 Core Components</w:t>
      </w:r>
    </w:p>
    <w:p>
      <w:pPr>
        <w:pStyle w:val="ListBullet"/>
        <w:numPr>
          <w:ilvl w:val="0"/>
          <w:numId w:val="1"/>
        </w:numPr>
        <w:rPr/>
      </w:pPr>
      <w:r>
        <w:rPr>
          <w:b/>
        </w:rPr>
        <w:t xml:space="preserve">Inputs (x): </w:t>
      </w:r>
      <w:r>
        <w:rPr/>
        <w:t>Numerical feature measurements (e.g., color intensity, token embeddings, frequency).</w:t>
      </w:r>
    </w:p>
    <w:p>
      <w:pPr>
        <w:pStyle w:val="ListBullet"/>
        <w:numPr>
          <w:ilvl w:val="0"/>
          <w:numId w:val="1"/>
        </w:numPr>
        <w:rPr/>
      </w:pPr>
      <w:r>
        <w:rPr>
          <w:b/>
        </w:rPr>
        <w:t xml:space="preserve">Weights (w): </w:t>
      </w:r>
      <w:r>
        <w:rPr/>
        <w:t>Learnable parameters that determine the importance or connection strength of each input. Large positive weights amplify signals; negative weights suppress them.</w:t>
      </w:r>
    </w:p>
    <w:p>
      <w:pPr>
        <w:pStyle w:val="ListBullet"/>
        <w:numPr>
          <w:ilvl w:val="0"/>
          <w:numId w:val="1"/>
        </w:numPr>
        <w:rPr/>
      </w:pPr>
      <w:r>
        <w:rPr>
          <w:b/>
        </w:rPr>
        <w:t xml:space="preserve">Bias (b): </w:t>
      </w:r>
      <w:r>
        <w:rPr/>
        <w:t>An additive scalar offset that shifts the activation threshold. Crucially, without bias, the linear combination is forced through the origin (z = 0 when x = 0), severely constraining model flexibility.</w:t>
      </w:r>
    </w:p>
    <w:p>
      <w:pPr>
        <w:pStyle w:val="Heading1"/>
        <w:rPr/>
      </w:pPr>
      <w:r>
        <w:rPr/>
        <w:t>3. Activation Functions &amp; Non-Linearity</w:t>
      </w:r>
    </w:p>
    <w:p>
      <w:pPr>
        <w:pStyle w:val="Normal"/>
        <w:rPr/>
      </w:pPr>
      <w:r>
        <w:rPr/>
        <w:t>The activation function acts as the internal gatekeeper, mapping the linear pre-activation z to a bounded or structured output: a = sigma(z).</w:t>
      </w:r>
    </w:p>
    <w:tbl>
      <w:tblPr>
        <w:tblStyle w:val="TableGrid"/>
        <w:tblW w:w="936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360"/>
      </w:tblGrid>
      <w:tr>
        <w:trPr/>
        <w:tc>
          <w:tcPr>
            <w:tcW w:w="9360" w:type="dxa"/>
            <w:tcBorders>
              <w:top w:val="single" w:sz="8" w:space="0" w:color="2F5496"/>
              <w:start w:val="single" w:sz="8" w:space="0" w:color="2F5496"/>
              <w:bottom w:val="single" w:sz="8" w:space="0" w:color="2F5496"/>
              <w:end w:val="single" w:sz="8" w:space="0" w:color="2F5496"/>
            </w:tcBorders>
            <w:shd w:color="auto" w:fill="F0F4F8" w:val="clear"/>
          </w:tcPr>
          <w:p>
            <w:pPr>
              <w:pStyle w:val="Normal"/>
              <w:widowControl/>
              <w:spacing w:before="0" w:after="20"/>
              <w:jc w:val="start"/>
              <w:rPr>
                <w:rFonts w:eastAsia="ＭＳ 明朝" w:cs=""/>
                <w:kern w:val="0"/>
                <w:szCs w:val="22"/>
                <w:lang w:val="en-US" w:eastAsia="en-US" w:bidi="ar-SA"/>
              </w:rPr>
            </w:pPr>
            <w:r>
              <w:rPr>
                <w:rFonts w:eastAsia="ＭＳ 明朝" w:cs=""/>
                <w:b/>
                <w:color w:val="1B365D"/>
                <w:kern w:val="0"/>
                <w:szCs w:val="22"/>
                <w:lang w:val="en-US" w:eastAsia="en-US" w:bidi="ar-SA"/>
              </w:rPr>
              <w:t xml:space="preserve">WHY NON-LINEARITY IS MANDATORY: </w:t>
            </w:r>
            <w:r>
              <w:rPr>
                <w:rFonts w:eastAsia="ＭＳ 明朝" w:cs=""/>
                <w:color w:val="282828"/>
                <w:kern w:val="0"/>
                <w:szCs w:val="22"/>
                <w:lang w:val="en-US" w:eastAsia="en-US" w:bidi="ar-SA"/>
              </w:rPr>
              <w:t>A linear combination of linear functions is mathematically identical to a single linear function. Without non-linear activation functions, a network with 100 hidden layers has no more expressive power than a single-layer perceptron. Non-linear activations allow networks to learn complex curves and high-dimensional decision boundaries.</w:t>
            </w:r>
          </w:p>
        </w:tc>
      </w:tr>
    </w:tbl>
    <w:p>
      <w:pPr>
        <w:pStyle w:val="Normal"/>
        <w:spacing w:before="0" w:after="80"/>
        <w:rPr/>
      </w:pPr>
      <w:r>
        <w:rPr/>
      </w:r>
    </w:p>
    <w:p>
      <w:pPr>
        <w:pStyle w:val="Heading2"/>
        <w:rPr/>
      </w:pPr>
      <w:r>
        <w:rPr/>
        <w:t>3.1 Key Activation Functions</w:t>
      </w:r>
    </w:p>
    <w:tbl>
      <w:tblPr>
        <w:tblStyle w:val="TableGrid"/>
        <w:tblW w:w="9360" w:type="dxa"/>
        <w:jc w:val="center"/>
        <w:tblInd w:w="0" w:type="dxa"/>
        <w:tblLayout w:type="fixed"/>
        <w:tblCellMar>
          <w:top w:w="60" w:type="dxa"/>
          <w:start w:w="80" w:type="dxa"/>
          <w:bottom w:w="60" w:type="dxa"/>
          <w:end w:w="80" w:type="dxa"/>
        </w:tblCellMar>
        <w:tblLook w:noHBand="0" w:noVBand="1" w:firstColumn="1" w:lastRow="0" w:lastColumn="0" w:firstRow="1" w:val="04a0"/>
      </w:tblPr>
      <w:tblGrid>
        <w:gridCol w:w="2340"/>
        <w:gridCol w:w="2340"/>
        <w:gridCol w:w="2340"/>
        <w:gridCol w:w="2340"/>
      </w:tblGrid>
      <w:tr>
        <w:trPr/>
        <w:tc>
          <w:tcPr>
            <w:tcW w:w="2340" w:type="dxa"/>
            <w:tcBorders>
              <w:top w:val="single" w:sz="6" w:space="0" w:color="D0D7DE"/>
              <w:start w:val="single" w:sz="6" w:space="0" w:color="D0D7DE"/>
              <w:bottom w:val="single" w:sz="6" w:space="0" w:color="D0D7DE"/>
              <w:end w:val="nil"/>
            </w:tcBorders>
            <w:shd w:color="auto" w:fill="1B365D"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Function</w:t>
            </w:r>
          </w:p>
        </w:tc>
        <w:tc>
          <w:tcPr>
            <w:tcW w:w="2340" w:type="dxa"/>
            <w:tcBorders>
              <w:top w:val="single" w:sz="6" w:space="0" w:color="D0D7DE"/>
              <w:start w:val="nil"/>
              <w:bottom w:val="single" w:sz="6" w:space="0" w:color="D0D7DE"/>
              <w:end w:val="nil"/>
            </w:tcBorders>
            <w:shd w:color="auto" w:fill="1B365D"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Formula</w:t>
            </w:r>
          </w:p>
        </w:tc>
        <w:tc>
          <w:tcPr>
            <w:tcW w:w="2340" w:type="dxa"/>
            <w:tcBorders>
              <w:top w:val="single" w:sz="6" w:space="0" w:color="D0D7DE"/>
              <w:start w:val="nil"/>
              <w:bottom w:val="single" w:sz="6" w:space="0" w:color="D0D7DE"/>
              <w:end w:val="nil"/>
            </w:tcBorders>
            <w:shd w:color="auto" w:fill="1B365D"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Output Range</w:t>
            </w:r>
          </w:p>
        </w:tc>
        <w:tc>
          <w:tcPr>
            <w:tcW w:w="2340" w:type="dxa"/>
            <w:tcBorders>
              <w:top w:val="single" w:sz="6" w:space="0" w:color="D0D7DE"/>
              <w:start w:val="nil"/>
              <w:bottom w:val="single" w:sz="6" w:space="0" w:color="D0D7DE"/>
              <w:end w:val="single" w:sz="6" w:space="0" w:color="D0D7DE"/>
            </w:tcBorders>
            <w:shd w:color="auto" w:fill="1B365D" w:val="clear"/>
          </w:tcPr>
          <w:p>
            <w:pPr>
              <w:pStyle w:val="Normal"/>
              <w:widowControl/>
              <w:spacing w:before="0" w:after="0"/>
              <w:jc w:val="start"/>
              <w:rPr>
                <w:rFonts w:eastAsia="ＭＳ 明朝" w:cs=""/>
                <w:kern w:val="0"/>
                <w:szCs w:val="22"/>
                <w:lang w:val="en-US" w:eastAsia="en-US" w:bidi="ar-SA"/>
              </w:rPr>
            </w:pPr>
            <w:r>
              <w:rPr>
                <w:rFonts w:eastAsia="ＭＳ 明朝" w:cs=""/>
                <w:b/>
                <w:color w:val="FFFFFF"/>
                <w:kern w:val="0"/>
                <w:sz w:val="18"/>
                <w:szCs w:val="22"/>
                <w:lang w:val="en-US" w:eastAsia="en-US" w:bidi="ar-SA"/>
              </w:rPr>
              <w:t>Primary Use &amp; Characteristics</w:t>
            </w:r>
          </w:p>
        </w:tc>
      </w:tr>
      <w:tr>
        <w:trPr/>
        <w:tc>
          <w:tcPr>
            <w:tcW w:w="2340" w:type="dxa"/>
            <w:tcBorders>
              <w:top w:val="single" w:sz="6" w:space="0" w:color="D0D7DE"/>
              <w:start w:val="single" w:sz="6" w:space="0" w:color="D0D7DE"/>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b/>
                <w:color w:val="1B365D"/>
                <w:kern w:val="0"/>
                <w:sz w:val="18"/>
                <w:szCs w:val="22"/>
                <w:lang w:val="en-US" w:eastAsia="en-US" w:bidi="ar-SA"/>
              </w:rPr>
              <w:t>ReLU</w:t>
            </w:r>
          </w:p>
        </w:tc>
        <w:tc>
          <w:tcPr>
            <w:tcW w:w="2340" w:type="dxa"/>
            <w:tcBorders>
              <w:top w:val="single" w:sz="6" w:space="0" w:color="D0D7DE"/>
              <w:start w:val="nil"/>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f(z) = max(0, z)</w:t>
            </w:r>
          </w:p>
        </w:tc>
        <w:tc>
          <w:tcPr>
            <w:tcW w:w="2340" w:type="dxa"/>
            <w:tcBorders>
              <w:top w:val="single" w:sz="6" w:space="0" w:color="D0D7DE"/>
              <w:start w:val="nil"/>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[0, inf)</w:t>
            </w:r>
          </w:p>
        </w:tc>
        <w:tc>
          <w:tcPr>
            <w:tcW w:w="2340" w:type="dxa"/>
            <w:tcBorders>
              <w:top w:val="single" w:sz="6" w:space="0" w:color="D0D7DE"/>
              <w:start w:val="nil"/>
              <w:bottom w:val="single" w:sz="6" w:space="0" w:color="D0D7DE"/>
              <w:end w:val="single" w:sz="6" w:space="0" w:color="D0D7DE"/>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Default hidden layer choice. Computationally efficient; eliminates vanishing gradients for positive inputs.</w:t>
            </w:r>
          </w:p>
        </w:tc>
      </w:tr>
      <w:tr>
        <w:trPr/>
        <w:tc>
          <w:tcPr>
            <w:tcW w:w="2340" w:type="dxa"/>
            <w:tcBorders>
              <w:top w:val="single" w:sz="6" w:space="0" w:color="D0D7DE"/>
              <w:start w:val="single" w:sz="6" w:space="0" w:color="D0D7DE"/>
              <w:bottom w:val="single" w:sz="6" w:space="0" w:color="D0D7DE"/>
              <w:end w:val="nil"/>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b/>
                <w:color w:val="1B365D"/>
                <w:kern w:val="0"/>
                <w:sz w:val="18"/>
                <w:szCs w:val="22"/>
                <w:lang w:val="en-US" w:eastAsia="en-US" w:bidi="ar-SA"/>
              </w:rPr>
              <w:t>Softmax</w:t>
            </w:r>
          </w:p>
        </w:tc>
        <w:tc>
          <w:tcPr>
            <w:tcW w:w="2340" w:type="dxa"/>
            <w:tcBorders>
              <w:top w:val="single" w:sz="6" w:space="0" w:color="D0D7DE"/>
              <w:start w:val="nil"/>
              <w:bottom w:val="single" w:sz="6" w:space="0" w:color="D0D7DE"/>
              <w:end w:val="nil"/>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sigma(z)_i = exp(z_i) / SUM(exp(z_j))</w:t>
            </w:r>
          </w:p>
        </w:tc>
        <w:tc>
          <w:tcPr>
            <w:tcW w:w="2340" w:type="dxa"/>
            <w:tcBorders>
              <w:top w:val="single" w:sz="6" w:space="0" w:color="D0D7DE"/>
              <w:start w:val="nil"/>
              <w:bottom w:val="single" w:sz="6" w:space="0" w:color="D0D7DE"/>
              <w:end w:val="nil"/>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[0, 1], SUM = 1</w:t>
            </w:r>
          </w:p>
        </w:tc>
        <w:tc>
          <w:tcPr>
            <w:tcW w:w="2340" w:type="dxa"/>
            <w:tcBorders>
              <w:top w:val="single" w:sz="6" w:space="0" w:color="D0D7DE"/>
              <w:start w:val="nil"/>
              <w:bottom w:val="single" w:sz="6" w:space="0" w:color="D0D7DE"/>
              <w:end w:val="single" w:sz="6" w:space="0" w:color="D0D7DE"/>
            </w:tcBorders>
            <w:shd w:color="auto" w:fill="F9FAFB"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Output layer for multi-class classification; converts raw scores (logits) into true probabilities.</w:t>
            </w:r>
          </w:p>
        </w:tc>
      </w:tr>
      <w:tr>
        <w:trPr/>
        <w:tc>
          <w:tcPr>
            <w:tcW w:w="2340" w:type="dxa"/>
            <w:tcBorders>
              <w:top w:val="single" w:sz="6" w:space="0" w:color="D0D7DE"/>
              <w:start w:val="single" w:sz="6" w:space="0" w:color="D0D7DE"/>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b/>
                <w:color w:val="1B365D"/>
                <w:kern w:val="0"/>
                <w:sz w:val="18"/>
                <w:szCs w:val="22"/>
                <w:lang w:val="en-US" w:eastAsia="en-US" w:bidi="ar-SA"/>
              </w:rPr>
              <w:t>Sigmoid</w:t>
            </w:r>
          </w:p>
        </w:tc>
        <w:tc>
          <w:tcPr>
            <w:tcW w:w="2340" w:type="dxa"/>
            <w:tcBorders>
              <w:top w:val="single" w:sz="6" w:space="0" w:color="D0D7DE"/>
              <w:start w:val="nil"/>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sigma(z) = 1 / (1 + exp(-z))</w:t>
            </w:r>
          </w:p>
        </w:tc>
        <w:tc>
          <w:tcPr>
            <w:tcW w:w="2340" w:type="dxa"/>
            <w:tcBorders>
              <w:top w:val="single" w:sz="6" w:space="0" w:color="D0D7DE"/>
              <w:start w:val="nil"/>
              <w:bottom w:val="single" w:sz="6" w:space="0" w:color="D0D7DE"/>
              <w:end w:val="nil"/>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(0, 1)</w:t>
            </w:r>
          </w:p>
        </w:tc>
        <w:tc>
          <w:tcPr>
            <w:tcW w:w="2340" w:type="dxa"/>
            <w:tcBorders>
              <w:top w:val="single" w:sz="6" w:space="0" w:color="D0D7DE"/>
              <w:start w:val="nil"/>
              <w:bottom w:val="single" w:sz="6" w:space="0" w:color="D0D7DE"/>
              <w:end w:val="single" w:sz="6" w:space="0" w:color="D0D7DE"/>
            </w:tcBorders>
            <w:shd w:color="auto" w:fill="FFFFFF" w:val="clear"/>
            <w:tcMar>
              <w:top w:w="50" w:type="dxa"/>
              <w:bottom w:w="50" w:type="dxa"/>
            </w:tcMar>
          </w:tcPr>
          <w:p>
            <w:pPr>
              <w:pStyle w:val="Normal"/>
              <w:widowControl/>
              <w:spacing w:before="0" w:after="0"/>
              <w:jc w:val="start"/>
              <w:rPr>
                <w:rFonts w:eastAsia="ＭＳ 明朝" w:cs=""/>
                <w:kern w:val="0"/>
                <w:szCs w:val="22"/>
                <w:lang w:val="en-US" w:eastAsia="en-US" w:bidi="ar-SA"/>
              </w:rPr>
            </w:pPr>
            <w:r>
              <w:rPr>
                <w:rFonts w:eastAsia="ＭＳ 明朝" w:cs=""/>
                <w:kern w:val="0"/>
                <w:sz w:val="18"/>
                <w:szCs w:val="22"/>
                <w:lang w:val="en-US" w:eastAsia="en-US" w:bidi="ar-SA"/>
              </w:rPr>
              <w:t>Binary classification output. Prone to vanishing gradients in deep hidden layers.</w:t>
            </w:r>
          </w:p>
        </w:tc>
      </w:tr>
    </w:tbl>
    <w:p>
      <w:pPr>
        <w:pStyle w:val="Normal"/>
        <w:spacing w:before="0" w:after="120"/>
        <w:rPr/>
      </w:pPr>
      <w:r>
        <w:rPr/>
      </w:r>
    </w:p>
    <w:p>
      <w:pPr>
        <w:pStyle w:val="Heading1"/>
        <w:rPr/>
      </w:pPr>
      <w:r>
        <w:rPr/>
        <w:t>4. Neural Network Architecture &amp; Hierarchical Representations</w:t>
      </w:r>
    </w:p>
    <w:p>
      <w:pPr>
        <w:pStyle w:val="Normal"/>
        <w:rPr/>
      </w:pPr>
      <w:r>
        <w:rPr/>
        <w:t>Deep architectures stack multiple layers of artificial neurons, enabling hierarchical abstraction.</w:t>
      </w:r>
    </w:p>
    <w:p>
      <w:pPr>
        <w:pStyle w:val="Heading2"/>
        <w:rPr/>
      </w:pPr>
      <w:r>
        <w:rPr/>
        <w:t>4.1 Structural Layers</w:t>
      </w:r>
    </w:p>
    <w:p>
      <w:pPr>
        <w:pStyle w:val="ListBullet"/>
        <w:numPr>
          <w:ilvl w:val="0"/>
          <w:numId w:val="1"/>
        </w:numPr>
        <w:rPr/>
      </w:pPr>
      <w:r>
        <w:rPr>
          <w:b/>
        </w:rPr>
        <w:t xml:space="preserve">Input Layer: </w:t>
      </w:r>
      <w:r>
        <w:rPr/>
        <w:t>Accepts raw inputs without computation or learnable parameters.</w:t>
      </w:r>
    </w:p>
    <w:p>
      <w:pPr>
        <w:pStyle w:val="ListBullet"/>
        <w:numPr>
          <w:ilvl w:val="0"/>
          <w:numId w:val="1"/>
        </w:numPr>
        <w:rPr/>
      </w:pPr>
      <w:r>
        <w:rPr>
          <w:b/>
        </w:rPr>
        <w:t xml:space="preserve">Hidden Layers: </w:t>
      </w:r>
      <w:r>
        <w:rPr/>
        <w:t>Perform transformations to extract feature hierarchies. Early layers learn simple features (edges, lines); middle layers compose them into motifs and textures; deep layers identify whole semantic objects.</w:t>
      </w:r>
    </w:p>
    <w:p>
      <w:pPr>
        <w:pStyle w:val="ListBullet"/>
        <w:numPr>
          <w:ilvl w:val="0"/>
          <w:numId w:val="1"/>
        </w:numPr>
        <w:rPr/>
      </w:pPr>
      <w:r>
        <w:rPr>
          <w:b/>
        </w:rPr>
        <w:t xml:space="preserve">Output Layer: </w:t>
      </w:r>
      <w:r>
        <w:rPr/>
        <w:t>Generates final predictions formatted for the target problem (probabilities for classification, continuous scalars for regression).</w:t>
      </w:r>
    </w:p>
    <w:p>
      <w:pPr>
        <w:pStyle w:val="Heading2"/>
        <w:rPr/>
      </w:pPr>
      <w:r>
        <w:rPr/>
        <w:t>4.2 Convolutional Neural Networks (CNNs)</w:t>
      </w:r>
    </w:p>
    <w:p>
      <w:pPr>
        <w:pStyle w:val="Normal"/>
        <w:rPr/>
      </w:pPr>
      <w:r>
        <w:rPr/>
        <w:t xml:space="preserve">Standard fully connected networks fail on high-resolution image data due to an explosion of parameters. CNNs resolve this using </w:t>
      </w:r>
      <w:r>
        <w:rPr>
          <w:b/>
        </w:rPr>
        <w:t>parameter sharing and local receptive fields</w:t>
      </w:r>
      <w:r>
        <w:rPr/>
        <w:t>. A compact filter (kernel) slides across the input grid, creating a feature map that detects visual patterns invariant to their spatial position.</w:t>
      </w:r>
    </w:p>
    <w:p>
      <w:pPr>
        <w:pStyle w:val="Heading1"/>
        <w:rPr/>
      </w:pPr>
      <w:r>
        <w:rPr/>
        <w:t>5. The Training Loop, Loss &amp; Optimization</w:t>
      </w:r>
    </w:p>
    <w:p>
      <w:pPr>
        <w:pStyle w:val="Normal"/>
        <w:rPr/>
      </w:pPr>
      <w:r>
        <w:rPr/>
        <w:t>Neural networks train via an iterative 4-step loop that minimizes prediction error over empirical samples.</w:t>
      </w:r>
    </w:p>
    <w:tbl>
      <w:tblPr>
        <w:tblStyle w:val="TableGrid"/>
        <w:tblW w:w="9360" w:type="dxa"/>
        <w:jc w:val="center"/>
        <w:tblInd w:w="0" w:type="dxa"/>
        <w:tblLayout w:type="fixed"/>
        <w:tblCellMar>
          <w:top w:w="70" w:type="dxa"/>
          <w:start w:w="120" w:type="dxa"/>
          <w:bottom w:w="70" w:type="dxa"/>
          <w:end w:w="120" w:type="dxa"/>
        </w:tblCellMar>
        <w:tblLook w:noHBand="0" w:noVBand="1" w:firstColumn="1" w:lastRow="0" w:lastColumn="0" w:firstRow="1" w:val="04a0"/>
      </w:tblPr>
      <w:tblGrid>
        <w:gridCol w:w="9360"/>
      </w:tblGrid>
      <w:tr>
        <w:trPr/>
        <w:tc>
          <w:tcPr>
            <w:tcW w:w="9360" w:type="dxa"/>
            <w:tcBorders>
              <w:top w:val="single" w:sz="6" w:space="0" w:color="CBD5E1"/>
              <w:start w:val="single" w:sz="6" w:space="0" w:color="CBD5E1"/>
              <w:bottom w:val="single" w:sz="6" w:space="0" w:color="CBD5E1"/>
              <w:end w:val="single" w:sz="6" w:space="0" w:color="CBD5E1"/>
            </w:tcBorders>
            <w:shd w:color="auto" w:fill="F8FAFC" w:val="clear"/>
          </w:tcPr>
          <w:p>
            <w:pPr>
              <w:pStyle w:val="Normal"/>
              <w:widowControl/>
              <w:spacing w:before="0" w:after="40"/>
              <w:jc w:val="center"/>
              <w:rPr>
                <w:rFonts w:eastAsia="ＭＳ 明朝" w:cs=""/>
                <w:kern w:val="0"/>
                <w:szCs w:val="22"/>
                <w:lang w:val="en-US" w:eastAsia="en-US" w:bidi="ar-SA"/>
              </w:rPr>
            </w:pPr>
            <w:r>
              <w:rPr>
                <w:rFonts w:eastAsia="ＭＳ 明朝" w:cs="" w:ascii="Consolas" w:hAnsi="Consolas"/>
                <w:b/>
                <w:color w:val="1B365D"/>
                <w:kern w:val="0"/>
                <w:sz w:val="21"/>
                <w:szCs w:val="22"/>
                <w:lang w:val="en-US" w:eastAsia="en-US" w:bidi="ar-SA"/>
              </w:rPr>
              <w:t>Forward Pass -&gt; Loss Calculation -&gt; Backpropagation -&gt; Weight Update</w:t>
            </w:r>
          </w:p>
          <w:p>
            <w:pPr>
              <w:pStyle w:val="Normal"/>
              <w:widowControl/>
              <w:spacing w:before="0" w:after="0"/>
              <w:jc w:val="center"/>
              <w:rPr>
                <w:rFonts w:eastAsia="ＭＳ 明朝" w:cs=""/>
                <w:kern w:val="0"/>
                <w:szCs w:val="22"/>
                <w:lang w:val="en-US" w:eastAsia="en-US" w:bidi="ar-SA"/>
              </w:rPr>
            </w:pPr>
            <w:r>
              <w:rPr>
                <w:rFonts w:eastAsia="ＭＳ 明朝" w:cs=""/>
                <w:i/>
                <w:color w:val="64748B"/>
                <w:kern w:val="0"/>
                <w:sz w:val="17"/>
                <w:szCs w:val="22"/>
                <w:lang w:val="en-US" w:eastAsia="en-US" w:bidi="ar-SA"/>
              </w:rPr>
              <w:t>The Universal Deep Learning Optimization Cycle</w:t>
            </w:r>
          </w:p>
        </w:tc>
      </w:tr>
    </w:tbl>
    <w:p>
      <w:pPr>
        <w:pStyle w:val="Normal"/>
        <w:spacing w:before="0" w:after="80"/>
        <w:rPr/>
      </w:pPr>
      <w:r>
        <w:rPr/>
      </w:r>
    </w:p>
    <w:p>
      <w:pPr>
        <w:pStyle w:val="Heading2"/>
        <w:rPr/>
      </w:pPr>
      <w:r>
        <w:rPr/>
        <w:t>5.1 Four Steps of the Training Loop</w:t>
      </w:r>
    </w:p>
    <w:p>
      <w:pPr>
        <w:pStyle w:val="ListBullet"/>
        <w:numPr>
          <w:ilvl w:val="0"/>
          <w:numId w:val="1"/>
        </w:numPr>
        <w:rPr/>
      </w:pPr>
      <w:r>
        <w:rPr>
          <w:b/>
          <w:color w:val="1B365D"/>
        </w:rPr>
        <w:t xml:space="preserve">1. Forward Pass: </w:t>
      </w:r>
      <w:r>
        <w:rPr/>
        <w:t>Input features propagate through successive layers to yield a prediction y_hat.</w:t>
      </w:r>
    </w:p>
    <w:p>
      <w:pPr>
        <w:pStyle w:val="ListBullet"/>
        <w:numPr>
          <w:ilvl w:val="0"/>
          <w:numId w:val="1"/>
        </w:numPr>
        <w:rPr/>
      </w:pPr>
      <w:r>
        <w:rPr>
          <w:b/>
          <w:color w:val="1B365D"/>
        </w:rPr>
        <w:t xml:space="preserve">2. Loss Evaluation: </w:t>
      </w:r>
      <w:r>
        <w:rPr/>
        <w:t>Loss function measures discrepancy between guess y_hat and ground truth y. Single-instance squared error is Loss = (y - y_hat)^2; dataset-wide is Mean Squared Error (MSE).</w:t>
      </w:r>
    </w:p>
    <w:p>
      <w:pPr>
        <w:pStyle w:val="ListBullet"/>
        <w:numPr>
          <w:ilvl w:val="0"/>
          <w:numId w:val="1"/>
        </w:numPr>
        <w:rPr/>
      </w:pPr>
      <w:r>
        <w:rPr>
          <w:b/>
          <w:color w:val="1B365D"/>
        </w:rPr>
        <w:t xml:space="preserve">3. Backpropagation: </w:t>
      </w:r>
      <w:r>
        <w:rPr/>
        <w:t>Calculates the gradient of the loss with respect to every weight using the calculus chain rule, propagating credit/blame backwards.</w:t>
      </w:r>
    </w:p>
    <w:p>
      <w:pPr>
        <w:pStyle w:val="ListBullet"/>
        <w:numPr>
          <w:ilvl w:val="0"/>
          <w:numId w:val="1"/>
        </w:numPr>
        <w:rPr/>
      </w:pPr>
      <w:r>
        <w:rPr>
          <w:b/>
          <w:color w:val="1B365D"/>
        </w:rPr>
        <w:t xml:space="preserve">4. Gradient Descent: </w:t>
      </w:r>
      <w:r>
        <w:rPr/>
        <w:t>Updates weights in the direction that decreases loss: w_new = w_old - (eta * slope), where eta is the learning rate.</w:t>
      </w:r>
    </w:p>
    <w:tbl>
      <w:tblPr>
        <w:tblStyle w:val="TableGrid"/>
        <w:tblW w:w="936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360"/>
      </w:tblGrid>
      <w:tr>
        <w:trPr/>
        <w:tc>
          <w:tcPr>
            <w:tcW w:w="9360" w:type="dxa"/>
            <w:tcBorders>
              <w:top w:val="single" w:sz="8" w:space="0" w:color="2F5496"/>
              <w:start w:val="single" w:sz="8" w:space="0" w:color="2F5496"/>
              <w:bottom w:val="single" w:sz="8" w:space="0" w:color="2F5496"/>
              <w:end w:val="single" w:sz="8" w:space="0" w:color="2F5496"/>
            </w:tcBorders>
            <w:shd w:color="auto" w:fill="F0F4F8" w:val="clear"/>
          </w:tcPr>
          <w:p>
            <w:pPr>
              <w:pStyle w:val="Normal"/>
              <w:widowControl/>
              <w:spacing w:before="0" w:after="20"/>
              <w:jc w:val="start"/>
              <w:rPr>
                <w:rFonts w:eastAsia="ＭＳ 明朝" w:cs=""/>
                <w:kern w:val="0"/>
                <w:szCs w:val="22"/>
                <w:lang w:val="en-US" w:eastAsia="en-US" w:bidi="ar-SA"/>
              </w:rPr>
            </w:pPr>
            <w:r>
              <w:rPr>
                <w:rFonts w:eastAsia="ＭＳ 明朝" w:cs=""/>
                <w:b/>
                <w:color w:val="1B365D"/>
                <w:kern w:val="0"/>
                <w:szCs w:val="22"/>
                <w:lang w:val="en-US" w:eastAsia="en-US" w:bidi="ar-SA"/>
              </w:rPr>
              <w:t xml:space="preserve">LEARNING RATE DYNAMICS: </w:t>
            </w:r>
            <w:r>
              <w:rPr>
                <w:rFonts w:eastAsia="ＭＳ 明朝" w:cs=""/>
                <w:color w:val="282828"/>
                <w:kern w:val="0"/>
                <w:szCs w:val="22"/>
                <w:lang w:val="en-US" w:eastAsia="en-US" w:bidi="ar-SA"/>
              </w:rPr>
              <w:t>The learning rate (eta) governs optimization stability. If eta is too large, parameter updates take excessive strides, overshooting the loss minimum and causing instability or divergence. If eta is too small, updates make minimal progress, drastically slowing convergence.</w:t>
            </w:r>
          </w:p>
        </w:tc>
      </w:tr>
    </w:tbl>
    <w:p>
      <w:pPr>
        <w:pStyle w:val="Normal"/>
        <w:spacing w:before="0" w:after="80"/>
        <w:rPr/>
      </w:pPr>
      <w:r>
        <w:rPr/>
      </w:r>
    </w:p>
    <w:p>
      <w:pPr>
        <w:pStyle w:val="Heading1"/>
        <w:rPr/>
      </w:pPr>
      <w:r>
        <w:rPr/>
        <w:t>6. The Transformer Architecture &amp; Self-Attention</w:t>
      </w:r>
    </w:p>
    <w:p>
      <w:pPr>
        <w:pStyle w:val="Normal"/>
        <w:rPr/>
      </w:pPr>
      <w:r>
        <w:rPr/>
        <w:t>Introduced to overcome the sequential computation bottlenecks of RNNs, the Transformer processes tokens simultaneously using self-attention.</w:t>
      </w:r>
    </w:p>
    <w:p>
      <w:pPr>
        <w:pStyle w:val="Heading2"/>
        <w:rPr/>
      </w:pPr>
      <w:r>
        <w:rPr/>
        <w:t>6.1 Scaled Dot-Product Attention</w:t>
      </w:r>
    </w:p>
    <w:p>
      <w:pPr>
        <w:pStyle w:val="Normal"/>
        <w:rPr/>
      </w:pPr>
      <w:r>
        <w:rPr/>
        <w:t>Self-attention allows each token to dynamically focus on every other token in the sequence based on contextual relevance.</w:t>
      </w:r>
    </w:p>
    <w:tbl>
      <w:tblPr>
        <w:tblStyle w:val="TableGrid"/>
        <w:tblW w:w="9360" w:type="dxa"/>
        <w:jc w:val="center"/>
        <w:tblInd w:w="0" w:type="dxa"/>
        <w:tblLayout w:type="fixed"/>
        <w:tblCellMar>
          <w:top w:w="70" w:type="dxa"/>
          <w:start w:w="120" w:type="dxa"/>
          <w:bottom w:w="70" w:type="dxa"/>
          <w:end w:w="120" w:type="dxa"/>
        </w:tblCellMar>
        <w:tblLook w:noHBand="0" w:noVBand="1" w:firstColumn="1" w:lastRow="0" w:lastColumn="0" w:firstRow="1" w:val="04a0"/>
      </w:tblPr>
      <w:tblGrid>
        <w:gridCol w:w="9360"/>
      </w:tblGrid>
      <w:tr>
        <w:trPr/>
        <w:tc>
          <w:tcPr>
            <w:tcW w:w="9360" w:type="dxa"/>
            <w:tcBorders>
              <w:top w:val="single" w:sz="6" w:space="0" w:color="CBD5E1"/>
              <w:start w:val="single" w:sz="6" w:space="0" w:color="CBD5E1"/>
              <w:bottom w:val="single" w:sz="6" w:space="0" w:color="CBD5E1"/>
              <w:end w:val="single" w:sz="6" w:space="0" w:color="CBD5E1"/>
            </w:tcBorders>
            <w:shd w:color="auto" w:fill="F8FAFC" w:val="clear"/>
          </w:tcPr>
          <w:p>
            <w:pPr>
              <w:pStyle w:val="Normal"/>
              <w:widowControl/>
              <w:spacing w:before="0" w:after="40"/>
              <w:jc w:val="center"/>
              <w:rPr>
                <w:rFonts w:eastAsia="ＭＳ 明朝" w:cs=""/>
                <w:kern w:val="0"/>
                <w:szCs w:val="22"/>
                <w:lang w:val="en-US" w:eastAsia="en-US" w:bidi="ar-SA"/>
              </w:rPr>
            </w:pPr>
            <w:r>
              <w:rPr>
                <w:rFonts w:eastAsia="ＭＳ 明朝" w:cs="" w:ascii="Consolas" w:hAnsi="Consolas"/>
                <w:b/>
                <w:color w:val="1B365D"/>
                <w:kern w:val="0"/>
                <w:sz w:val="21"/>
                <w:szCs w:val="22"/>
                <w:lang w:val="en-US" w:eastAsia="en-US" w:bidi="ar-SA"/>
              </w:rPr>
              <w:t>Attention(Q, K, V) = softmax( (Q * K^T) / sqrt(d_k) ) * V</w:t>
            </w:r>
          </w:p>
          <w:p>
            <w:pPr>
              <w:pStyle w:val="Normal"/>
              <w:widowControl/>
              <w:spacing w:before="0" w:after="0"/>
              <w:jc w:val="center"/>
              <w:rPr>
                <w:rFonts w:eastAsia="ＭＳ 明朝" w:cs=""/>
                <w:kern w:val="0"/>
                <w:szCs w:val="22"/>
                <w:lang w:val="en-US" w:eastAsia="en-US" w:bidi="ar-SA"/>
              </w:rPr>
            </w:pPr>
            <w:r>
              <w:rPr>
                <w:rFonts w:eastAsia="ＭＳ 明朝" w:cs=""/>
                <w:i/>
                <w:color w:val="64748B"/>
                <w:kern w:val="0"/>
                <w:sz w:val="17"/>
                <w:szCs w:val="22"/>
                <w:lang w:val="en-US" w:eastAsia="en-US" w:bidi="ar-SA"/>
              </w:rPr>
              <w:t>The Scaled Dot-Product Attention Equation</w:t>
            </w:r>
          </w:p>
        </w:tc>
      </w:tr>
    </w:tbl>
    <w:p>
      <w:pPr>
        <w:pStyle w:val="Normal"/>
        <w:spacing w:before="0" w:after="80"/>
        <w:rPr/>
      </w:pPr>
      <w:r>
        <w:rPr/>
      </w:r>
    </w:p>
    <w:p>
      <w:pPr>
        <w:pStyle w:val="ListBullet"/>
        <w:numPr>
          <w:ilvl w:val="0"/>
          <w:numId w:val="1"/>
        </w:numPr>
        <w:rPr/>
      </w:pPr>
      <w:r>
        <w:rPr>
          <w:b/>
        </w:rPr>
        <w:t xml:space="preserve">Query (Q): </w:t>
      </w:r>
      <w:r>
        <w:rPr/>
        <w:t>Represents what the current token is seeking in the context.</w:t>
      </w:r>
    </w:p>
    <w:p>
      <w:pPr>
        <w:pStyle w:val="ListBullet"/>
        <w:numPr>
          <w:ilvl w:val="0"/>
          <w:numId w:val="1"/>
        </w:numPr>
        <w:rPr/>
      </w:pPr>
      <w:r>
        <w:rPr>
          <w:b/>
        </w:rPr>
        <w:t xml:space="preserve">Key (K): </w:t>
      </w:r>
      <w:r>
        <w:rPr/>
        <w:t>Represents what each token offers. The dot product (Q * K^T) measures compatibility.</w:t>
      </w:r>
    </w:p>
    <w:p>
      <w:pPr>
        <w:pStyle w:val="ListBullet"/>
        <w:numPr>
          <w:ilvl w:val="0"/>
          <w:numId w:val="1"/>
        </w:numPr>
        <w:rPr/>
      </w:pPr>
      <w:r>
        <w:rPr>
          <w:b/>
        </w:rPr>
        <w:t xml:space="preserve">Value (V): </w:t>
      </w:r>
      <w:r>
        <w:rPr/>
        <w:t>The actual informational content extracted and weighted by attention scores.</w:t>
      </w:r>
    </w:p>
    <w:p>
      <w:pPr>
        <w:pStyle w:val="ListBullet"/>
        <w:numPr>
          <w:ilvl w:val="0"/>
          <w:numId w:val="1"/>
        </w:numPr>
        <w:rPr/>
      </w:pPr>
      <w:r>
        <w:rPr>
          <w:b/>
        </w:rPr>
        <w:t xml:space="preserve">Scaling Factor (1 / sqrt(d_k)): </w:t>
      </w:r>
      <w:r>
        <w:rPr/>
        <w:t>For large vector dimensions d_k, dot products grow large, pushing softmax into regions with vanishingly small gradients. Dividing by sqrt(d_k) stabilizes training.</w:t>
      </w:r>
    </w:p>
    <w:p>
      <w:pPr>
        <w:pStyle w:val="Heading2"/>
        <w:rPr/>
      </w:pPr>
      <w:r>
        <w:rPr/>
        <w:t>6.2 Multi-Head Attention &amp; Positional Encoding</w:t>
      </w:r>
    </w:p>
    <w:p>
      <w:pPr>
        <w:pStyle w:val="Normal"/>
        <w:rPr/>
      </w:pPr>
      <w:r>
        <w:rPr>
          <w:b/>
        </w:rPr>
        <w:t xml:space="preserve">Multi-Head Attention: </w:t>
      </w:r>
      <w:r>
        <w:rPr/>
        <w:t>Projects Q, K, and V into multiple lower-dimensional subspaces, allowing the model to jointly attend to information from different representation subspaces (e.g., grammatical dependencies, semantic references).</w:t>
      </w:r>
    </w:p>
    <w:p>
      <w:pPr>
        <w:pStyle w:val="Normal"/>
        <w:rPr/>
      </w:pPr>
      <w:r>
        <w:rPr>
          <w:b/>
        </w:rPr>
        <w:t xml:space="preserve">Positional Encoding: </w:t>
      </w:r>
      <w:r>
        <w:rPr/>
        <w:t>Because attention treats sequences as unordered sets of tokens, sinusoidal or learned positional vectors are added to initial embeddings to preserve word sequence order:</w:t>
      </w:r>
    </w:p>
    <w:tbl>
      <w:tblPr>
        <w:tblStyle w:val="TableGrid"/>
        <w:tblW w:w="9360" w:type="dxa"/>
        <w:jc w:val="center"/>
        <w:tblInd w:w="0" w:type="dxa"/>
        <w:tblLayout w:type="fixed"/>
        <w:tblCellMar>
          <w:top w:w="70" w:type="dxa"/>
          <w:start w:w="120" w:type="dxa"/>
          <w:bottom w:w="70" w:type="dxa"/>
          <w:end w:w="120" w:type="dxa"/>
        </w:tblCellMar>
        <w:tblLook w:noHBand="0" w:noVBand="1" w:firstColumn="1" w:lastRow="0" w:lastColumn="0" w:firstRow="1" w:val="04a0"/>
      </w:tblPr>
      <w:tblGrid>
        <w:gridCol w:w="9360"/>
      </w:tblGrid>
      <w:tr>
        <w:trPr/>
        <w:tc>
          <w:tcPr>
            <w:tcW w:w="9360" w:type="dxa"/>
            <w:tcBorders>
              <w:top w:val="single" w:sz="6" w:space="0" w:color="CBD5E1"/>
              <w:start w:val="single" w:sz="6" w:space="0" w:color="CBD5E1"/>
              <w:bottom w:val="single" w:sz="6" w:space="0" w:color="CBD5E1"/>
              <w:end w:val="single" w:sz="6" w:space="0" w:color="CBD5E1"/>
            </w:tcBorders>
            <w:shd w:color="auto" w:fill="F8FAFC" w:val="clear"/>
          </w:tcPr>
          <w:p>
            <w:pPr>
              <w:pStyle w:val="Normal"/>
              <w:widowControl/>
              <w:spacing w:before="0" w:after="40"/>
              <w:jc w:val="center"/>
              <w:rPr>
                <w:rFonts w:eastAsia="ＭＳ 明朝" w:cs=""/>
                <w:kern w:val="0"/>
                <w:szCs w:val="22"/>
                <w:lang w:val="en-US" w:eastAsia="en-US" w:bidi="ar-SA"/>
              </w:rPr>
            </w:pPr>
            <w:r>
              <w:rPr>
                <w:rFonts w:eastAsia="ＭＳ 明朝" w:cs="" w:ascii="Consolas" w:hAnsi="Consolas"/>
                <w:b/>
                <w:color w:val="1B365D"/>
                <w:kern w:val="0"/>
                <w:sz w:val="21"/>
                <w:szCs w:val="22"/>
                <w:lang w:val="en-US" w:eastAsia="en-US" w:bidi="ar-SA"/>
              </w:rPr>
              <w:t>PE(pos, 2i) = sin(pos / 10000^(2i/d)),   PE(pos, 2i+1) = cos(pos / 10000^(2i/d))</w:t>
            </w:r>
          </w:p>
          <w:p>
            <w:pPr>
              <w:pStyle w:val="Normal"/>
              <w:widowControl/>
              <w:spacing w:before="0" w:after="0"/>
              <w:jc w:val="center"/>
              <w:rPr>
                <w:rFonts w:eastAsia="ＭＳ 明朝" w:cs=""/>
                <w:kern w:val="0"/>
                <w:szCs w:val="22"/>
                <w:lang w:val="en-US" w:eastAsia="en-US" w:bidi="ar-SA"/>
              </w:rPr>
            </w:pPr>
            <w:r>
              <w:rPr>
                <w:rFonts w:eastAsia="ＭＳ 明朝" w:cs=""/>
                <w:i/>
                <w:color w:val="64748B"/>
                <w:kern w:val="0"/>
                <w:sz w:val="17"/>
                <w:szCs w:val="22"/>
                <w:lang w:val="en-US" w:eastAsia="en-US" w:bidi="ar-SA"/>
              </w:rPr>
              <w:t>Sinusoidal Positional Encoding Formulas</w:t>
            </w:r>
          </w:p>
        </w:tc>
      </w:tr>
    </w:tbl>
    <w:p>
      <w:pPr>
        <w:pStyle w:val="Normal"/>
        <w:spacing w:before="0" w:after="80"/>
        <w:rPr/>
      </w:pPr>
      <w:r>
        <w:rPr/>
      </w:r>
    </w:p>
    <w:p>
      <w:pPr>
        <w:pStyle w:val="Heading1"/>
        <w:rPr/>
      </w:pPr>
      <w:r>
        <w:rPr/>
        <w:t>7. Evaluation, Generalization &amp; Responsible AI</w:t>
      </w:r>
    </w:p>
    <w:p>
      <w:pPr>
        <w:pStyle w:val="Heading2"/>
        <w:rPr/>
      </w:pPr>
      <w:r>
        <w:rPr/>
        <w:t>7.1 Dataset Partitioning &amp; Overfitting</w:t>
      </w:r>
    </w:p>
    <w:p>
      <w:pPr>
        <w:pStyle w:val="ListBullet"/>
        <w:numPr>
          <w:ilvl w:val="0"/>
          <w:numId w:val="1"/>
        </w:numPr>
        <w:rPr/>
      </w:pPr>
      <w:r>
        <w:rPr>
          <w:b/>
        </w:rPr>
        <w:t xml:space="preserve">Training Set: </w:t>
      </w:r>
      <w:r>
        <w:rPr/>
        <w:t>Used exclusively for updating internal weights via backpropagation.</w:t>
      </w:r>
    </w:p>
    <w:p>
      <w:pPr>
        <w:pStyle w:val="ListBullet"/>
        <w:numPr>
          <w:ilvl w:val="0"/>
          <w:numId w:val="1"/>
        </w:numPr>
        <w:rPr/>
      </w:pPr>
      <w:r>
        <w:rPr>
          <w:b/>
        </w:rPr>
        <w:t xml:space="preserve">Validation Set: </w:t>
      </w:r>
      <w:r>
        <w:rPr/>
        <w:t>Used to monitor generalization and tune hyperparameters.</w:t>
      </w:r>
    </w:p>
    <w:p>
      <w:pPr>
        <w:pStyle w:val="ListBullet"/>
        <w:numPr>
          <w:ilvl w:val="0"/>
          <w:numId w:val="1"/>
        </w:numPr>
        <w:rPr/>
      </w:pPr>
      <w:r>
        <w:rPr>
          <w:b/>
        </w:rPr>
        <w:t xml:space="preserve">Test Set: </w:t>
      </w:r>
      <w:r>
        <w:rPr/>
        <w:t>Strictly isolated until final evaluation to assess real-world performance. Never tune weights or hyperparameters on the test set.</w:t>
      </w:r>
    </w:p>
    <w:tbl>
      <w:tblPr>
        <w:tblStyle w:val="TableGrid"/>
        <w:tblW w:w="9360" w:type="dxa"/>
        <w:jc w:val="center"/>
        <w:tblInd w:w="0" w:type="dxa"/>
        <w:tblLayout w:type="fixed"/>
        <w:tblCellMar>
          <w:top w:w="80" w:type="dxa"/>
          <w:start w:w="120" w:type="dxa"/>
          <w:bottom w:w="80" w:type="dxa"/>
          <w:end w:w="120" w:type="dxa"/>
        </w:tblCellMar>
        <w:tblLook w:noHBand="0" w:noVBand="1" w:firstColumn="1" w:lastRow="0" w:lastColumn="0" w:firstRow="1" w:val="04a0"/>
      </w:tblPr>
      <w:tblGrid>
        <w:gridCol w:w="9360"/>
      </w:tblGrid>
      <w:tr>
        <w:trPr/>
        <w:tc>
          <w:tcPr>
            <w:tcW w:w="9360" w:type="dxa"/>
            <w:tcBorders>
              <w:top w:val="single" w:sz="8" w:space="0" w:color="2F5496"/>
              <w:start w:val="single" w:sz="8" w:space="0" w:color="2F5496"/>
              <w:bottom w:val="single" w:sz="8" w:space="0" w:color="2F5496"/>
              <w:end w:val="single" w:sz="8" w:space="0" w:color="2F5496"/>
            </w:tcBorders>
            <w:shd w:color="auto" w:fill="F0F4F8" w:val="clear"/>
          </w:tcPr>
          <w:p>
            <w:pPr>
              <w:pStyle w:val="Normal"/>
              <w:widowControl/>
              <w:spacing w:before="0" w:after="20"/>
              <w:jc w:val="start"/>
              <w:rPr>
                <w:rFonts w:eastAsia="ＭＳ 明朝" w:cs=""/>
                <w:kern w:val="0"/>
                <w:szCs w:val="22"/>
                <w:lang w:val="en-US" w:eastAsia="en-US" w:bidi="ar-SA"/>
              </w:rPr>
            </w:pPr>
            <w:r>
              <w:rPr>
                <w:rFonts w:eastAsia="ＭＳ 明朝" w:cs=""/>
                <w:b/>
                <w:color w:val="1B365D"/>
                <w:kern w:val="0"/>
                <w:szCs w:val="22"/>
                <w:lang w:val="en-US" w:eastAsia="en-US" w:bidi="ar-SA"/>
              </w:rPr>
              <w:t xml:space="preserve">OVERFITTING WARNING: </w:t>
            </w:r>
            <w:r>
              <w:rPr>
                <w:rFonts w:eastAsia="ＭＳ 明朝" w:cs=""/>
                <w:color w:val="282828"/>
                <w:kern w:val="0"/>
                <w:szCs w:val="22"/>
                <w:lang w:val="en-US" w:eastAsia="en-US" w:bidi="ar-SA"/>
              </w:rPr>
              <w:t>Overfitting occurs when a network memorizes noise in the training set rather than learning generalizable patterns. Symptoms include near-zero training loss coupled with high, diverging validation loss.</w:t>
            </w:r>
          </w:p>
        </w:tc>
      </w:tr>
    </w:tbl>
    <w:p>
      <w:pPr>
        <w:pStyle w:val="Normal"/>
        <w:spacing w:before="0" w:after="80"/>
        <w:rPr/>
      </w:pPr>
      <w:r>
        <w:rPr/>
      </w:r>
    </w:p>
    <w:p>
      <w:pPr>
        <w:pStyle w:val="Heading2"/>
        <w:rPr/>
      </w:pPr>
      <w:r>
        <w:rPr/>
        <w:t>7.</w:t>
      </w:r>
      <w:r>
        <w:rPr/>
        <w:t>2</w:t>
      </w:r>
      <w:r>
        <w:rPr/>
        <w:t xml:space="preserve"> Responsible AI &amp; Ethics</w:t>
      </w:r>
    </w:p>
    <w:p>
      <w:pPr>
        <w:pStyle w:val="Normal"/>
        <w:widowControl/>
        <w:bidi w:val="0"/>
        <w:spacing w:lineRule="auto" w:line="276" w:before="0" w:after="80"/>
        <w:jc w:val="start"/>
        <w:rPr/>
      </w:pPr>
      <w:r>
        <w:rPr/>
        <w:t>Deep learning deployments must incorporate ethical vigilance: addressing training data bias (models reproduce historical prejudices), preserving user data privacy, avoiding overconfidence on out-of-distribution inputs, and maintaining human-in-the-loop oversight for safety-critical systems.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808080"/>
        <w:sz w:val="18"/>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808080"/>
        <w:sz w:val="18"/>
      </w:rPr>
      <w:t xml:space="preserve">Page </w:t>
    </w:r>
    <w:r>
      <w:rPr/>
      <w:fldChar w:fldCharType="begin"/>
    </w:r>
    <w:r>
      <w:rPr/>
      <w:instrText xml:space="preserve"> PAGE </w:instrText>
    </w:r>
    <w:r>
      <w:rPr/>
      <w:fldChar w:fldCharType="separate"/>
    </w:r>
    <w:r>
      <w:rPr/>
      <w:t>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08080"/>
        <w:sz w:val="17"/>
      </w:rPr>
      <w:t>Student Revision Guide: Deep Learning &amp; Transformer Architecture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color w:val="808080"/>
        <w:sz w:val="17"/>
      </w:rPr>
      <w:t>Student Revision Guide: Deep Learning &amp; Transformer Architecture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start"/>
    </w:pPr>
    <w:rPr>
      <w:rFonts w:ascii="Calibri" w:hAnsi="Calibri" w:eastAsia="ＭＳ 明朝" w:cs=""/>
      <w:color w:val="262626"/>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80"/>
      <w:outlineLvl w:val="0"/>
    </w:pPr>
    <w:rPr>
      <w:rFonts w:ascii="Calibri" w:hAnsi="Calibri" w:eastAsia="ＭＳ ゴシック" w:cs="" w:asciiTheme="majorHAnsi" w:cstheme="majorBidi" w:eastAsiaTheme="majorEastAsia" w:hAnsiTheme="majorHAnsi"/>
      <w:b/>
      <w:bCs/>
      <w:color w:val="1B365D"/>
      <w:sz w:val="30"/>
      <w:szCs w:val="28"/>
    </w:rPr>
  </w:style>
  <w:style w:type="paragraph" w:styleId="Heading2">
    <w:name w:val="heading 2"/>
    <w:basedOn w:val="Normal"/>
    <w:next w:val="Normal"/>
    <w:link w:val="Heading2Char"/>
    <w:uiPriority w:val="9"/>
    <w:unhideWhenUsed/>
    <w:qFormat/>
    <w:rsid w:val="00fc693f"/>
    <w:pPr>
      <w:keepNext w:val="true"/>
      <w:keepLines/>
      <w:spacing w:before="200" w:after="60"/>
      <w:outlineLvl w:val="1"/>
    </w:pPr>
    <w:rPr>
      <w:rFonts w:ascii="Calibri" w:hAnsi="Calibri" w:eastAsia="ＭＳ ゴシック" w:cs="" w:asciiTheme="majorHAnsi" w:cstheme="majorBidi" w:eastAsiaTheme="majorEastAsia" w:hAnsiTheme="majorHAnsi"/>
      <w:b/>
      <w:bCs/>
      <w:color w:val="2F5496"/>
      <w:sz w:val="24"/>
      <w:szCs w:val="26"/>
    </w:rPr>
  </w:style>
  <w:style w:type="paragraph" w:styleId="Heading3">
    <w:name w:val="heading 3"/>
    <w:basedOn w:val="Normal"/>
    <w:next w:val="Normal"/>
    <w:link w:val="Heading3Char"/>
    <w:uiPriority w:val="9"/>
    <w:unhideWhenUsed/>
    <w:qFormat/>
    <w:rsid w:val="00fc693f"/>
    <w:pPr>
      <w:keepNext w:val="true"/>
      <w:keepLines/>
      <w:spacing w:before="120" w:after="40"/>
      <w:outlineLvl w:val="2"/>
    </w:pPr>
    <w:rPr>
      <w:rFonts w:ascii="Calibri" w:hAnsi="Calibri" w:eastAsia="ＭＳ ゴシック" w:cs="" w:asciiTheme="majorHAnsi" w:cstheme="majorBidi" w:eastAsiaTheme="majorEastAsia" w:hAnsiTheme="majorHAnsi"/>
      <w:b/>
      <w:bCs/>
      <w:color w:val="4B6B94"/>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LibreOffice/26.2.5.2$Linux_X86_64 LibreOffice_project/6d2b0d33fb0f5da53a12f98bed3e9973e56ff1f0</Application>
  <AppVersion>15.0000</AppVersion>
  <Pages>5</Pages>
  <Words>1194</Words>
  <Characters>7523</Characters>
  <CharactersWithSpaces>8600</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2026-09-11T04:01:53Z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