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0"/>
        </w:rPr>
        <w:t>Model Answer Key &amp; Marking Guide</w:t>
      </w:r>
    </w:p>
    <w:p>
      <w:pPr>
        <w:spacing w:after="160"/>
      </w:pPr>
      <w:r>
        <w:rPr>
          <w:rFonts w:ascii="Calibri" w:hAnsi="Calibri"/>
          <w:i/>
          <w:color w:val="646E7D"/>
          <w:sz w:val="22"/>
        </w:rPr>
        <w:t>Catholic University of Rwanda — Faculty of Computing &amp; Information Technology</w:t>
      </w:r>
    </w:p>
    <w:tbl>
      <w:tblPr>
        <w:tblStyle w:val="TableGrid"/>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none"/>
        </w:tblBorders>
      </w:tblPr>
      <w:tblGrid>
        <w:gridCol w:w="2340"/>
        <w:gridCol w:w="2340"/>
        <w:gridCol w:w="2340"/>
        <w:gridCol w:w="2340"/>
      </w:tblGrid>
      <w:tr>
        <w:tc>
          <w:tcPr>
            <w:tcW w:type="dxa" w:w="2340"/>
            <w:shd w:val="clear" w:color="auto" w:fill="F2F4F8"/>
            <w:tcMar>
              <w:top w:w="80" w:type="dxa"/>
              <w:bottom w:w="80" w:type="dxa"/>
              <w:left w:w="100" w:type="dxa"/>
              <w:right w:w="100" w:type="dxa"/>
            </w:tcMar>
          </w:tcPr>
          <w:p>
            <w:pPr>
              <w:spacing w:after="0"/>
              <w:jc w:val="center"/>
            </w:pPr>
            <w:r>
              <w:rPr>
                <w:b/>
                <w:color w:val="646E7D"/>
                <w:sz w:val="17"/>
              </w:rPr>
              <w:t>ASSESSMENT</w:t>
              <w:br/>
            </w:r>
            <w:r>
              <w:rPr>
                <w:b/>
                <w:color w:val="1B365D"/>
                <w:sz w:val="19"/>
              </w:rPr>
              <w:t>Examination Solution Key</w:t>
            </w:r>
          </w:p>
        </w:tc>
        <w:tc>
          <w:tcPr>
            <w:tcW w:type="dxa" w:w="2340"/>
            <w:shd w:val="clear" w:color="auto" w:fill="F2F4F8"/>
            <w:tcMar>
              <w:top w:w="80" w:type="dxa"/>
              <w:bottom w:w="80" w:type="dxa"/>
              <w:left w:w="100" w:type="dxa"/>
              <w:right w:w="100" w:type="dxa"/>
            </w:tcMar>
          </w:tcPr>
          <w:p>
            <w:pPr>
              <w:spacing w:after="0"/>
              <w:jc w:val="center"/>
            </w:pPr>
            <w:r>
              <w:rPr>
                <w:b/>
                <w:color w:val="646E7D"/>
                <w:sz w:val="17"/>
              </w:rPr>
              <w:t>TOTAL MARKS</w:t>
              <w:br/>
            </w:r>
            <w:r>
              <w:rPr>
                <w:b/>
                <w:color w:val="1B365D"/>
                <w:sz w:val="19"/>
              </w:rPr>
              <w:t>15 Marks</w:t>
            </w:r>
          </w:p>
        </w:tc>
        <w:tc>
          <w:tcPr>
            <w:tcW w:type="dxa" w:w="2340"/>
            <w:shd w:val="clear" w:color="auto" w:fill="F2F4F8"/>
            <w:tcMar>
              <w:top w:w="80" w:type="dxa"/>
              <w:bottom w:w="80" w:type="dxa"/>
              <w:left w:w="100" w:type="dxa"/>
              <w:right w:w="100" w:type="dxa"/>
            </w:tcMar>
          </w:tcPr>
          <w:p>
            <w:pPr>
              <w:spacing w:after="0"/>
              <w:jc w:val="center"/>
            </w:pPr>
            <w:r>
              <w:rPr>
                <w:b/>
                <w:color w:val="646E7D"/>
                <w:sz w:val="17"/>
              </w:rPr>
              <w:t>PASS MARK</w:t>
              <w:br/>
            </w:r>
            <w:r>
              <w:rPr>
                <w:b/>
                <w:color w:val="1B365D"/>
                <w:sz w:val="19"/>
              </w:rPr>
              <w:t>50% (7.5 Marks)</w:t>
            </w:r>
          </w:p>
        </w:tc>
        <w:tc>
          <w:tcPr>
            <w:tcW w:type="dxa" w:w="2340"/>
            <w:shd w:val="clear" w:color="auto" w:fill="F2F4F8"/>
            <w:tcMar>
              <w:top w:w="80" w:type="dxa"/>
              <w:bottom w:w="80" w:type="dxa"/>
              <w:left w:w="100" w:type="dxa"/>
              <w:right w:w="100" w:type="dxa"/>
            </w:tcMar>
          </w:tcPr>
          <w:p>
            <w:pPr>
              <w:spacing w:after="0"/>
              <w:jc w:val="center"/>
            </w:pPr>
            <w:r>
              <w:rPr>
                <w:b/>
                <w:color w:val="646E7D"/>
                <w:sz w:val="17"/>
              </w:rPr>
              <w:t>QUESTIONS</w:t>
              <w:br/>
            </w:r>
            <w:r>
              <w:rPr>
                <w:b/>
                <w:color w:val="1B365D"/>
                <w:sz w:val="19"/>
              </w:rPr>
              <w:t>15 Multiple Choice</w:t>
            </w:r>
          </w:p>
        </w:tc>
      </w:tr>
    </w:tbl>
    <w:p>
      <w:pPr>
        <w:spacing w:after="120"/>
      </w:pPr>
    </w:p>
    <w:p>
      <w:pPr>
        <w:pStyle w:val="Heading1"/>
      </w:pPr>
      <w:r>
        <w:t>1. Examination Summary Key</w:t>
      </w:r>
    </w:p>
    <w:tbl>
      <w:tblPr>
        <w:tblStyle w:val="TableGrid"/>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none"/>
        </w:tblBorders>
      </w:tblPr>
      <w:tblGrid>
        <w:gridCol w:w="2340"/>
        <w:gridCol w:w="2340"/>
        <w:gridCol w:w="2340"/>
        <w:gridCol w:w="2340"/>
      </w:tblGrid>
      <w:tr>
        <w:tc>
          <w:tcPr>
            <w:tcW w:type="dxa" w:w="1152"/>
            <w:shd w:val="clear" w:color="auto" w:fill="1B365D"/>
            <w:tcMar>
              <w:top w:w="80" w:type="dxa"/>
              <w:bottom w:w="80" w:type="dxa"/>
              <w:left w:w="100" w:type="dxa"/>
              <w:right w:w="100" w:type="dxa"/>
            </w:tcMar>
          </w:tcPr>
          <w:p>
            <w:pPr>
              <w:spacing w:after="0"/>
              <w:jc w:val="center"/>
            </w:pPr>
            <w:r>
              <w:rPr>
                <w:b/>
                <w:color w:val="FFFFFF"/>
                <w:sz w:val="19"/>
              </w:rPr>
              <w:t>Item</w:t>
            </w:r>
          </w:p>
        </w:tc>
        <w:tc>
          <w:tcPr>
            <w:tcW w:type="dxa" w:w="5328"/>
            <w:shd w:val="clear" w:color="auto" w:fill="1B365D"/>
            <w:tcMar>
              <w:top w:w="80" w:type="dxa"/>
              <w:bottom w:w="80" w:type="dxa"/>
              <w:left w:w="100" w:type="dxa"/>
              <w:right w:w="100" w:type="dxa"/>
            </w:tcMar>
          </w:tcPr>
          <w:p>
            <w:pPr>
              <w:spacing w:after="0"/>
              <w:jc w:val="left"/>
            </w:pPr>
            <w:r>
              <w:rPr>
                <w:b/>
                <w:color w:val="FFFFFF"/>
                <w:sz w:val="19"/>
              </w:rPr>
              <w:t>Topic / Concept Assessed</w:t>
            </w:r>
          </w:p>
        </w:tc>
        <w:tc>
          <w:tcPr>
            <w:tcW w:type="dxa" w:w="1440"/>
            <w:shd w:val="clear" w:color="auto" w:fill="1B365D"/>
            <w:tcMar>
              <w:top w:w="80" w:type="dxa"/>
              <w:bottom w:w="80" w:type="dxa"/>
              <w:left w:w="100" w:type="dxa"/>
              <w:right w:w="100" w:type="dxa"/>
            </w:tcMar>
          </w:tcPr>
          <w:p>
            <w:pPr>
              <w:spacing w:after="0"/>
              <w:jc w:val="center"/>
            </w:pPr>
            <w:r>
              <w:rPr>
                <w:b/>
                <w:color w:val="FFFFFF"/>
                <w:sz w:val="19"/>
              </w:rPr>
              <w:t>Key</w:t>
            </w:r>
          </w:p>
        </w:tc>
        <w:tc>
          <w:tcPr>
            <w:tcW w:type="dxa" w:w="1440"/>
            <w:shd w:val="clear" w:color="auto" w:fill="1B365D"/>
            <w:tcMar>
              <w:top w:w="80" w:type="dxa"/>
              <w:bottom w:w="80" w:type="dxa"/>
              <w:left w:w="100" w:type="dxa"/>
              <w:right w:w="100" w:type="dxa"/>
            </w:tcMar>
          </w:tcPr>
          <w:p>
            <w:pPr>
              <w:spacing w:after="0"/>
              <w:jc w:val="center"/>
            </w:pPr>
            <w:r>
              <w:rPr>
                <w:b/>
                <w:color w:val="FFFFFF"/>
                <w:sz w:val="19"/>
              </w:rPr>
              <w:t>Marks</w:t>
            </w:r>
          </w:p>
        </w:tc>
      </w:tr>
      <w:tr>
        <w:tc>
          <w:tcPr>
            <w:tcW w:type="dxa" w:w="1152"/>
            <w:shd w:val="clear" w:color="auto" w:fill="FFFFFF"/>
            <w:tcMar>
              <w:top w:w="60" w:type="dxa"/>
              <w:bottom w:w="60" w:type="dxa"/>
              <w:left w:w="100" w:type="dxa"/>
              <w:right w:w="100" w:type="dxa"/>
            </w:tcMar>
          </w:tcPr>
          <w:p>
            <w:pPr>
              <w:spacing w:after="0"/>
              <w:jc w:val="center"/>
            </w:pPr>
            <w:r>
              <w:rPr>
                <w:sz w:val="19"/>
              </w:rPr>
              <w:t>Q1</w:t>
            </w:r>
          </w:p>
        </w:tc>
        <w:tc>
          <w:tcPr>
            <w:tcW w:type="dxa" w:w="5328"/>
            <w:shd w:val="clear" w:color="auto" w:fill="FFFFFF"/>
            <w:tcMar>
              <w:top w:w="60" w:type="dxa"/>
              <w:bottom w:w="60" w:type="dxa"/>
              <w:left w:w="100" w:type="dxa"/>
              <w:right w:w="100" w:type="dxa"/>
            </w:tcMar>
          </w:tcPr>
          <w:p>
            <w:pPr>
              <w:spacing w:after="0"/>
              <w:jc w:val="left"/>
            </w:pPr>
            <w:r>
              <w:rPr>
                <w:sz w:val="19"/>
              </w:rPr>
              <w:t>AI Hierarchy (AI vs. ML vs. DL)</w:t>
            </w:r>
          </w:p>
        </w:tc>
        <w:tc>
          <w:tcPr>
            <w:tcW w:type="dxa" w:w="1440"/>
            <w:shd w:val="clear" w:color="auto" w:fill="FFFFFF"/>
            <w:tcMar>
              <w:top w:w="60" w:type="dxa"/>
              <w:bottom w:w="60" w:type="dxa"/>
              <w:left w:w="100" w:type="dxa"/>
              <w:right w:w="100" w:type="dxa"/>
            </w:tcMar>
          </w:tcPr>
          <w:p>
            <w:pPr>
              <w:spacing w:after="0"/>
              <w:jc w:val="center"/>
            </w:pPr>
            <w:r>
              <w:rPr>
                <w:b/>
                <w:color w:val="1B365D"/>
                <w:sz w:val="19"/>
              </w:rPr>
              <w:t>B</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Q2</w:t>
            </w:r>
          </w:p>
        </w:tc>
        <w:tc>
          <w:tcPr>
            <w:tcW w:type="dxa" w:w="5328"/>
            <w:shd w:val="clear" w:color="auto" w:fill="F9FAFB"/>
            <w:tcMar>
              <w:top w:w="60" w:type="dxa"/>
              <w:bottom w:w="60" w:type="dxa"/>
              <w:left w:w="100" w:type="dxa"/>
              <w:right w:w="100" w:type="dxa"/>
            </w:tcMar>
          </w:tcPr>
          <w:p>
            <w:pPr>
              <w:spacing w:after="0"/>
              <w:jc w:val="left"/>
            </w:pPr>
            <w:r>
              <w:rPr>
                <w:sz w:val="19"/>
              </w:rPr>
              <w:t>Neuron Weights and Bias Roles</w:t>
            </w:r>
          </w:p>
        </w:tc>
        <w:tc>
          <w:tcPr>
            <w:tcW w:type="dxa" w:w="1440"/>
            <w:shd w:val="clear" w:color="auto" w:fill="F9FAFB"/>
            <w:tcMar>
              <w:top w:w="60" w:type="dxa"/>
              <w:bottom w:w="60" w:type="dxa"/>
              <w:left w:w="100" w:type="dxa"/>
              <w:right w:w="100" w:type="dxa"/>
            </w:tcMar>
          </w:tcPr>
          <w:p>
            <w:pPr>
              <w:spacing w:after="0"/>
              <w:jc w:val="center"/>
            </w:pPr>
            <w:r>
              <w:rPr>
                <w:b/>
                <w:color w:val="1B365D"/>
                <w:sz w:val="19"/>
              </w:rPr>
              <w:t>B</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Q3</w:t>
            </w:r>
          </w:p>
        </w:tc>
        <w:tc>
          <w:tcPr>
            <w:tcW w:type="dxa" w:w="5328"/>
            <w:shd w:val="clear" w:color="auto" w:fill="FFFFFF"/>
            <w:tcMar>
              <w:top w:w="60" w:type="dxa"/>
              <w:bottom w:w="60" w:type="dxa"/>
              <w:left w:w="100" w:type="dxa"/>
              <w:right w:w="100" w:type="dxa"/>
            </w:tcMar>
          </w:tcPr>
          <w:p>
            <w:pPr>
              <w:spacing w:after="0"/>
              <w:jc w:val="left"/>
            </w:pPr>
            <w:r>
              <w:rPr>
                <w:sz w:val="19"/>
              </w:rPr>
              <w:t>Non-Linear Activation Functions (ReLU)</w:t>
            </w:r>
          </w:p>
        </w:tc>
        <w:tc>
          <w:tcPr>
            <w:tcW w:type="dxa" w:w="1440"/>
            <w:shd w:val="clear" w:color="auto" w:fill="FFFFFF"/>
            <w:tcMar>
              <w:top w:w="60" w:type="dxa"/>
              <w:bottom w:w="60" w:type="dxa"/>
              <w:left w:w="100" w:type="dxa"/>
              <w:right w:w="100" w:type="dxa"/>
            </w:tcMar>
          </w:tcPr>
          <w:p>
            <w:pPr>
              <w:spacing w:after="0"/>
              <w:jc w:val="center"/>
            </w:pPr>
            <w:r>
              <w:rPr>
                <w:b/>
                <w:color w:val="1B365D"/>
                <w:sz w:val="19"/>
              </w:rPr>
              <w:t>A</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Q4</w:t>
            </w:r>
          </w:p>
        </w:tc>
        <w:tc>
          <w:tcPr>
            <w:tcW w:type="dxa" w:w="5328"/>
            <w:shd w:val="clear" w:color="auto" w:fill="F9FAFB"/>
            <w:tcMar>
              <w:top w:w="60" w:type="dxa"/>
              <w:bottom w:w="60" w:type="dxa"/>
              <w:left w:w="100" w:type="dxa"/>
              <w:right w:w="100" w:type="dxa"/>
            </w:tcMar>
          </w:tcPr>
          <w:p>
            <w:pPr>
              <w:spacing w:after="0"/>
              <w:jc w:val="left"/>
            </w:pPr>
            <w:r>
              <w:rPr>
                <w:sz w:val="19"/>
              </w:rPr>
              <w:t>Deep Learning Training Loop Sequence</w:t>
            </w:r>
          </w:p>
        </w:tc>
        <w:tc>
          <w:tcPr>
            <w:tcW w:type="dxa" w:w="1440"/>
            <w:shd w:val="clear" w:color="auto" w:fill="F9FAFB"/>
            <w:tcMar>
              <w:top w:w="60" w:type="dxa"/>
              <w:bottom w:w="60" w:type="dxa"/>
              <w:left w:w="100" w:type="dxa"/>
              <w:right w:w="100" w:type="dxa"/>
            </w:tcMar>
          </w:tcPr>
          <w:p>
            <w:pPr>
              <w:spacing w:after="0"/>
              <w:jc w:val="center"/>
            </w:pPr>
            <w:r>
              <w:rPr>
                <w:b/>
                <w:color w:val="1B365D"/>
                <w:sz w:val="19"/>
              </w:rPr>
              <w:t>B</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Q5</w:t>
            </w:r>
          </w:p>
        </w:tc>
        <w:tc>
          <w:tcPr>
            <w:tcW w:type="dxa" w:w="5328"/>
            <w:shd w:val="clear" w:color="auto" w:fill="FFFFFF"/>
            <w:tcMar>
              <w:top w:w="60" w:type="dxa"/>
              <w:bottom w:w="60" w:type="dxa"/>
              <w:left w:w="100" w:type="dxa"/>
              <w:right w:w="100" w:type="dxa"/>
            </w:tcMar>
          </w:tcPr>
          <w:p>
            <w:pPr>
              <w:spacing w:after="0"/>
              <w:jc w:val="left"/>
            </w:pPr>
            <w:r>
              <w:rPr>
                <w:sz w:val="19"/>
              </w:rPr>
              <w:t>Gradient Descent &amp; Learning Rate Dynamics</w:t>
            </w:r>
          </w:p>
        </w:tc>
        <w:tc>
          <w:tcPr>
            <w:tcW w:type="dxa" w:w="1440"/>
            <w:shd w:val="clear" w:color="auto" w:fill="FFFFFF"/>
            <w:tcMar>
              <w:top w:w="60" w:type="dxa"/>
              <w:bottom w:w="60" w:type="dxa"/>
              <w:left w:w="100" w:type="dxa"/>
              <w:right w:w="100" w:type="dxa"/>
            </w:tcMar>
          </w:tcPr>
          <w:p>
            <w:pPr>
              <w:spacing w:after="0"/>
              <w:jc w:val="center"/>
            </w:pPr>
            <w:r>
              <w:rPr>
                <w:b/>
                <w:color w:val="1B365D"/>
                <w:sz w:val="19"/>
              </w:rPr>
              <w:t>C</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Q6</w:t>
            </w:r>
          </w:p>
        </w:tc>
        <w:tc>
          <w:tcPr>
            <w:tcW w:type="dxa" w:w="5328"/>
            <w:shd w:val="clear" w:color="auto" w:fill="F9FAFB"/>
            <w:tcMar>
              <w:top w:w="60" w:type="dxa"/>
              <w:bottom w:w="60" w:type="dxa"/>
              <w:left w:w="100" w:type="dxa"/>
              <w:right w:w="100" w:type="dxa"/>
            </w:tcMar>
          </w:tcPr>
          <w:p>
            <w:pPr>
              <w:spacing w:after="0"/>
              <w:jc w:val="left"/>
            </w:pPr>
            <w:r>
              <w:rPr>
                <w:sz w:val="19"/>
              </w:rPr>
              <w:t>CNN Parameter Efficiency &amp; Spatial Invariance</w:t>
            </w:r>
          </w:p>
        </w:tc>
        <w:tc>
          <w:tcPr>
            <w:tcW w:type="dxa" w:w="1440"/>
            <w:shd w:val="clear" w:color="auto" w:fill="F9FAFB"/>
            <w:tcMar>
              <w:top w:w="60" w:type="dxa"/>
              <w:bottom w:w="60" w:type="dxa"/>
              <w:left w:w="100" w:type="dxa"/>
              <w:right w:w="100" w:type="dxa"/>
            </w:tcMar>
          </w:tcPr>
          <w:p>
            <w:pPr>
              <w:spacing w:after="0"/>
              <w:jc w:val="center"/>
            </w:pPr>
            <w:r>
              <w:rPr>
                <w:b/>
                <w:color w:val="1B365D"/>
                <w:sz w:val="19"/>
              </w:rPr>
              <w:t>B</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Q7</w:t>
            </w:r>
          </w:p>
        </w:tc>
        <w:tc>
          <w:tcPr>
            <w:tcW w:type="dxa" w:w="5328"/>
            <w:shd w:val="clear" w:color="auto" w:fill="FFFFFF"/>
            <w:tcMar>
              <w:top w:w="60" w:type="dxa"/>
              <w:bottom w:w="60" w:type="dxa"/>
              <w:left w:w="100" w:type="dxa"/>
              <w:right w:w="100" w:type="dxa"/>
            </w:tcMar>
          </w:tcPr>
          <w:p>
            <w:pPr>
              <w:spacing w:after="0"/>
              <w:jc w:val="left"/>
            </w:pPr>
            <w:r>
              <w:rPr>
                <w:sz w:val="19"/>
              </w:rPr>
              <w:t>Softmax Activation Function Purpose</w:t>
            </w:r>
          </w:p>
        </w:tc>
        <w:tc>
          <w:tcPr>
            <w:tcW w:type="dxa" w:w="1440"/>
            <w:shd w:val="clear" w:color="auto" w:fill="FFFFFF"/>
            <w:tcMar>
              <w:top w:w="60" w:type="dxa"/>
              <w:bottom w:w="60" w:type="dxa"/>
              <w:left w:w="100" w:type="dxa"/>
              <w:right w:w="100" w:type="dxa"/>
            </w:tcMar>
          </w:tcPr>
          <w:p>
            <w:pPr>
              <w:spacing w:after="0"/>
              <w:jc w:val="center"/>
            </w:pPr>
            <w:r>
              <w:rPr>
                <w:b/>
                <w:color w:val="1B365D"/>
                <w:sz w:val="19"/>
              </w:rPr>
              <w:t>C</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Q8</w:t>
            </w:r>
          </w:p>
        </w:tc>
        <w:tc>
          <w:tcPr>
            <w:tcW w:type="dxa" w:w="5328"/>
            <w:shd w:val="clear" w:color="auto" w:fill="F9FAFB"/>
            <w:tcMar>
              <w:top w:w="60" w:type="dxa"/>
              <w:bottom w:w="60" w:type="dxa"/>
              <w:left w:w="100" w:type="dxa"/>
              <w:right w:w="100" w:type="dxa"/>
            </w:tcMar>
          </w:tcPr>
          <w:p>
            <w:pPr>
              <w:spacing w:after="0"/>
              <w:jc w:val="left"/>
            </w:pPr>
            <w:r>
              <w:rPr>
                <w:sz w:val="19"/>
              </w:rPr>
              <w:t>Transformer Self-Attention Roles (Q, K, V)</w:t>
            </w:r>
          </w:p>
        </w:tc>
        <w:tc>
          <w:tcPr>
            <w:tcW w:type="dxa" w:w="1440"/>
            <w:shd w:val="clear" w:color="auto" w:fill="F9FAFB"/>
            <w:tcMar>
              <w:top w:w="60" w:type="dxa"/>
              <w:bottom w:w="60" w:type="dxa"/>
              <w:left w:w="100" w:type="dxa"/>
              <w:right w:w="100" w:type="dxa"/>
            </w:tcMar>
          </w:tcPr>
          <w:p>
            <w:pPr>
              <w:spacing w:after="0"/>
              <w:jc w:val="center"/>
            </w:pPr>
            <w:r>
              <w:rPr>
                <w:b/>
                <w:color w:val="1B365D"/>
                <w:sz w:val="19"/>
              </w:rPr>
              <w:t>A</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Q9</w:t>
            </w:r>
          </w:p>
        </w:tc>
        <w:tc>
          <w:tcPr>
            <w:tcW w:type="dxa" w:w="5328"/>
            <w:shd w:val="clear" w:color="auto" w:fill="FFFFFF"/>
            <w:tcMar>
              <w:top w:w="60" w:type="dxa"/>
              <w:bottom w:w="60" w:type="dxa"/>
              <w:left w:w="100" w:type="dxa"/>
              <w:right w:w="100" w:type="dxa"/>
            </w:tcMar>
          </w:tcPr>
          <w:p>
            <w:pPr>
              <w:spacing w:after="0"/>
              <w:jc w:val="left"/>
            </w:pPr>
            <w:r>
              <w:rPr>
                <w:sz w:val="19"/>
              </w:rPr>
              <w:t>Positional Encoding Purpose in Transformers</w:t>
            </w:r>
          </w:p>
        </w:tc>
        <w:tc>
          <w:tcPr>
            <w:tcW w:type="dxa" w:w="1440"/>
            <w:shd w:val="clear" w:color="auto" w:fill="FFFFFF"/>
            <w:tcMar>
              <w:top w:w="60" w:type="dxa"/>
              <w:bottom w:w="60" w:type="dxa"/>
              <w:left w:w="100" w:type="dxa"/>
              <w:right w:w="100" w:type="dxa"/>
            </w:tcMar>
          </w:tcPr>
          <w:p>
            <w:pPr>
              <w:spacing w:after="0"/>
              <w:jc w:val="center"/>
            </w:pPr>
            <w:r>
              <w:rPr>
                <w:b/>
                <w:color w:val="1B365D"/>
                <w:sz w:val="19"/>
              </w:rPr>
              <w:t>B</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Q10</w:t>
            </w:r>
          </w:p>
        </w:tc>
        <w:tc>
          <w:tcPr>
            <w:tcW w:type="dxa" w:w="5328"/>
            <w:shd w:val="clear" w:color="auto" w:fill="F9FAFB"/>
            <w:tcMar>
              <w:top w:w="60" w:type="dxa"/>
              <w:bottom w:w="60" w:type="dxa"/>
              <w:left w:w="100" w:type="dxa"/>
              <w:right w:w="100" w:type="dxa"/>
            </w:tcMar>
          </w:tcPr>
          <w:p>
            <w:pPr>
              <w:spacing w:after="0"/>
              <w:jc w:val="left"/>
            </w:pPr>
            <w:r>
              <w:rPr>
                <w:sz w:val="19"/>
              </w:rPr>
              <w:t>Dataset Splitting &amp; Test Set Integrity</w:t>
            </w:r>
          </w:p>
        </w:tc>
        <w:tc>
          <w:tcPr>
            <w:tcW w:type="dxa" w:w="1440"/>
            <w:shd w:val="clear" w:color="auto" w:fill="F9FAFB"/>
            <w:tcMar>
              <w:top w:w="60" w:type="dxa"/>
              <w:bottom w:w="60" w:type="dxa"/>
              <w:left w:w="100" w:type="dxa"/>
              <w:right w:w="100" w:type="dxa"/>
            </w:tcMar>
          </w:tcPr>
          <w:p>
            <w:pPr>
              <w:spacing w:after="0"/>
              <w:jc w:val="center"/>
            </w:pPr>
            <w:r>
              <w:rPr>
                <w:b/>
                <w:color w:val="1B365D"/>
                <w:sz w:val="19"/>
              </w:rPr>
              <w:t>B</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Q11</w:t>
            </w:r>
          </w:p>
        </w:tc>
        <w:tc>
          <w:tcPr>
            <w:tcW w:type="dxa" w:w="5328"/>
            <w:shd w:val="clear" w:color="auto" w:fill="FFFFFF"/>
            <w:tcMar>
              <w:top w:w="60" w:type="dxa"/>
              <w:bottom w:w="60" w:type="dxa"/>
              <w:left w:w="100" w:type="dxa"/>
              <w:right w:w="100" w:type="dxa"/>
            </w:tcMar>
          </w:tcPr>
          <w:p>
            <w:pPr>
              <w:spacing w:after="0"/>
              <w:jc w:val="left"/>
            </w:pPr>
            <w:r>
              <w:rPr>
                <w:sz w:val="19"/>
              </w:rPr>
              <w:t>Code: Linear Weighted Sum Calculation</w:t>
            </w:r>
          </w:p>
        </w:tc>
        <w:tc>
          <w:tcPr>
            <w:tcW w:type="dxa" w:w="1440"/>
            <w:shd w:val="clear" w:color="auto" w:fill="FFFFFF"/>
            <w:tcMar>
              <w:top w:w="60" w:type="dxa"/>
              <w:bottom w:w="60" w:type="dxa"/>
              <w:left w:w="100" w:type="dxa"/>
              <w:right w:w="100" w:type="dxa"/>
            </w:tcMar>
          </w:tcPr>
          <w:p>
            <w:pPr>
              <w:spacing w:after="0"/>
              <w:jc w:val="center"/>
            </w:pPr>
            <w:r>
              <w:rPr>
                <w:b/>
                <w:color w:val="1B365D"/>
                <w:sz w:val="19"/>
              </w:rPr>
              <w:t>B</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Q12</w:t>
            </w:r>
          </w:p>
        </w:tc>
        <w:tc>
          <w:tcPr>
            <w:tcW w:type="dxa" w:w="5328"/>
            <w:shd w:val="clear" w:color="auto" w:fill="F9FAFB"/>
            <w:tcMar>
              <w:top w:w="60" w:type="dxa"/>
              <w:bottom w:w="60" w:type="dxa"/>
              <w:left w:w="100" w:type="dxa"/>
              <w:right w:w="100" w:type="dxa"/>
            </w:tcMar>
          </w:tcPr>
          <w:p>
            <w:pPr>
              <w:spacing w:after="0"/>
              <w:jc w:val="left"/>
            </w:pPr>
            <w:r>
              <w:rPr>
                <w:sz w:val="19"/>
              </w:rPr>
              <w:t>Code: ReLU Activation Evaluation</w:t>
            </w:r>
          </w:p>
        </w:tc>
        <w:tc>
          <w:tcPr>
            <w:tcW w:type="dxa" w:w="1440"/>
            <w:shd w:val="clear" w:color="auto" w:fill="F9FAFB"/>
            <w:tcMar>
              <w:top w:w="60" w:type="dxa"/>
              <w:bottom w:w="60" w:type="dxa"/>
              <w:left w:w="100" w:type="dxa"/>
              <w:right w:w="100" w:type="dxa"/>
            </w:tcMar>
          </w:tcPr>
          <w:p>
            <w:pPr>
              <w:spacing w:after="0"/>
              <w:jc w:val="center"/>
            </w:pPr>
            <w:r>
              <w:rPr>
                <w:b/>
                <w:color w:val="1B365D"/>
                <w:sz w:val="19"/>
              </w:rPr>
              <w:t>C</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Q13</w:t>
            </w:r>
          </w:p>
        </w:tc>
        <w:tc>
          <w:tcPr>
            <w:tcW w:type="dxa" w:w="5328"/>
            <w:shd w:val="clear" w:color="auto" w:fill="FFFFFF"/>
            <w:tcMar>
              <w:top w:w="60" w:type="dxa"/>
              <w:bottom w:w="60" w:type="dxa"/>
              <w:left w:w="100" w:type="dxa"/>
              <w:right w:w="100" w:type="dxa"/>
            </w:tcMar>
          </w:tcPr>
          <w:p>
            <w:pPr>
              <w:spacing w:after="0"/>
              <w:jc w:val="left"/>
            </w:pPr>
            <w:r>
              <w:rPr>
                <w:sz w:val="19"/>
              </w:rPr>
              <w:t>Code: Squared Error Loss Evaluation</w:t>
            </w:r>
          </w:p>
        </w:tc>
        <w:tc>
          <w:tcPr>
            <w:tcW w:type="dxa" w:w="1440"/>
            <w:shd w:val="clear" w:color="auto" w:fill="FFFFFF"/>
            <w:tcMar>
              <w:top w:w="60" w:type="dxa"/>
              <w:bottom w:w="60" w:type="dxa"/>
              <w:left w:w="100" w:type="dxa"/>
              <w:right w:w="100" w:type="dxa"/>
            </w:tcMar>
          </w:tcPr>
          <w:p>
            <w:pPr>
              <w:spacing w:after="0"/>
              <w:jc w:val="center"/>
            </w:pPr>
            <w:r>
              <w:rPr>
                <w:b/>
                <w:color w:val="1B365D"/>
                <w:sz w:val="19"/>
              </w:rPr>
              <w:t>C</w:t>
            </w:r>
          </w:p>
        </w:tc>
        <w:tc>
          <w:tcPr>
            <w:tcW w:type="dxa" w:w="1440"/>
            <w:shd w:val="clear" w:color="auto" w:fill="FFFFFF"/>
            <w:tcMar>
              <w:top w:w="60" w:type="dxa"/>
              <w:bottom w:w="60" w:type="dxa"/>
              <w:left w:w="100" w:type="dxa"/>
              <w:right w:w="100" w:type="dxa"/>
            </w:tcMar>
          </w:tcPr>
          <w:p>
            <w:pPr>
              <w:spacing w:after="0"/>
              <w:jc w:val="center"/>
            </w:pPr>
            <w:r>
              <w:rPr>
                <w:sz w:val="19"/>
              </w:rPr>
              <w:t>1.0</w:t>
            </w:r>
          </w:p>
        </w:tc>
      </w:tr>
      <w:tr>
        <w:tc>
          <w:tcPr>
            <w:tcW w:type="dxa" w:w="1152"/>
            <w:shd w:val="clear" w:color="auto" w:fill="F9FAFB"/>
            <w:tcMar>
              <w:top w:w="60" w:type="dxa"/>
              <w:bottom w:w="60" w:type="dxa"/>
              <w:left w:w="100" w:type="dxa"/>
              <w:right w:w="100" w:type="dxa"/>
            </w:tcMar>
          </w:tcPr>
          <w:p>
            <w:pPr>
              <w:spacing w:after="0"/>
              <w:jc w:val="center"/>
            </w:pPr>
            <w:r>
              <w:rPr>
                <w:sz w:val="19"/>
              </w:rPr>
              <w:t>Q14</w:t>
            </w:r>
          </w:p>
        </w:tc>
        <w:tc>
          <w:tcPr>
            <w:tcW w:type="dxa" w:w="5328"/>
            <w:shd w:val="clear" w:color="auto" w:fill="F9FAFB"/>
            <w:tcMar>
              <w:top w:w="60" w:type="dxa"/>
              <w:bottom w:w="60" w:type="dxa"/>
              <w:left w:w="100" w:type="dxa"/>
              <w:right w:w="100" w:type="dxa"/>
            </w:tcMar>
          </w:tcPr>
          <w:p>
            <w:pPr>
              <w:spacing w:after="0"/>
              <w:jc w:val="left"/>
            </w:pPr>
            <w:r>
              <w:rPr>
                <w:sz w:val="19"/>
              </w:rPr>
              <w:t>Code: Gradient Descent Weight Update</w:t>
            </w:r>
          </w:p>
        </w:tc>
        <w:tc>
          <w:tcPr>
            <w:tcW w:type="dxa" w:w="1440"/>
            <w:shd w:val="clear" w:color="auto" w:fill="F9FAFB"/>
            <w:tcMar>
              <w:top w:w="60" w:type="dxa"/>
              <w:bottom w:w="60" w:type="dxa"/>
              <w:left w:w="100" w:type="dxa"/>
              <w:right w:w="100" w:type="dxa"/>
            </w:tcMar>
          </w:tcPr>
          <w:p>
            <w:pPr>
              <w:spacing w:after="0"/>
              <w:jc w:val="center"/>
            </w:pPr>
            <w:r>
              <w:rPr>
                <w:b/>
                <w:color w:val="1B365D"/>
                <w:sz w:val="19"/>
              </w:rPr>
              <w:t>A</w:t>
            </w:r>
          </w:p>
        </w:tc>
        <w:tc>
          <w:tcPr>
            <w:tcW w:type="dxa" w:w="1440"/>
            <w:shd w:val="clear" w:color="auto" w:fill="F9FAFB"/>
            <w:tcMar>
              <w:top w:w="60" w:type="dxa"/>
              <w:bottom w:w="60" w:type="dxa"/>
              <w:left w:w="100" w:type="dxa"/>
              <w:right w:w="100" w:type="dxa"/>
            </w:tcMar>
          </w:tcPr>
          <w:p>
            <w:pPr>
              <w:spacing w:after="0"/>
              <w:jc w:val="center"/>
            </w:pPr>
            <w:r>
              <w:rPr>
                <w:sz w:val="19"/>
              </w:rPr>
              <w:t>1.0</w:t>
            </w:r>
          </w:p>
        </w:tc>
      </w:tr>
      <w:tr>
        <w:tc>
          <w:tcPr>
            <w:tcW w:type="dxa" w:w="1152"/>
            <w:shd w:val="clear" w:color="auto" w:fill="FFFFFF"/>
            <w:tcMar>
              <w:top w:w="60" w:type="dxa"/>
              <w:bottom w:w="60" w:type="dxa"/>
              <w:left w:w="100" w:type="dxa"/>
              <w:right w:w="100" w:type="dxa"/>
            </w:tcMar>
          </w:tcPr>
          <w:p>
            <w:pPr>
              <w:spacing w:after="0"/>
              <w:jc w:val="center"/>
            </w:pPr>
            <w:r>
              <w:rPr>
                <w:sz w:val="19"/>
              </w:rPr>
              <w:t>Q15</w:t>
            </w:r>
          </w:p>
        </w:tc>
        <w:tc>
          <w:tcPr>
            <w:tcW w:type="dxa" w:w="5328"/>
            <w:shd w:val="clear" w:color="auto" w:fill="FFFFFF"/>
            <w:tcMar>
              <w:top w:w="60" w:type="dxa"/>
              <w:bottom w:w="60" w:type="dxa"/>
              <w:left w:w="100" w:type="dxa"/>
              <w:right w:w="100" w:type="dxa"/>
            </w:tcMar>
          </w:tcPr>
          <w:p>
            <w:pPr>
              <w:spacing w:after="0"/>
              <w:jc w:val="left"/>
            </w:pPr>
            <w:r>
              <w:rPr>
                <w:sz w:val="19"/>
              </w:rPr>
              <w:t>Code: Attention Scaling Factor (sqrt(d_k))</w:t>
            </w:r>
          </w:p>
        </w:tc>
        <w:tc>
          <w:tcPr>
            <w:tcW w:type="dxa" w:w="1440"/>
            <w:shd w:val="clear" w:color="auto" w:fill="FFFFFF"/>
            <w:tcMar>
              <w:top w:w="60" w:type="dxa"/>
              <w:bottom w:w="60" w:type="dxa"/>
              <w:left w:w="100" w:type="dxa"/>
              <w:right w:w="100" w:type="dxa"/>
            </w:tcMar>
          </w:tcPr>
          <w:p>
            <w:pPr>
              <w:spacing w:after="0"/>
              <w:jc w:val="center"/>
            </w:pPr>
            <w:r>
              <w:rPr>
                <w:b/>
                <w:color w:val="1B365D"/>
                <w:sz w:val="19"/>
              </w:rPr>
              <w:t>C</w:t>
            </w:r>
          </w:p>
        </w:tc>
        <w:tc>
          <w:tcPr>
            <w:tcW w:type="dxa" w:w="1440"/>
            <w:shd w:val="clear" w:color="auto" w:fill="FFFFFF"/>
            <w:tcMar>
              <w:top w:w="60" w:type="dxa"/>
              <w:bottom w:w="60" w:type="dxa"/>
              <w:left w:w="100" w:type="dxa"/>
              <w:right w:w="100" w:type="dxa"/>
            </w:tcMar>
          </w:tcPr>
          <w:p>
            <w:pPr>
              <w:spacing w:after="0"/>
              <w:jc w:val="center"/>
            </w:pPr>
            <w:r>
              <w:rPr>
                <w:sz w:val="19"/>
              </w:rPr>
              <w:t>1.0</w:t>
            </w:r>
          </w:p>
        </w:tc>
      </w:tr>
    </w:tbl>
    <w:p>
      <w:pPr>
        <w:spacing w:after="200"/>
      </w:pPr>
    </w:p>
    <w:p>
      <w:r>
        <w:br w:type="page"/>
      </w:r>
    </w:p>
    <w:p>
      <w:pPr>
        <w:pStyle w:val="Heading1"/>
      </w:pPr>
      <w:r>
        <w:t>2. Detailed Question-by-Question Justifications</w:t>
      </w:r>
    </w:p>
    <w:p>
      <w:pPr>
        <w:pStyle w:val="Heading2"/>
      </w:pPr>
      <w:r>
        <w:t>Question 1: AI, Machine Learning, and Deep Learning Relationship</w:t>
      </w:r>
    </w:p>
    <w:p>
      <w:pPr>
        <w:spacing w:before="40" w:after="60"/>
      </w:pPr>
      <w:r>
        <w:rPr>
          <w:b/>
          <w:color w:val="1B365D"/>
        </w:rPr>
        <w:t xml:space="preserve">Correct Answer: </w:t>
      </w:r>
      <w:r>
        <w:rPr>
          <w:b/>
          <w:color w:val="2F5496"/>
        </w:rPr>
        <w:t>Option [B] — Deep learning is an advanced subset of machine learning, which itself is a subset of AI.</w:t>
      </w:r>
    </w:p>
    <w:p>
      <w:pPr>
        <w:spacing w:after="120"/>
      </w:pPr>
      <w:r>
        <w:rPr>
          <w:b/>
        </w:rPr>
        <w:t xml:space="preserve">Justification &amp; Analysis: </w:t>
      </w:r>
      <w:r>
        <w:t>Artificial Intelligence represents the umbrella discipline focused on machines simulating intelligent behavior. Machine Learning is a specialized branch where computers derive decision rules from examples rather than programmed code. Deep Learning is an advanced subset of ML that uses multi-layered neural networks to learn representations from raw data end-to-end without manual feature engineering.</w:t>
      </w:r>
    </w:p>
    <w:p>
      <w:pPr>
        <w:pStyle w:val="Heading2"/>
      </w:pPr>
      <w:r>
        <w:t>Question 2: Weights and Biases in an Artificial Neuron</w:t>
      </w:r>
    </w:p>
    <w:p>
      <w:pPr>
        <w:spacing w:before="40" w:after="60"/>
      </w:pPr>
      <w:r>
        <w:rPr>
          <w:b/>
          <w:color w:val="1B365D"/>
        </w:rPr>
        <w:t xml:space="preserve">Correct Answer: </w:t>
      </w:r>
      <w:r>
        <w:rPr>
          <w:b/>
          <w:color w:val="2F5496"/>
        </w:rPr>
        <w:t>Option [B] — The weight decides how much an input matters (connection strength), while the bias acts as an offset that lets the neuron shift its decision-making instead of being forced to start from zero.</w:t>
      </w:r>
    </w:p>
    <w:p>
      <w:pPr>
        <w:spacing w:after="120"/>
      </w:pPr>
      <w:r>
        <w:rPr>
          <w:b/>
        </w:rPr>
        <w:t xml:space="preserve">Justification &amp; Analysis: </w:t>
      </w:r>
      <w:r>
        <w:t>Weights scale each input feature to represent its relative importance. Bias acts as an additive constant that allows the activation function to shift horizontally, ensuring the neuron does not pass rigidly through zero when all inputs are null.</w:t>
      </w:r>
    </w:p>
    <w:p>
      <w:pPr>
        <w:pStyle w:val="Heading2"/>
      </w:pPr>
      <w:r>
        <w:t>Question 3: Mathematical Purpose of Non-Linear Activations</w:t>
      </w:r>
    </w:p>
    <w:p>
      <w:pPr>
        <w:spacing w:before="40" w:after="60"/>
      </w:pPr>
      <w:r>
        <w:rPr>
          <w:b/>
          <w:color w:val="1B365D"/>
        </w:rPr>
        <w:t xml:space="preserve">Correct Answer: </w:t>
      </w:r>
      <w:r>
        <w:rPr>
          <w:b/>
          <w:color w:val="2F5496"/>
        </w:rPr>
        <w:t>Option [A] — Without non-linear activation functions, stacked layers collapse into a single straight-line (linear) transformation regardless of depth.</w:t>
      </w:r>
    </w:p>
    <w:p>
      <w:pPr>
        <w:spacing w:after="120"/>
      </w:pPr>
      <w:r>
        <w:rPr>
          <w:b/>
        </w:rPr>
        <w:t xml:space="preserve">Justification &amp; Analysis: </w:t>
      </w:r>
      <w:r>
        <w:t>Linear combinations of linear functions always yield another linear function. To approximate non-linear boundaries, curves, and high-dimensional manifolds, non-linear activation functions (such as ReLU) must be applied between layers.</w:t>
      </w:r>
    </w:p>
    <w:p>
      <w:pPr>
        <w:pStyle w:val="Heading2"/>
      </w:pPr>
      <w:r>
        <w:t>Question 4: Standard Deep Learning Training Loop</w:t>
      </w:r>
    </w:p>
    <w:p>
      <w:pPr>
        <w:spacing w:before="40" w:after="60"/>
      </w:pPr>
      <w:r>
        <w:rPr>
          <w:b/>
          <w:color w:val="1B365D"/>
        </w:rPr>
        <w:t xml:space="preserve">Correct Answer: </w:t>
      </w:r>
      <w:r>
        <w:rPr>
          <w:b/>
          <w:color w:val="2F5496"/>
        </w:rPr>
        <w:t>Option [B] — Forward pass (guess y_hat) -&gt; Loss evaluation (compare y_hat to true answer) -&gt; Backpropagation (assign credit/responsibility backward) -&gt; Parameter update.</w:t>
      </w:r>
    </w:p>
    <w:p>
      <w:pPr>
        <w:spacing w:after="120"/>
      </w:pPr>
      <w:r>
        <w:rPr>
          <w:b/>
        </w:rPr>
        <w:t xml:space="preserve">Justification &amp; Analysis: </w:t>
      </w:r>
      <w:r>
        <w:t>Training iteratively executes: (1) forward computation through network layers to output prediction y_hat; (2) computing loss by comparing prediction against ground-truth labels; (3) backpropagating the error gradient layer-by-layer; (4) updating weights using gradient descent.</w:t>
      </w:r>
    </w:p>
    <w:p>
      <w:pPr>
        <w:pStyle w:val="Heading2"/>
      </w:pPr>
      <w:r>
        <w:t>Question 5: Gradient Descent &amp; Learning Rate Dynamics</w:t>
      </w:r>
    </w:p>
    <w:p>
      <w:pPr>
        <w:spacing w:before="40" w:after="60"/>
      </w:pPr>
      <w:r>
        <w:rPr>
          <w:b/>
          <w:color w:val="1B365D"/>
        </w:rPr>
        <w:t xml:space="preserve">Correct Answer: </w:t>
      </w:r>
      <w:r>
        <w:rPr>
          <w:b/>
          <w:color w:val="2F5496"/>
        </w:rPr>
        <w:t>Option [C] — Too large can overshoot the minimum or cause erratic updates; too small makes training excessively slow.</w:t>
      </w:r>
    </w:p>
    <w:p>
      <w:pPr>
        <w:spacing w:after="120"/>
      </w:pPr>
      <w:r>
        <w:rPr>
          <w:b/>
        </w:rPr>
        <w:t xml:space="preserve">Justification &amp; Analysis: </w:t>
      </w:r>
      <w:r>
        <w:t>The update rule w &lt;- w - eta * gradient relies heavily on the step size (learning rate eta). An overly aggressive step can overshoot the local minimum or diverge, whereas an excessively conservative step leads to agonizingly slow convergence or premature plateauing.</w:t>
      </w:r>
    </w:p>
    <w:p>
      <w:pPr>
        <w:pStyle w:val="Heading2"/>
      </w:pPr>
      <w:r>
        <w:t>Question 6: Convolutional Neural Networks for Image Processing</w:t>
      </w:r>
    </w:p>
    <w:p>
      <w:pPr>
        <w:spacing w:before="40" w:after="60"/>
      </w:pPr>
      <w:r>
        <w:rPr>
          <w:b/>
          <w:color w:val="1B365D"/>
        </w:rPr>
        <w:t xml:space="preserve">Correct Answer: </w:t>
      </w:r>
      <w:r>
        <w:rPr>
          <w:b/>
          <w:color w:val="2F5496"/>
        </w:rPr>
        <w:t>Option [B] — A small sliding filter/kernel can detect the same pattern (like an edge) anywhere across an image using far fewer parameters than connecting every pixel to every neuron.</w:t>
      </w:r>
    </w:p>
    <w:p>
      <w:pPr>
        <w:spacing w:after="120"/>
      </w:pPr>
      <w:r>
        <w:rPr>
          <w:b/>
        </w:rPr>
        <w:t xml:space="preserve">Justification &amp; Analysis: </w:t>
      </w:r>
      <w:r>
        <w:t>CNNs leverage spatial parameter sharing: a compact filter slides across the image grid to produce feature maps. This provides translation invariance and eliminates the massive parameter explosion associated with fully connected layers.</w:t>
      </w:r>
    </w:p>
    <w:p>
      <w:pPr>
        <w:pStyle w:val="Heading2"/>
      </w:pPr>
      <w:r>
        <w:t>Question 7: Softmax Function at Network Output</w:t>
      </w:r>
    </w:p>
    <w:p>
      <w:pPr>
        <w:spacing w:before="40" w:after="60"/>
      </w:pPr>
      <w:r>
        <w:rPr>
          <w:b/>
          <w:color w:val="1B365D"/>
        </w:rPr>
        <w:t xml:space="preserve">Correct Answer: </w:t>
      </w:r>
      <w:r>
        <w:rPr>
          <w:b/>
          <w:color w:val="2F5496"/>
        </w:rPr>
        <w:t>Option [C] — It converts raw numerical output scores into a probability-like distribution where scores are positive and sum to 100% (or 1.0).</w:t>
      </w:r>
    </w:p>
    <w:p>
      <w:pPr>
        <w:spacing w:after="120"/>
      </w:pPr>
      <w:r>
        <w:rPr>
          <w:b/>
        </w:rPr>
        <w:t xml:space="preserve">Justification &amp; Analysis: </w:t>
      </w:r>
      <w:r>
        <w:t>Softmax exponentiates raw logits and divides each by the sum of exponentiated logits across all classes. This guarantees that output scores are strictly positive and sum to 1.0, representing a categorical probability distribution.</w:t>
      </w:r>
    </w:p>
    <w:p>
      <w:pPr>
        <w:pStyle w:val="Heading2"/>
      </w:pPr>
      <w:r>
        <w:t>Question 8: Transformer Attention Components (Q, K, V)</w:t>
      </w:r>
    </w:p>
    <w:p>
      <w:pPr>
        <w:spacing w:before="40" w:after="60"/>
      </w:pPr>
      <w:r>
        <w:rPr>
          <w:b/>
          <w:color w:val="1B365D"/>
        </w:rPr>
        <w:t xml:space="preserve">Correct Answer: </w:t>
      </w:r>
      <w:r>
        <w:rPr>
          <w:b/>
          <w:color w:val="2F5496"/>
        </w:rPr>
        <w:t>Option [A] — Q is the Query (what a word is looking for), K is the Key (what each word can offer), and V is the Value (the actual information passed along).</w:t>
      </w:r>
    </w:p>
    <w:p>
      <w:pPr>
        <w:spacing w:after="120"/>
      </w:pPr>
      <w:r>
        <w:rPr>
          <w:b/>
        </w:rPr>
        <w:t xml:space="preserve">Justification &amp; Analysis: </w:t>
      </w:r>
      <w:r>
        <w:t>In self-attention, Query vectors probe the sequence, Key vectors are matched against queries via dot products to determine attention weights, and Value vectors contain the information scaled and summed according to those weights.</w:t>
      </w:r>
    </w:p>
    <w:p>
      <w:pPr>
        <w:pStyle w:val="Heading2"/>
      </w:pPr>
      <w:r>
        <w:t>Question 9: Positional Encodings in Transformers</w:t>
      </w:r>
    </w:p>
    <w:p>
      <w:pPr>
        <w:spacing w:before="40" w:after="60"/>
      </w:pPr>
      <w:r>
        <w:rPr>
          <w:b/>
          <w:color w:val="1B365D"/>
        </w:rPr>
        <w:t xml:space="preserve">Correct Answer: </w:t>
      </w:r>
      <w:r>
        <w:rPr>
          <w:b/>
          <w:color w:val="2F5496"/>
        </w:rPr>
        <w:t>Option [B] — Self-attention operations alone process all tokens in parallel without inherent awareness of word order or sequence position.</w:t>
      </w:r>
    </w:p>
    <w:p>
      <w:pPr>
        <w:spacing w:after="120"/>
      </w:pPr>
      <w:r>
        <w:rPr>
          <w:b/>
        </w:rPr>
        <w:t xml:space="preserve">Justification &amp; Analysis: </w:t>
      </w:r>
      <w:r>
        <w:t>Unlike recurrent networks that ingest tokens sequentially, Transformers process all positions simultaneously. Sinusoidal positional encodings inject unique mathematical position vectors into token embeddings, preserving syntactic order.</w:t>
      </w:r>
    </w:p>
    <w:p>
      <w:pPr>
        <w:pStyle w:val="Heading2"/>
      </w:pPr>
      <w:r>
        <w:t>Question 10: Prohibition of Tuning on Test Data</w:t>
      </w:r>
    </w:p>
    <w:p>
      <w:pPr>
        <w:spacing w:before="40" w:after="60"/>
      </w:pPr>
      <w:r>
        <w:rPr>
          <w:b/>
          <w:color w:val="1B365D"/>
        </w:rPr>
        <w:t xml:space="preserve">Correct Answer: </w:t>
      </w:r>
      <w:r>
        <w:rPr>
          <w:b/>
          <w:color w:val="2F5496"/>
        </w:rPr>
        <w:t>Option [B] — Doing so makes the 'final exam' part of practice, leading to self-deception and invalidating the assessment of true generalization.</w:t>
      </w:r>
    </w:p>
    <w:p>
      <w:pPr>
        <w:spacing w:after="120"/>
      </w:pPr>
      <w:r>
        <w:rPr>
          <w:b/>
        </w:rPr>
        <w:t xml:space="preserve">Justification &amp; Analysis: </w:t>
      </w:r>
      <w:r>
        <w:t>The test dataset serves strictly as an untouched benchmark for measuring generalization to unseen data. Tuning model architecture, hyperparameters, or weights on the test set causes data leakage and optimistic bias.</w:t>
      </w:r>
    </w:p>
    <w:p>
      <w:pPr>
        <w:pStyle w:val="Heading2"/>
      </w:pPr>
      <w:r>
        <w:t>Question 11: Linear Weighted Sum Calculation (Code Snippet)</w:t>
      </w:r>
    </w:p>
    <w:p>
      <w:pPr>
        <w:spacing w:before="40" w:after="60"/>
      </w:pPr>
      <w:r>
        <w:rPr>
          <w:b/>
          <w:color w:val="1B365D"/>
        </w:rPr>
        <w:t xml:space="preserve">Correct Answer: </w:t>
      </w:r>
      <w:r>
        <w:rPr>
          <w:b/>
          <w:color w:val="2F5496"/>
        </w:rPr>
        <w:t>Option [B] — 1.14</w:t>
      </w:r>
    </w:p>
    <w:p>
      <w:pPr>
        <w:spacing w:after="120"/>
      </w:pPr>
      <w:r>
        <w:rPr>
          <w:b/>
        </w:rPr>
        <w:t xml:space="preserve">Justification &amp; Analysis: </w:t>
      </w:r>
      <w:r>
        <w:t>Given inputs x = [0.8, 0.6], weights w = [0.9, 0.7], and bias b = 0.0:</w:t>
        <w:br/>
        <w:t>Calculation: z = (w[0] * x[0]) + (w[1] * x[1]) + b</w:t>
        <w:br/>
        <w:t>z = (0.9 * 0.8) + (0.7 * 0.6) + 0.0 = 0.72 + 0.42 + 0.0 = 1.14.</w:t>
      </w:r>
    </w:p>
    <w:p>
      <w:pPr>
        <w:pStyle w:val="Heading2"/>
      </w:pPr>
      <w:r>
        <w:t>Question 12: ReLU Activation Evaluation (Code Snippet)</w:t>
      </w:r>
    </w:p>
    <w:p>
      <w:pPr>
        <w:spacing w:before="40" w:after="60"/>
      </w:pPr>
      <w:r>
        <w:rPr>
          <w:b/>
          <w:color w:val="1B365D"/>
        </w:rPr>
        <w:t xml:space="preserve">Correct Answer: </w:t>
      </w:r>
      <w:r>
        <w:rPr>
          <w:b/>
          <w:color w:val="2F5496"/>
        </w:rPr>
        <w:t>Option [C] — [0.0, 0.0, 3.7]</w:t>
      </w:r>
    </w:p>
    <w:p>
      <w:pPr>
        <w:spacing w:after="120"/>
      </w:pPr>
      <w:r>
        <w:rPr>
          <w:b/>
        </w:rPr>
        <w:t xml:space="preserve">Justification &amp; Analysis: </w:t>
      </w:r>
      <w:r>
        <w:t>The ReLU function computes max(0.0, z):</w:t>
        <w:br/>
        <w:t>- For z = -4.2: max(0.0, -4.2) = 0.0</w:t>
        <w:br/>
        <w:t>- For z = 0.0: max(0.0, 0.0) = 0.0</w:t>
        <w:br/>
        <w:t>- For z = 3.7: max(0.0, 3.7) = 3.7</w:t>
        <w:br/>
        <w:t>Resulting list is [0.0, 0.0, 3.7].</w:t>
      </w:r>
    </w:p>
    <w:p>
      <w:pPr>
        <w:pStyle w:val="Heading2"/>
      </w:pPr>
      <w:r>
        <w:t>Question 13: Squared Error Loss Calculation (Code Snippet)</w:t>
      </w:r>
    </w:p>
    <w:p>
      <w:pPr>
        <w:spacing w:before="40" w:after="60"/>
      </w:pPr>
      <w:r>
        <w:rPr>
          <w:b/>
          <w:color w:val="1B365D"/>
        </w:rPr>
        <w:t xml:space="preserve">Correct Answer: </w:t>
      </w:r>
      <w:r>
        <w:rPr>
          <w:b/>
          <w:color w:val="2F5496"/>
        </w:rPr>
        <w:t>Option [C] — 0.09</w:t>
      </w:r>
    </w:p>
    <w:p>
      <w:pPr>
        <w:spacing w:after="120"/>
      </w:pPr>
      <w:r>
        <w:rPr>
          <w:b/>
        </w:rPr>
        <w:t xml:space="preserve">Justification &amp; Analysis: </w:t>
      </w:r>
      <w:r>
        <w:t>The compute_loss function evaluates (answer - prediction) ** 2:</w:t>
        <w:br/>
        <w:t>- Error = 1.0 - 0.7 = 0.3</w:t>
        <w:br/>
        <w:t>- Loss = (0.3) ** 2 = 0.09.</w:t>
      </w:r>
    </w:p>
    <w:p>
      <w:pPr>
        <w:pStyle w:val="Heading2"/>
      </w:pPr>
      <w:r>
        <w:t>Question 14: Gradient Descent Weight Update (Code Snippet)</w:t>
      </w:r>
    </w:p>
    <w:p>
      <w:pPr>
        <w:spacing w:before="40" w:after="60"/>
      </w:pPr>
      <w:r>
        <w:rPr>
          <w:b/>
          <w:color w:val="1B365D"/>
        </w:rPr>
        <w:t xml:space="preserve">Correct Answer: </w:t>
      </w:r>
      <w:r>
        <w:rPr>
          <w:b/>
          <w:color w:val="2F5496"/>
        </w:rPr>
        <w:t>Option [A] — 2.10</w:t>
      </w:r>
    </w:p>
    <w:p>
      <w:pPr>
        <w:spacing w:after="120"/>
      </w:pPr>
      <w:r>
        <w:rPr>
          <w:b/>
        </w:rPr>
        <w:t xml:space="preserve">Justification &amp; Analysis: </w:t>
      </w:r>
      <w:r>
        <w:t>The gradient update rule is new_weight = current_weight - (lr * slope):</w:t>
        <w:br/>
        <w:t>- current_weight = 2.50</w:t>
        <w:br/>
        <w:t>- adjustment = 0.10 * 4.00 = 0.40</w:t>
        <w:br/>
        <w:t>- new_weight = 2.50 - 0.40 = 2.10.</w:t>
      </w:r>
    </w:p>
    <w:p>
      <w:pPr>
        <w:pStyle w:val="Heading2"/>
      </w:pPr>
      <w:r>
        <w:t>Question 15: Scaled Attention Factor Evaluation (Code Snippet)</w:t>
      </w:r>
    </w:p>
    <w:p>
      <w:pPr>
        <w:spacing w:before="40" w:after="60"/>
      </w:pPr>
      <w:r>
        <w:rPr>
          <w:b/>
          <w:color w:val="1B365D"/>
        </w:rPr>
        <w:t xml:space="preserve">Correct Answer: </w:t>
      </w:r>
      <w:r>
        <w:rPr>
          <w:b/>
          <w:color w:val="2F5496"/>
        </w:rPr>
        <w:t>Option [C] — 8.0</w:t>
      </w:r>
    </w:p>
    <w:p>
      <w:pPr>
        <w:spacing w:after="120"/>
      </w:pPr>
      <w:r>
        <w:rPr>
          <w:b/>
        </w:rPr>
        <w:t xml:space="preserve">Justification &amp; Analysis: </w:t>
      </w:r>
      <w:r>
        <w:t>The scaling denominator is sqrt(d_k):</w:t>
        <w:br/>
        <w:t>- Given d_k = 64</w:t>
        <w:br/>
        <w:t>- math.sqrt(64) = 8.0.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Model Answer Key: Deep Learning &amp; Transformer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