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pPr>
      <w:r>
        <w:rPr>
          <w:rFonts w:ascii="Calibri" w:hAnsi="Calibri"/>
          <w:b/>
          <w:i w:val="0"/>
          <w:color w:val="7A5A00"/>
          <w:sz w:val="20"/>
        </w:rPr>
        <w:t>INTEGRATION DATASHEET</w:t>
      </w:r>
    </w:p>
    <w:p>
      <w:pPr>
        <w:spacing w:after="100"/>
      </w:pPr>
      <w:r>
        <w:rPr>
          <w:rFonts w:ascii="Calibri" w:hAnsi="Calibri"/>
          <w:b/>
          <w:i w:val="0"/>
          <w:color w:val="0B2545"/>
          <w:sz w:val="52"/>
        </w:rPr>
        <w:t>Gateway ke Server/Site</w:t>
      </w:r>
    </w:p>
    <w:p>
      <w:pPr>
        <w:spacing w:after="320"/>
      </w:pPr>
      <w:r>
        <w:rPr>
          <w:rFonts w:ascii="Calibri" w:hAnsi="Calibri"/>
          <w:b w:val="0"/>
          <w:i w:val="0"/>
          <w:color w:val="485968"/>
          <w:sz w:val="28"/>
        </w:rPr>
        <w:t>Ringkasan kebutuhan integrasi untuk tim IT Pertamina</w:t>
      </w:r>
    </w:p>
    <w:tbl>
      <w:tblPr>
        <w:tblStyle w:val="TableGrid"/>
        <w:tblW w:type="auto" w:w="0"/>
        <w:jc w:val="left"/>
        <w:tblLayout w:type="fixed"/>
        <w:tblLook w:firstColumn="1" w:firstRow="1" w:lastColumn="0" w:lastRow="0" w:noHBand="0" w:noVBand="1" w:val="04A0"/>
        <w:tblW w:w="9360" w:type="dxa"/>
        <w:tblInd w:w="120" w:type="dxa"/>
      </w:tblPr>
      <w:tblGrid>
        <w:gridCol w:w="2400"/>
        <w:gridCol w:w="6960"/>
      </w:tblGrid>
      <w:tr>
        <w:trPr>
          <w:tblHeader w:val="true"/>
        </w:trPr>
        <w:tc>
          <w:tcPr>
            <w:tcW w:type="dxa" w:w="2400"/>
            <w:shd w:fill="F2F4F7"/>
            <w:vAlign w:val="center"/>
            <w:tcMar>
              <w:top w:w="100" w:type="dxa"/>
              <w:start w:w="120" w:type="dxa"/>
              <w:bottom w:w="100" w:type="dxa"/>
              <w:end w:w="120" w:type="dxa"/>
            </w:tcMar>
          </w:tcPr>
          <w:p>
            <w:pPr>
              <w:spacing w:after="0"/>
            </w:pPr>
            <w:r>
              <w:rPr>
                <w:rFonts w:ascii="Calibri" w:hAnsi="Calibri"/>
                <w:b/>
                <w:i w:val="0"/>
                <w:color w:val="0B2545"/>
                <w:sz w:val="19"/>
              </w:rPr>
              <w:t>Atribut</w:t>
            </w:r>
          </w:p>
        </w:tc>
        <w:tc>
          <w:tcPr>
            <w:tcW w:type="dxa" w:w="6960"/>
            <w:shd w:fill="F2F4F7"/>
            <w:vAlign w:val="center"/>
            <w:tcMar>
              <w:top w:w="100" w:type="dxa"/>
              <w:start w:w="120" w:type="dxa"/>
              <w:bottom w:w="100" w:type="dxa"/>
              <w:end w:w="120" w:type="dxa"/>
            </w:tcMar>
          </w:tcPr>
          <w:p>
            <w:pPr>
              <w:spacing w:after="0"/>
            </w:pPr>
            <w:r>
              <w:rPr>
                <w:rFonts w:ascii="Calibri" w:hAnsi="Calibri"/>
                <w:b/>
                <w:i w:val="0"/>
                <w:color w:val="0B2545"/>
                <w:sz w:val="19"/>
              </w:rPr>
              <w:t>Informasi</w:t>
            </w:r>
          </w:p>
        </w:tc>
      </w:tr>
      <w:tr>
        <w:tc>
          <w:tcPr>
            <w:tcW w:type="dxa" w:w="2400"/>
            <w:vAlign w:val="center"/>
            <w:tcMar>
              <w:top w:w="100" w:type="dxa"/>
              <w:start w:w="120" w:type="dxa"/>
              <w:bottom w:w="100" w:type="dxa"/>
              <w:end w:w="120" w:type="dxa"/>
            </w:tcMar>
          </w:tcPr>
          <w:p>
            <w:pPr>
              <w:spacing w:after="0"/>
            </w:pPr>
            <w:r>
              <w:rPr>
                <w:rFonts w:ascii="Calibri" w:hAnsi="Calibri"/>
                <w:b w:val="0"/>
                <w:i w:val="0"/>
                <w:sz w:val="18"/>
              </w:rPr>
              <w:t>Tujuan</w:t>
            </w:r>
          </w:p>
        </w:tc>
        <w:tc>
          <w:tcPr>
            <w:tcW w:type="dxa" w:w="6960"/>
            <w:vAlign w:val="center"/>
            <w:tcMar>
              <w:top w:w="100" w:type="dxa"/>
              <w:start w:w="120" w:type="dxa"/>
              <w:bottom w:w="100" w:type="dxa"/>
              <w:end w:w="120" w:type="dxa"/>
            </w:tcMar>
          </w:tcPr>
          <w:p>
            <w:pPr>
              <w:spacing w:after="0"/>
            </w:pPr>
            <w:r>
              <w:rPr>
                <w:rFonts w:ascii="Calibri" w:hAnsi="Calibri"/>
                <w:b w:val="0"/>
                <w:i w:val="0"/>
                <w:sz w:val="18"/>
              </w:rPr>
              <w:t>Menyatukan perangkat Gateway lapangan dengan layanan Server/Site secara aman dan terpantau.</w:t>
            </w:r>
          </w:p>
        </w:tc>
      </w:tr>
      <w:tr>
        <w:tc>
          <w:tcPr>
            <w:tcW w:type="dxa" w:w="2400"/>
            <w:vAlign w:val="center"/>
            <w:tcMar>
              <w:top w:w="100" w:type="dxa"/>
              <w:start w:w="120" w:type="dxa"/>
              <w:bottom w:w="100" w:type="dxa"/>
              <w:end w:w="120" w:type="dxa"/>
            </w:tcMar>
          </w:tcPr>
          <w:p>
            <w:pPr>
              <w:spacing w:after="0"/>
            </w:pPr>
            <w:r>
              <w:rPr>
                <w:rFonts w:ascii="Calibri" w:hAnsi="Calibri"/>
                <w:b w:val="0"/>
                <w:i w:val="0"/>
                <w:sz w:val="18"/>
              </w:rPr>
              <w:t>Audiens</w:t>
            </w:r>
          </w:p>
        </w:tc>
        <w:tc>
          <w:tcPr>
            <w:tcW w:type="dxa" w:w="6960"/>
            <w:vAlign w:val="center"/>
            <w:tcMar>
              <w:top w:w="100" w:type="dxa"/>
              <w:start w:w="120" w:type="dxa"/>
              <w:bottom w:w="100" w:type="dxa"/>
              <w:end w:w="120" w:type="dxa"/>
            </w:tcMar>
          </w:tcPr>
          <w:p>
            <w:pPr>
              <w:spacing w:after="0"/>
            </w:pPr>
            <w:r>
              <w:rPr>
                <w:rFonts w:ascii="Calibri" w:hAnsi="Calibri"/>
                <w:b w:val="0"/>
                <w:i w:val="0"/>
                <w:sz w:val="18"/>
              </w:rPr>
              <w:t>Tim Infrastruktur, Network, Cyber Security, Server, dan operasi aplikasi IT Pertamina.</w:t>
            </w:r>
          </w:p>
        </w:tc>
      </w:tr>
      <w:tr>
        <w:tc>
          <w:tcPr>
            <w:tcW w:type="dxa" w:w="2400"/>
            <w:vAlign w:val="center"/>
            <w:tcMar>
              <w:top w:w="100" w:type="dxa"/>
              <w:start w:w="120" w:type="dxa"/>
              <w:bottom w:w="100" w:type="dxa"/>
              <w:end w:w="120" w:type="dxa"/>
            </w:tcMar>
          </w:tcPr>
          <w:p>
            <w:pPr>
              <w:spacing w:after="0"/>
            </w:pPr>
            <w:r>
              <w:rPr>
                <w:rFonts w:ascii="Calibri" w:hAnsi="Calibri"/>
                <w:b w:val="0"/>
                <w:i w:val="0"/>
                <w:sz w:val="18"/>
              </w:rPr>
              <w:t>Jalur utama</w:t>
            </w:r>
          </w:p>
        </w:tc>
        <w:tc>
          <w:tcPr>
            <w:tcW w:type="dxa" w:w="6960"/>
            <w:vAlign w:val="center"/>
            <w:tcMar>
              <w:top w:w="100" w:type="dxa"/>
              <w:start w:w="120" w:type="dxa"/>
              <w:bottom w:w="100" w:type="dxa"/>
              <w:end w:w="120" w:type="dxa"/>
            </w:tcMar>
          </w:tcPr>
          <w:p>
            <w:pPr>
              <w:spacing w:after="0"/>
            </w:pPr>
            <w:r>
              <w:rPr>
                <w:rFonts w:ascii="Calibri" w:hAnsi="Calibri"/>
                <w:b w:val="0"/>
                <w:i w:val="0"/>
                <w:sz w:val="18"/>
              </w:rPr>
              <w:t>Gateway menggunakan Wi-Fi/LAN untuk terhubung ke broker MQTT yang berada di lingkungan Server/Site.</w:t>
            </w:r>
          </w:p>
        </w:tc>
      </w:tr>
      <w:tr>
        <w:tc>
          <w:tcPr>
            <w:tcW w:type="dxa" w:w="2400"/>
            <w:vAlign w:val="center"/>
            <w:tcMar>
              <w:top w:w="100" w:type="dxa"/>
              <w:start w:w="120" w:type="dxa"/>
              <w:bottom w:w="100" w:type="dxa"/>
              <w:end w:w="120" w:type="dxa"/>
            </w:tcMar>
          </w:tcPr>
          <w:p>
            <w:pPr>
              <w:spacing w:after="0"/>
            </w:pPr>
            <w:r>
              <w:rPr>
                <w:rFonts w:ascii="Calibri" w:hAnsi="Calibri"/>
                <w:b w:val="0"/>
                <w:i w:val="0"/>
                <w:sz w:val="18"/>
              </w:rPr>
              <w:t>Status dokumen</w:t>
            </w:r>
          </w:p>
        </w:tc>
        <w:tc>
          <w:tcPr>
            <w:tcW w:type="dxa" w:w="6960"/>
            <w:vAlign w:val="center"/>
            <w:tcMar>
              <w:top w:w="100" w:type="dxa"/>
              <w:start w:w="120" w:type="dxa"/>
              <w:bottom w:w="100" w:type="dxa"/>
              <w:end w:w="120" w:type="dxa"/>
            </w:tcMar>
          </w:tcPr>
          <w:p>
            <w:pPr>
              <w:spacing w:after="0"/>
            </w:pPr>
            <w:r>
              <w:rPr>
                <w:rFonts w:ascii="Calibri" w:hAnsi="Calibri"/>
                <w:b w:val="0"/>
                <w:i w:val="0"/>
                <w:sz w:val="18"/>
              </w:rPr>
              <w:t>Dokumen kebutuhan integrasi. Parameter final site, deployment, dan uji live ditetapkan bersama tim IT.</w:t>
            </w:r>
          </w:p>
        </w:tc>
      </w:tr>
    </w:tbl>
    <w:p>
      <w:pPr>
        <w:spacing w:after="40"/>
      </w:pPr>
    </w:p>
    <w:p>
      <w:pPr>
        <w:spacing w:before="80" w:after="160"/>
        <w:shd w:fill="F4F6F9"/>
      </w:pPr>
      <w:r>
        <w:rPr>
          <w:rFonts w:ascii="Calibri" w:hAnsi="Calibri"/>
          <w:b/>
          <w:i w:val="0"/>
          <w:color w:val="0B2545"/>
          <w:sz w:val="20"/>
        </w:rPr>
        <w:t xml:space="preserve">RINGKASAN  </w:t>
      </w:r>
      <w:r>
        <w:rPr>
          <w:rFonts w:ascii="Calibri" w:hAnsi="Calibri"/>
          <w:b w:val="0"/>
          <w:i w:val="0"/>
          <w:sz w:val="20"/>
        </w:rPr>
        <w:t>Gateway mengirimkan data operasional melalui broker MQTT. Server/Site memvalidasi, memproses, menyimpan/menampilkan data, dan dapat meneruskan perintah yang telah diotorisasi kembali ke Gateway.</w:t>
      </w:r>
    </w:p>
    <w:p>
      <w:pPr>
        <w:pStyle w:val="Heading1"/>
      </w:pPr>
      <w:r>
        <w:t>1. Arsitektur integrasi</w:t>
      </w:r>
    </w:p>
    <w:p>
      <w:pPr>
        <w:spacing w:after="120" w:line="264" w:lineRule="auto"/>
      </w:pPr>
      <w:r>
        <w:rPr>
          <w:rFonts w:ascii="Calibri" w:hAnsi="Calibri"/>
          <w:b w:val="0"/>
          <w:i w:val="0"/>
          <w:sz w:val="22"/>
        </w:rPr>
        <w:t>Arsitektur dirancang agar perangkat lapangan tidak berhubungan langsung dengan aplikasi bisnis atau database. Gateway berperan sebagai titik integrasi di lapangan, broker MQTT sebagai jalur pertukaran pesan, dan Server/Site sebagai pemroses serta penyedia layanan aplikasi.</w:t>
      </w:r>
    </w:p>
    <w:tbl>
      <w:tblPr>
        <w:tblStyle w:val="TableGrid"/>
        <w:tblW w:type="auto" w:w="0"/>
        <w:jc w:val="left"/>
        <w:tblLayout w:type="fixed"/>
        <w:tblLook w:firstColumn="1" w:firstRow="1" w:lastColumn="0" w:lastRow="0" w:noHBand="0" w:noVBand="1" w:val="04A0"/>
        <w:tblW w:w="9360" w:type="dxa"/>
        <w:tblInd w:w="120" w:type="dxa"/>
      </w:tblPr>
      <w:tblGrid>
        <w:gridCol w:w="1500"/>
        <w:gridCol w:w="2100"/>
        <w:gridCol w:w="5760"/>
      </w:tblGrid>
      <w:tr>
        <w:trPr>
          <w:tblHeader w:val="true"/>
        </w:trPr>
        <w:tc>
          <w:tcPr>
            <w:tcW w:type="dxa" w:w="1500"/>
            <w:shd w:fill="F2F4F7"/>
            <w:vAlign w:val="center"/>
            <w:tcMar>
              <w:top w:w="100" w:type="dxa"/>
              <w:start w:w="120" w:type="dxa"/>
              <w:bottom w:w="100" w:type="dxa"/>
              <w:end w:w="120" w:type="dxa"/>
            </w:tcMar>
          </w:tcPr>
          <w:p>
            <w:pPr>
              <w:spacing w:after="0"/>
            </w:pPr>
            <w:r>
              <w:rPr>
                <w:rFonts w:ascii="Calibri" w:hAnsi="Calibri"/>
                <w:b/>
                <w:i w:val="0"/>
                <w:color w:val="0B2545"/>
                <w:sz w:val="19"/>
              </w:rPr>
              <w:t>Lapisan</w:t>
            </w:r>
          </w:p>
        </w:tc>
        <w:tc>
          <w:tcPr>
            <w:tcW w:type="dxa" w:w="2100"/>
            <w:shd w:fill="F2F4F7"/>
            <w:vAlign w:val="center"/>
            <w:tcMar>
              <w:top w:w="100" w:type="dxa"/>
              <w:start w:w="120" w:type="dxa"/>
              <w:bottom w:w="100" w:type="dxa"/>
              <w:end w:w="120" w:type="dxa"/>
            </w:tcMar>
          </w:tcPr>
          <w:p>
            <w:pPr>
              <w:spacing w:after="0"/>
            </w:pPr>
            <w:r>
              <w:rPr>
                <w:rFonts w:ascii="Calibri" w:hAnsi="Calibri"/>
                <w:b/>
                <w:i w:val="0"/>
                <w:color w:val="0B2545"/>
                <w:sz w:val="19"/>
              </w:rPr>
              <w:t>Komponen</w:t>
            </w:r>
          </w:p>
        </w:tc>
        <w:tc>
          <w:tcPr>
            <w:tcW w:type="dxa" w:w="5760"/>
            <w:shd w:fill="F2F4F7"/>
            <w:vAlign w:val="center"/>
            <w:tcMar>
              <w:top w:w="100" w:type="dxa"/>
              <w:start w:w="120" w:type="dxa"/>
              <w:bottom w:w="100" w:type="dxa"/>
              <w:end w:w="120" w:type="dxa"/>
            </w:tcMar>
          </w:tcPr>
          <w:p>
            <w:pPr>
              <w:spacing w:after="0"/>
            </w:pPr>
            <w:r>
              <w:rPr>
                <w:rFonts w:ascii="Calibri" w:hAnsi="Calibri"/>
                <w:b/>
                <w:i w:val="0"/>
                <w:color w:val="0B2545"/>
                <w:sz w:val="19"/>
              </w:rPr>
              <w:t>Tanggung jawab</w:t>
            </w:r>
          </w:p>
        </w:tc>
      </w:tr>
      <w:tr>
        <w:tc>
          <w:tcPr>
            <w:tcW w:type="dxa" w:w="1500"/>
            <w:vAlign w:val="center"/>
            <w:tcMar>
              <w:top w:w="100" w:type="dxa"/>
              <w:start w:w="120" w:type="dxa"/>
              <w:bottom w:w="100" w:type="dxa"/>
              <w:end w:w="120" w:type="dxa"/>
            </w:tcMar>
          </w:tcPr>
          <w:p>
            <w:pPr>
              <w:spacing w:after="0"/>
            </w:pPr>
            <w:r>
              <w:rPr>
                <w:rFonts w:ascii="Calibri" w:hAnsi="Calibri"/>
                <w:b w:val="0"/>
                <w:i w:val="0"/>
                <w:sz w:val="18"/>
              </w:rPr>
              <w:t>Lapangan</w:t>
            </w:r>
          </w:p>
        </w:tc>
        <w:tc>
          <w:tcPr>
            <w:tcW w:type="dxa" w:w="2100"/>
            <w:vAlign w:val="center"/>
            <w:tcMar>
              <w:top w:w="100" w:type="dxa"/>
              <w:start w:w="120" w:type="dxa"/>
              <w:bottom w:w="100" w:type="dxa"/>
              <w:end w:w="120" w:type="dxa"/>
            </w:tcMar>
          </w:tcPr>
          <w:p>
            <w:pPr>
              <w:spacing w:after="0"/>
            </w:pPr>
            <w:r>
              <w:rPr>
                <w:rFonts w:ascii="Calibri" w:hAnsi="Calibri"/>
                <w:b w:val="0"/>
                <w:i w:val="0"/>
                <w:sz w:val="18"/>
              </w:rPr>
              <w:t>Gateway</w:t>
            </w:r>
          </w:p>
        </w:tc>
        <w:tc>
          <w:tcPr>
            <w:tcW w:type="dxa" w:w="5760"/>
            <w:vAlign w:val="center"/>
            <w:tcMar>
              <w:top w:w="100" w:type="dxa"/>
              <w:start w:w="120" w:type="dxa"/>
              <w:bottom w:w="100" w:type="dxa"/>
              <w:end w:w="120" w:type="dxa"/>
            </w:tcMar>
          </w:tcPr>
          <w:p>
            <w:pPr>
              <w:spacing w:after="0"/>
            </w:pPr>
            <w:r>
              <w:rPr>
                <w:rFonts w:ascii="Calibri" w:hAnsi="Calibri"/>
                <w:b w:val="0"/>
                <w:i w:val="0"/>
                <w:sz w:val="18"/>
              </w:rPr>
              <w:t>Menghubungkan jaringan sensor/mesh ke jaringan IP lokasi dan meneruskan data operasional.</w:t>
            </w:r>
          </w:p>
        </w:tc>
      </w:tr>
      <w:tr>
        <w:tc>
          <w:tcPr>
            <w:tcW w:type="dxa" w:w="1500"/>
            <w:vAlign w:val="center"/>
            <w:tcMar>
              <w:top w:w="100" w:type="dxa"/>
              <w:start w:w="120" w:type="dxa"/>
              <w:bottom w:w="100" w:type="dxa"/>
              <w:end w:w="120" w:type="dxa"/>
            </w:tcMar>
          </w:tcPr>
          <w:p>
            <w:pPr>
              <w:spacing w:after="0"/>
            </w:pPr>
            <w:r>
              <w:rPr>
                <w:rFonts w:ascii="Calibri" w:hAnsi="Calibri"/>
                <w:b w:val="0"/>
                <w:i w:val="0"/>
                <w:sz w:val="18"/>
              </w:rPr>
              <w:t>Konektivitas</w:t>
            </w:r>
          </w:p>
        </w:tc>
        <w:tc>
          <w:tcPr>
            <w:tcW w:type="dxa" w:w="2100"/>
            <w:vAlign w:val="center"/>
            <w:tcMar>
              <w:top w:w="100" w:type="dxa"/>
              <w:start w:w="120" w:type="dxa"/>
              <w:bottom w:w="100" w:type="dxa"/>
              <w:end w:w="120" w:type="dxa"/>
            </w:tcMar>
          </w:tcPr>
          <w:p>
            <w:pPr>
              <w:spacing w:after="0"/>
            </w:pPr>
            <w:r>
              <w:rPr>
                <w:rFonts w:ascii="Calibri" w:hAnsi="Calibri"/>
                <w:b w:val="0"/>
                <w:i w:val="0"/>
                <w:sz w:val="18"/>
              </w:rPr>
              <w:t>Wi-Fi/LAN dan firewall site</w:t>
            </w:r>
          </w:p>
        </w:tc>
        <w:tc>
          <w:tcPr>
            <w:tcW w:type="dxa" w:w="5760"/>
            <w:vAlign w:val="center"/>
            <w:tcMar>
              <w:top w:w="100" w:type="dxa"/>
              <w:start w:w="120" w:type="dxa"/>
              <w:bottom w:w="100" w:type="dxa"/>
              <w:end w:w="120" w:type="dxa"/>
            </w:tcMar>
          </w:tcPr>
          <w:p>
            <w:pPr>
              <w:spacing w:after="0"/>
            </w:pPr>
            <w:r>
              <w:rPr>
                <w:rFonts w:ascii="Calibri" w:hAnsi="Calibri"/>
                <w:b w:val="0"/>
                <w:i w:val="0"/>
                <w:sz w:val="18"/>
              </w:rPr>
              <w:t>Menyediakan jalur IP Gateway ke broker serta membatasi akses hanya untuk komunikasi yang diizinkan.</w:t>
            </w:r>
          </w:p>
        </w:tc>
      </w:tr>
      <w:tr>
        <w:tc>
          <w:tcPr>
            <w:tcW w:type="dxa" w:w="1500"/>
            <w:vAlign w:val="center"/>
            <w:tcMar>
              <w:top w:w="100" w:type="dxa"/>
              <w:start w:w="120" w:type="dxa"/>
              <w:bottom w:w="100" w:type="dxa"/>
              <w:end w:w="120" w:type="dxa"/>
            </w:tcMar>
          </w:tcPr>
          <w:p>
            <w:pPr>
              <w:spacing w:after="0"/>
            </w:pPr>
            <w:r>
              <w:rPr>
                <w:rFonts w:ascii="Calibri" w:hAnsi="Calibri"/>
                <w:b w:val="0"/>
                <w:i w:val="0"/>
                <w:sz w:val="18"/>
              </w:rPr>
              <w:t>Messaging</w:t>
            </w:r>
          </w:p>
        </w:tc>
        <w:tc>
          <w:tcPr>
            <w:tcW w:type="dxa" w:w="2100"/>
            <w:vAlign w:val="center"/>
            <w:tcMar>
              <w:top w:w="100" w:type="dxa"/>
              <w:start w:w="120" w:type="dxa"/>
              <w:bottom w:w="100" w:type="dxa"/>
              <w:end w:w="120" w:type="dxa"/>
            </w:tcMar>
          </w:tcPr>
          <w:p>
            <w:pPr>
              <w:spacing w:after="0"/>
            </w:pPr>
            <w:r>
              <w:rPr>
                <w:rFonts w:ascii="Calibri" w:hAnsi="Calibri"/>
                <w:b w:val="0"/>
                <w:i w:val="0"/>
                <w:sz w:val="18"/>
              </w:rPr>
              <w:t>MQTT broker</w:t>
            </w:r>
          </w:p>
        </w:tc>
        <w:tc>
          <w:tcPr>
            <w:tcW w:type="dxa" w:w="5760"/>
            <w:vAlign w:val="center"/>
            <w:tcMar>
              <w:top w:w="100" w:type="dxa"/>
              <w:start w:w="120" w:type="dxa"/>
              <w:bottom w:w="100" w:type="dxa"/>
              <w:end w:w="120" w:type="dxa"/>
            </w:tcMar>
          </w:tcPr>
          <w:p>
            <w:pPr>
              <w:spacing w:after="0"/>
            </w:pPr>
            <w:r>
              <w:rPr>
                <w:rFonts w:ascii="Calibri" w:hAnsi="Calibri"/>
                <w:b w:val="0"/>
                <w:i w:val="0"/>
                <w:sz w:val="18"/>
              </w:rPr>
              <w:t>Menerima, mengautentikasi, dan mendistribusikan pesan Gateway dan aplikasi server.</w:t>
            </w:r>
          </w:p>
        </w:tc>
      </w:tr>
      <w:tr>
        <w:tc>
          <w:tcPr>
            <w:tcW w:type="dxa" w:w="1500"/>
            <w:vAlign w:val="center"/>
            <w:tcMar>
              <w:top w:w="100" w:type="dxa"/>
              <w:start w:w="120" w:type="dxa"/>
              <w:bottom w:w="100" w:type="dxa"/>
              <w:end w:w="120" w:type="dxa"/>
            </w:tcMar>
          </w:tcPr>
          <w:p>
            <w:pPr>
              <w:spacing w:after="0"/>
            </w:pPr>
            <w:r>
              <w:rPr>
                <w:rFonts w:ascii="Calibri" w:hAnsi="Calibri"/>
                <w:b w:val="0"/>
                <w:i w:val="0"/>
                <w:sz w:val="18"/>
              </w:rPr>
              <w:t>Aplikasi</w:t>
            </w:r>
          </w:p>
        </w:tc>
        <w:tc>
          <w:tcPr>
            <w:tcW w:type="dxa" w:w="2100"/>
            <w:vAlign w:val="center"/>
            <w:tcMar>
              <w:top w:w="100" w:type="dxa"/>
              <w:start w:w="120" w:type="dxa"/>
              <w:bottom w:w="100" w:type="dxa"/>
              <w:end w:w="120" w:type="dxa"/>
            </w:tcMar>
          </w:tcPr>
          <w:p>
            <w:pPr>
              <w:spacing w:after="0"/>
            </w:pPr>
            <w:r>
              <w:rPr>
                <w:rFonts w:ascii="Calibri" w:hAnsi="Calibri"/>
                <w:b w:val="0"/>
                <w:i w:val="0"/>
                <w:sz w:val="18"/>
              </w:rPr>
              <w:t>Node-RED / layanan server</w:t>
            </w:r>
          </w:p>
        </w:tc>
        <w:tc>
          <w:tcPr>
            <w:tcW w:type="dxa" w:w="5760"/>
            <w:vAlign w:val="center"/>
            <w:tcMar>
              <w:top w:w="100" w:type="dxa"/>
              <w:start w:w="120" w:type="dxa"/>
              <w:bottom w:w="100" w:type="dxa"/>
              <w:end w:w="120" w:type="dxa"/>
            </w:tcMar>
          </w:tcPr>
          <w:p>
            <w:pPr>
              <w:spacing w:after="0"/>
            </w:pPr>
            <w:r>
              <w:rPr>
                <w:rFonts w:ascii="Calibri" w:hAnsi="Calibri"/>
                <w:b w:val="0"/>
                <w:i w:val="0"/>
                <w:sz w:val="18"/>
              </w:rPr>
              <w:t>Memvalidasi data, membangun status/topologi, mengelola alarm, dan mengirim command terotorisasi.</w:t>
            </w:r>
          </w:p>
        </w:tc>
      </w:tr>
      <w:tr>
        <w:tc>
          <w:tcPr>
            <w:tcW w:type="dxa" w:w="1500"/>
            <w:vAlign w:val="center"/>
            <w:tcMar>
              <w:top w:w="100" w:type="dxa"/>
              <w:start w:w="120" w:type="dxa"/>
              <w:bottom w:w="100" w:type="dxa"/>
              <w:end w:w="120" w:type="dxa"/>
            </w:tcMar>
          </w:tcPr>
          <w:p>
            <w:pPr>
              <w:spacing w:after="0"/>
            </w:pPr>
            <w:r>
              <w:rPr>
                <w:rFonts w:ascii="Calibri" w:hAnsi="Calibri"/>
                <w:b w:val="0"/>
                <w:i w:val="0"/>
                <w:sz w:val="18"/>
              </w:rPr>
              <w:t>Operasi</w:t>
            </w:r>
          </w:p>
        </w:tc>
        <w:tc>
          <w:tcPr>
            <w:tcW w:type="dxa" w:w="2100"/>
            <w:vAlign w:val="center"/>
            <w:tcMar>
              <w:top w:w="100" w:type="dxa"/>
              <w:start w:w="120" w:type="dxa"/>
              <w:bottom w:w="100" w:type="dxa"/>
              <w:end w:w="120" w:type="dxa"/>
            </w:tcMar>
          </w:tcPr>
          <w:p>
            <w:pPr>
              <w:spacing w:after="0"/>
            </w:pPr>
            <w:r>
              <w:rPr>
                <w:rFonts w:ascii="Calibri" w:hAnsi="Calibri"/>
                <w:b w:val="0"/>
                <w:i w:val="0"/>
                <w:sz w:val="18"/>
              </w:rPr>
              <w:t>Monitoring dan log</w:t>
            </w:r>
          </w:p>
        </w:tc>
        <w:tc>
          <w:tcPr>
            <w:tcW w:type="dxa" w:w="5760"/>
            <w:vAlign w:val="center"/>
            <w:tcMar>
              <w:top w:w="100" w:type="dxa"/>
              <w:start w:w="120" w:type="dxa"/>
              <w:bottom w:w="100" w:type="dxa"/>
              <w:end w:w="120" w:type="dxa"/>
            </w:tcMar>
          </w:tcPr>
          <w:p>
            <w:pPr>
              <w:spacing w:after="0"/>
            </w:pPr>
            <w:r>
              <w:rPr>
                <w:rFonts w:ascii="Calibri" w:hAnsi="Calibri"/>
                <w:b w:val="0"/>
                <w:i w:val="0"/>
                <w:sz w:val="18"/>
              </w:rPr>
              <w:t>Menyediakan jejak audit, diagnosis gangguan, dan bukti penerimaan end-to-end.</w:t>
            </w:r>
          </w:p>
        </w:tc>
      </w:tr>
    </w:tbl>
    <w:p>
      <w:pPr>
        <w:spacing w:after="40"/>
      </w:pPr>
    </w:p>
    <w:p>
      <w:pPr>
        <w:spacing w:before="80" w:after="160"/>
        <w:shd w:fill="F4F6F9"/>
      </w:pPr>
      <w:r>
        <w:rPr>
          <w:rFonts w:ascii="Calibri" w:hAnsi="Calibri"/>
          <w:b/>
          <w:i w:val="0"/>
          <w:color w:val="0B2545"/>
          <w:sz w:val="20"/>
        </w:rPr>
        <w:t xml:space="preserve">ALUR DATA  </w:t>
      </w:r>
      <w:r>
        <w:rPr>
          <w:rFonts w:ascii="Calibri" w:hAnsi="Calibri"/>
          <w:b w:val="0"/>
          <w:i w:val="0"/>
          <w:sz w:val="20"/>
        </w:rPr>
        <w:t>Perangkat lapangan -&gt; Gateway -&gt; Wi-Fi/LAN site -&gt; MQTT broker -&gt; layanan Server/Site -&gt; dashboard, alarm, dan penyimpanan.</w:t>
      </w:r>
    </w:p>
    <w:p>
      <w:pPr>
        <w:pStyle w:val="Heading1"/>
      </w:pPr>
      <w:r>
        <w:t>2. Kebutuhan jaringan</w:t>
      </w:r>
    </w:p>
    <w:tbl>
      <w:tblPr>
        <w:tblStyle w:val="TableGrid"/>
        <w:tblW w:type="auto" w:w="0"/>
        <w:jc w:val="left"/>
        <w:tblLayout w:type="fixed"/>
        <w:tblLook w:firstColumn="1" w:firstRow="1" w:lastColumn="0" w:lastRow="0" w:noHBand="0" w:noVBand="1" w:val="04A0"/>
        <w:tblW w:w="9360" w:type="dxa"/>
        <w:tblInd w:w="120" w:type="dxa"/>
      </w:tblPr>
      <w:tblGrid>
        <w:gridCol w:w="1800"/>
        <w:gridCol w:w="4200"/>
        <w:gridCol w:w="3360"/>
      </w:tblGrid>
      <w:tr>
        <w:trPr>
          <w:tblHeader w:val="true"/>
        </w:trPr>
        <w:tc>
          <w:tcPr>
            <w:tcW w:type="dxa" w:w="1800"/>
            <w:shd w:fill="F2F4F7"/>
            <w:vAlign w:val="center"/>
            <w:tcMar>
              <w:top w:w="100" w:type="dxa"/>
              <w:start w:w="120" w:type="dxa"/>
              <w:bottom w:w="100" w:type="dxa"/>
              <w:end w:w="120" w:type="dxa"/>
            </w:tcMar>
          </w:tcPr>
          <w:p>
            <w:pPr>
              <w:spacing w:after="0"/>
            </w:pPr>
            <w:r>
              <w:rPr>
                <w:rFonts w:ascii="Calibri" w:hAnsi="Calibri"/>
                <w:b/>
                <w:i w:val="0"/>
                <w:color w:val="0B2545"/>
                <w:sz w:val="19"/>
              </w:rPr>
              <w:t>Item</w:t>
            </w:r>
          </w:p>
        </w:tc>
        <w:tc>
          <w:tcPr>
            <w:tcW w:type="dxa" w:w="4200"/>
            <w:shd w:fill="F2F4F7"/>
            <w:vAlign w:val="center"/>
            <w:tcMar>
              <w:top w:w="100" w:type="dxa"/>
              <w:start w:w="120" w:type="dxa"/>
              <w:bottom w:w="100" w:type="dxa"/>
              <w:end w:w="120" w:type="dxa"/>
            </w:tcMar>
          </w:tcPr>
          <w:p>
            <w:pPr>
              <w:spacing w:after="0"/>
            </w:pPr>
            <w:r>
              <w:rPr>
                <w:rFonts w:ascii="Calibri" w:hAnsi="Calibri"/>
                <w:b/>
                <w:i w:val="0"/>
                <w:color w:val="0B2545"/>
                <w:sz w:val="19"/>
              </w:rPr>
              <w:t>Kebutuhan untuk IT</w:t>
            </w:r>
          </w:p>
        </w:tc>
        <w:tc>
          <w:tcPr>
            <w:tcW w:type="dxa" w:w="3360"/>
            <w:shd w:fill="F2F4F7"/>
            <w:vAlign w:val="center"/>
            <w:tcMar>
              <w:top w:w="100" w:type="dxa"/>
              <w:start w:w="120" w:type="dxa"/>
              <w:bottom w:w="100" w:type="dxa"/>
              <w:end w:w="120" w:type="dxa"/>
            </w:tcMar>
          </w:tcPr>
          <w:p>
            <w:pPr>
              <w:spacing w:after="0"/>
            </w:pPr>
            <w:r>
              <w:rPr>
                <w:rFonts w:ascii="Calibri" w:hAnsi="Calibri"/>
                <w:b/>
                <w:i w:val="0"/>
                <w:color w:val="0B2545"/>
                <w:sz w:val="19"/>
              </w:rPr>
              <w:t>Catatan</w:t>
            </w:r>
          </w:p>
        </w:tc>
      </w:tr>
      <w:tr>
        <w:tc>
          <w:tcPr>
            <w:tcW w:type="dxa" w:w="1800"/>
            <w:vAlign w:val="center"/>
            <w:tcMar>
              <w:top w:w="100" w:type="dxa"/>
              <w:start w:w="120" w:type="dxa"/>
              <w:bottom w:w="100" w:type="dxa"/>
              <w:end w:w="120" w:type="dxa"/>
            </w:tcMar>
          </w:tcPr>
          <w:p>
            <w:pPr>
              <w:spacing w:after="0"/>
            </w:pPr>
            <w:r>
              <w:rPr>
                <w:rFonts w:ascii="Calibri" w:hAnsi="Calibri"/>
                <w:b w:val="0"/>
                <w:i w:val="0"/>
                <w:sz w:val="18"/>
              </w:rPr>
              <w:t>Lokasi broker</w:t>
            </w:r>
          </w:p>
        </w:tc>
        <w:tc>
          <w:tcPr>
            <w:tcW w:type="dxa" w:w="4200"/>
            <w:vAlign w:val="center"/>
            <w:tcMar>
              <w:top w:w="100" w:type="dxa"/>
              <w:start w:w="120" w:type="dxa"/>
              <w:bottom w:w="100" w:type="dxa"/>
              <w:end w:w="120" w:type="dxa"/>
            </w:tcMar>
          </w:tcPr>
          <w:p>
            <w:pPr>
              <w:spacing w:after="0"/>
            </w:pPr>
            <w:r>
              <w:rPr>
                <w:rFonts w:ascii="Calibri" w:hAnsi="Calibri"/>
                <w:b w:val="0"/>
                <w:i w:val="0"/>
                <w:sz w:val="18"/>
              </w:rPr>
              <w:t>Server/Site atau layanan terkelola yang disetujui</w:t>
            </w:r>
          </w:p>
        </w:tc>
        <w:tc>
          <w:tcPr>
            <w:tcW w:type="dxa" w:w="3360"/>
            <w:vAlign w:val="center"/>
            <w:tcMar>
              <w:top w:w="100" w:type="dxa"/>
              <w:start w:w="120" w:type="dxa"/>
              <w:bottom w:w="100" w:type="dxa"/>
              <w:end w:w="120" w:type="dxa"/>
            </w:tcMar>
          </w:tcPr>
          <w:p>
            <w:pPr>
              <w:spacing w:after="0"/>
            </w:pPr>
            <w:r>
              <w:rPr>
                <w:rFonts w:ascii="Calibri" w:hAnsi="Calibri"/>
                <w:b w:val="0"/>
                <w:i w:val="0"/>
                <w:sz w:val="18"/>
              </w:rPr>
              <w:t>Gateway menggunakan alamat IP atau DNS yang dapat dijangkau dari jaringan lokasi.</w:t>
            </w:r>
          </w:p>
        </w:tc>
      </w:tr>
      <w:tr>
        <w:tc>
          <w:tcPr>
            <w:tcW w:type="dxa" w:w="1800"/>
            <w:vAlign w:val="center"/>
            <w:tcMar>
              <w:top w:w="100" w:type="dxa"/>
              <w:start w:w="120" w:type="dxa"/>
              <w:bottom w:w="100" w:type="dxa"/>
              <w:end w:w="120" w:type="dxa"/>
            </w:tcMar>
          </w:tcPr>
          <w:p>
            <w:pPr>
              <w:spacing w:after="0"/>
            </w:pPr>
            <w:r>
              <w:rPr>
                <w:rFonts w:ascii="Calibri" w:hAnsi="Calibri"/>
                <w:b w:val="0"/>
                <w:i w:val="0"/>
                <w:sz w:val="18"/>
              </w:rPr>
              <w:t>Port komunikasi</w:t>
            </w:r>
          </w:p>
        </w:tc>
        <w:tc>
          <w:tcPr>
            <w:tcW w:type="dxa" w:w="4200"/>
            <w:vAlign w:val="center"/>
            <w:tcMar>
              <w:top w:w="100" w:type="dxa"/>
              <w:start w:w="120" w:type="dxa"/>
              <w:bottom w:w="100" w:type="dxa"/>
              <w:end w:w="120" w:type="dxa"/>
            </w:tcMar>
          </w:tcPr>
          <w:p>
            <w:pPr>
              <w:spacing w:after="0"/>
            </w:pPr>
            <w:r>
              <w:rPr>
                <w:rFonts w:ascii="Calibri" w:hAnsi="Calibri"/>
                <w:b w:val="0"/>
                <w:i w:val="0"/>
                <w:sz w:val="18"/>
              </w:rPr>
              <w:t>TCP 1884 sebagai konfigurasi saat ini</w:t>
            </w:r>
          </w:p>
        </w:tc>
        <w:tc>
          <w:tcPr>
            <w:tcW w:type="dxa" w:w="3360"/>
            <w:vAlign w:val="center"/>
            <w:tcMar>
              <w:top w:w="100" w:type="dxa"/>
              <w:start w:w="120" w:type="dxa"/>
              <w:bottom w:w="100" w:type="dxa"/>
              <w:end w:w="120" w:type="dxa"/>
            </w:tcMar>
          </w:tcPr>
          <w:p>
            <w:pPr>
              <w:spacing w:after="0"/>
            </w:pPr>
            <w:r>
              <w:rPr>
                <w:rFonts w:ascii="Calibri" w:hAnsi="Calibri"/>
                <w:b w:val="0"/>
                <w:i w:val="0"/>
                <w:sz w:val="18"/>
              </w:rPr>
              <w:t>Port dapat disesuaikan melalui proses commissioning; bukti listener diperlukan sebelum go-live.</w:t>
            </w:r>
          </w:p>
        </w:tc>
      </w:tr>
      <w:tr>
        <w:tc>
          <w:tcPr>
            <w:tcW w:type="dxa" w:w="1800"/>
            <w:vAlign w:val="center"/>
            <w:tcMar>
              <w:top w:w="100" w:type="dxa"/>
              <w:start w:w="120" w:type="dxa"/>
              <w:bottom w:w="100" w:type="dxa"/>
              <w:end w:w="120" w:type="dxa"/>
            </w:tcMar>
          </w:tcPr>
          <w:p>
            <w:pPr>
              <w:spacing w:after="0"/>
            </w:pPr>
            <w:r>
              <w:rPr>
                <w:rFonts w:ascii="Calibri" w:hAnsi="Calibri"/>
                <w:b w:val="0"/>
                <w:i w:val="0"/>
                <w:sz w:val="18"/>
              </w:rPr>
              <w:t>Arah akses</w:t>
            </w:r>
          </w:p>
        </w:tc>
        <w:tc>
          <w:tcPr>
            <w:tcW w:type="dxa" w:w="4200"/>
            <w:vAlign w:val="center"/>
            <w:tcMar>
              <w:top w:w="100" w:type="dxa"/>
              <w:start w:w="120" w:type="dxa"/>
              <w:bottom w:w="100" w:type="dxa"/>
              <w:end w:w="120" w:type="dxa"/>
            </w:tcMar>
          </w:tcPr>
          <w:p>
            <w:pPr>
              <w:spacing w:after="0"/>
            </w:pPr>
            <w:r>
              <w:rPr>
                <w:rFonts w:ascii="Calibri" w:hAnsi="Calibri"/>
                <w:b w:val="0"/>
                <w:i w:val="0"/>
                <w:sz w:val="18"/>
              </w:rPr>
              <w:t>Gateway outbound ke broker; server aplikasi ke broker</w:t>
            </w:r>
          </w:p>
        </w:tc>
        <w:tc>
          <w:tcPr>
            <w:tcW w:type="dxa" w:w="3360"/>
            <w:vAlign w:val="center"/>
            <w:tcMar>
              <w:top w:w="100" w:type="dxa"/>
              <w:start w:w="120" w:type="dxa"/>
              <w:bottom w:w="100" w:type="dxa"/>
              <w:end w:w="120" w:type="dxa"/>
            </w:tcMar>
          </w:tcPr>
          <w:p>
            <w:pPr>
              <w:spacing w:after="0"/>
            </w:pPr>
            <w:r>
              <w:rPr>
                <w:rFonts w:ascii="Calibri" w:hAnsi="Calibri"/>
                <w:b w:val="0"/>
                <w:i w:val="0"/>
                <w:sz w:val="18"/>
              </w:rPr>
              <w:t>Aturan firewall harus dibatasi ke host, port, dan segmen yang disetujui.</w:t>
            </w:r>
          </w:p>
        </w:tc>
      </w:tr>
      <w:tr>
        <w:tc>
          <w:tcPr>
            <w:tcW w:type="dxa" w:w="1800"/>
            <w:vAlign w:val="center"/>
            <w:tcMar>
              <w:top w:w="100" w:type="dxa"/>
              <w:start w:w="120" w:type="dxa"/>
              <w:bottom w:w="100" w:type="dxa"/>
              <w:end w:w="120" w:type="dxa"/>
            </w:tcMar>
          </w:tcPr>
          <w:p>
            <w:pPr>
              <w:spacing w:after="0"/>
            </w:pPr>
            <w:r>
              <w:rPr>
                <w:rFonts w:ascii="Calibri" w:hAnsi="Calibri"/>
                <w:b w:val="0"/>
                <w:i w:val="0"/>
                <w:sz w:val="18"/>
              </w:rPr>
              <w:t>Alamat loopback</w:t>
            </w:r>
          </w:p>
        </w:tc>
        <w:tc>
          <w:tcPr>
            <w:tcW w:type="dxa" w:w="4200"/>
            <w:vAlign w:val="center"/>
            <w:tcMar>
              <w:top w:w="100" w:type="dxa"/>
              <w:start w:w="120" w:type="dxa"/>
              <w:bottom w:w="100" w:type="dxa"/>
              <w:end w:w="120" w:type="dxa"/>
            </w:tcMar>
          </w:tcPr>
          <w:p>
            <w:pPr>
              <w:spacing w:after="0"/>
            </w:pPr>
            <w:r>
              <w:rPr>
                <w:rFonts w:ascii="Calibri" w:hAnsi="Calibri"/>
                <w:b w:val="0"/>
                <w:i w:val="0"/>
                <w:sz w:val="18"/>
              </w:rPr>
              <w:t>Tidak dipakai oleh Gateway untuk broker remote</w:t>
            </w:r>
          </w:p>
        </w:tc>
        <w:tc>
          <w:tcPr>
            <w:tcW w:type="dxa" w:w="3360"/>
            <w:vAlign w:val="center"/>
            <w:tcMar>
              <w:top w:w="100" w:type="dxa"/>
              <w:start w:w="120" w:type="dxa"/>
              <w:bottom w:w="100" w:type="dxa"/>
              <w:end w:w="120" w:type="dxa"/>
            </w:tcMar>
          </w:tcPr>
          <w:p>
            <w:pPr>
              <w:spacing w:after="0"/>
            </w:pPr>
            <w:r>
              <w:rPr>
                <w:rFonts w:ascii="Calibri" w:hAnsi="Calibri"/>
                <w:b w:val="0"/>
                <w:i w:val="0"/>
                <w:sz w:val="18"/>
              </w:rPr>
              <w:t>127.0.0.1 hanya valid bagi proses yang berjalan pada host broker itu sendiri.</w:t>
            </w:r>
          </w:p>
        </w:tc>
      </w:tr>
      <w:tr>
        <w:tc>
          <w:tcPr>
            <w:tcW w:type="dxa" w:w="1800"/>
            <w:vAlign w:val="center"/>
            <w:tcMar>
              <w:top w:w="100" w:type="dxa"/>
              <w:start w:w="120" w:type="dxa"/>
              <w:bottom w:w="100" w:type="dxa"/>
              <w:end w:w="120" w:type="dxa"/>
            </w:tcMar>
          </w:tcPr>
          <w:p>
            <w:pPr>
              <w:spacing w:after="0"/>
            </w:pPr>
            <w:r>
              <w:rPr>
                <w:rFonts w:ascii="Calibri" w:hAnsi="Calibri"/>
                <w:b w:val="0"/>
                <w:i w:val="0"/>
                <w:sz w:val="18"/>
              </w:rPr>
              <w:t>Ketersediaan</w:t>
            </w:r>
          </w:p>
        </w:tc>
        <w:tc>
          <w:tcPr>
            <w:tcW w:type="dxa" w:w="4200"/>
            <w:vAlign w:val="center"/>
            <w:tcMar>
              <w:top w:w="100" w:type="dxa"/>
              <w:start w:w="120" w:type="dxa"/>
              <w:bottom w:w="100" w:type="dxa"/>
              <w:end w:w="120" w:type="dxa"/>
            </w:tcMar>
          </w:tcPr>
          <w:p>
            <w:pPr>
              <w:spacing w:after="0"/>
            </w:pPr>
            <w:r>
              <w:rPr>
                <w:rFonts w:ascii="Calibri" w:hAnsi="Calibri"/>
                <w:b w:val="0"/>
                <w:i w:val="0"/>
                <w:sz w:val="18"/>
              </w:rPr>
              <w:t>Koneksi stabil dan DNS/IP terkelola</w:t>
            </w:r>
          </w:p>
        </w:tc>
        <w:tc>
          <w:tcPr>
            <w:tcW w:type="dxa" w:w="3360"/>
            <w:vAlign w:val="center"/>
            <w:tcMar>
              <w:top w:w="100" w:type="dxa"/>
              <w:start w:w="120" w:type="dxa"/>
              <w:bottom w:w="100" w:type="dxa"/>
              <w:end w:w="120" w:type="dxa"/>
            </w:tcMar>
          </w:tcPr>
          <w:p>
            <w:pPr>
              <w:spacing w:after="0"/>
            </w:pPr>
            <w:r>
              <w:rPr>
                <w:rFonts w:ascii="Calibri" w:hAnsi="Calibri"/>
                <w:b w:val="0"/>
                <w:i w:val="0"/>
                <w:sz w:val="18"/>
              </w:rPr>
              <w:t>Gangguan singkat ditoleransi terbatas; bukan pengganti rancangan HA atau persistence broker.</w:t>
            </w:r>
          </w:p>
        </w:tc>
      </w:tr>
    </w:tbl>
    <w:p>
      <w:pPr>
        <w:spacing w:after="40"/>
      </w:pPr>
    </w:p>
    <w:p>
      <w:pPr>
        <w:pStyle w:val="Heading1"/>
      </w:pPr>
      <w:r>
        <w:t>3. Kontrak pertukaran data</w:t>
      </w:r>
    </w:p>
    <w:p>
      <w:pPr>
        <w:spacing w:after="120" w:line="264" w:lineRule="auto"/>
      </w:pPr>
      <w:r>
        <w:rPr>
          <w:rFonts w:ascii="Calibri" w:hAnsi="Calibri"/>
          <w:b w:val="0"/>
          <w:i w:val="0"/>
          <w:sz w:val="22"/>
        </w:rPr>
        <w:t>Komunikasi memakai topic MQTT dengan root gld/gateway. Tim IT tidak perlu mengelola format firmware; yang perlu dipastikan adalah broker, otorisasi, logging, dan consumer aplikasi Server/Site siap menerima jalur berikut.</w:t>
      </w:r>
    </w:p>
    <w:tbl>
      <w:tblPr>
        <w:tblStyle w:val="TableGrid"/>
        <w:tblW w:type="auto" w:w="0"/>
        <w:jc w:val="left"/>
        <w:tblLayout w:type="fixed"/>
        <w:tblLook w:firstColumn="1" w:firstRow="1" w:lastColumn="0" w:lastRow="0" w:noHBand="0" w:noVBand="1" w:val="04A0"/>
        <w:tblW w:w="9360" w:type="dxa"/>
        <w:tblInd w:w="120" w:type="dxa"/>
      </w:tblPr>
      <w:tblGrid>
        <w:gridCol w:w="1550"/>
        <w:gridCol w:w="3000"/>
        <w:gridCol w:w="4810"/>
      </w:tblGrid>
      <w:tr>
        <w:trPr>
          <w:tblHeader w:val="true"/>
        </w:trPr>
        <w:tc>
          <w:tcPr>
            <w:tcW w:type="dxa" w:w="1550"/>
            <w:shd w:fill="F2F4F7"/>
            <w:vAlign w:val="center"/>
            <w:tcMar>
              <w:top w:w="100" w:type="dxa"/>
              <w:start w:w="120" w:type="dxa"/>
              <w:bottom w:w="100" w:type="dxa"/>
              <w:end w:w="120" w:type="dxa"/>
            </w:tcMar>
          </w:tcPr>
          <w:p>
            <w:pPr>
              <w:spacing w:after="0"/>
            </w:pPr>
            <w:r>
              <w:rPr>
                <w:rFonts w:ascii="Calibri" w:hAnsi="Calibri"/>
                <w:b/>
                <w:i w:val="0"/>
                <w:color w:val="0B2545"/>
                <w:sz w:val="19"/>
              </w:rPr>
              <w:t>Arah</w:t>
            </w:r>
          </w:p>
        </w:tc>
        <w:tc>
          <w:tcPr>
            <w:tcW w:type="dxa" w:w="3000"/>
            <w:shd w:fill="F2F4F7"/>
            <w:vAlign w:val="center"/>
            <w:tcMar>
              <w:top w:w="100" w:type="dxa"/>
              <w:start w:w="120" w:type="dxa"/>
              <w:bottom w:w="100" w:type="dxa"/>
              <w:end w:w="120" w:type="dxa"/>
            </w:tcMar>
          </w:tcPr>
          <w:p>
            <w:pPr>
              <w:spacing w:after="0"/>
            </w:pPr>
            <w:r>
              <w:rPr>
                <w:rFonts w:ascii="Calibri" w:hAnsi="Calibri"/>
                <w:b/>
                <w:i w:val="0"/>
                <w:color w:val="0B2545"/>
                <w:sz w:val="19"/>
              </w:rPr>
              <w:t>Kelompok pesan</w:t>
            </w:r>
          </w:p>
        </w:tc>
        <w:tc>
          <w:tcPr>
            <w:tcW w:type="dxa" w:w="4810"/>
            <w:shd w:fill="F2F4F7"/>
            <w:vAlign w:val="center"/>
            <w:tcMar>
              <w:top w:w="100" w:type="dxa"/>
              <w:start w:w="120" w:type="dxa"/>
              <w:bottom w:w="100" w:type="dxa"/>
              <w:end w:w="120" w:type="dxa"/>
            </w:tcMar>
          </w:tcPr>
          <w:p>
            <w:pPr>
              <w:spacing w:after="0"/>
            </w:pPr>
            <w:r>
              <w:rPr>
                <w:rFonts w:ascii="Calibri" w:hAnsi="Calibri"/>
                <w:b/>
                <w:i w:val="0"/>
                <w:color w:val="0B2545"/>
                <w:sz w:val="19"/>
              </w:rPr>
              <w:t>Kegunaan</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Gateway ke Server</w:t>
            </w:r>
          </w:p>
        </w:tc>
        <w:tc>
          <w:tcPr>
            <w:tcW w:type="dxa" w:w="3000"/>
            <w:vAlign w:val="center"/>
            <w:tcMar>
              <w:top w:w="100" w:type="dxa"/>
              <w:start w:w="120" w:type="dxa"/>
              <w:bottom w:w="100" w:type="dxa"/>
              <w:end w:w="120" w:type="dxa"/>
            </w:tcMar>
          </w:tcPr>
          <w:p>
            <w:pPr>
              <w:spacing w:after="0"/>
            </w:pPr>
            <w:r>
              <w:rPr>
                <w:rFonts w:ascii="Calibri" w:hAnsi="Calibri"/>
                <w:b w:val="0"/>
                <w:i w:val="0"/>
                <w:sz w:val="18"/>
              </w:rPr>
              <w:t>Uplink data</w:t>
            </w:r>
          </w:p>
        </w:tc>
        <w:tc>
          <w:tcPr>
            <w:tcW w:type="dxa" w:w="4810"/>
            <w:vAlign w:val="center"/>
            <w:tcMar>
              <w:top w:w="100" w:type="dxa"/>
              <w:start w:w="120" w:type="dxa"/>
              <w:bottom w:w="100" w:type="dxa"/>
              <w:end w:w="120" w:type="dxa"/>
            </w:tcMar>
          </w:tcPr>
          <w:p>
            <w:pPr>
              <w:spacing w:after="0"/>
            </w:pPr>
            <w:r>
              <w:rPr>
                <w:rFonts w:ascii="Calibri" w:hAnsi="Calibri"/>
                <w:b w:val="0"/>
                <w:i w:val="0"/>
                <w:sz w:val="18"/>
              </w:rPr>
              <w:t>Membawa data operasional dari jaringan lapangan ke pemroses server.</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Gateway ke Server</w:t>
            </w:r>
          </w:p>
        </w:tc>
        <w:tc>
          <w:tcPr>
            <w:tcW w:type="dxa" w:w="3000"/>
            <w:vAlign w:val="center"/>
            <w:tcMar>
              <w:top w:w="100" w:type="dxa"/>
              <w:start w:w="120" w:type="dxa"/>
              <w:bottom w:w="100" w:type="dxa"/>
              <w:end w:w="120" w:type="dxa"/>
            </w:tcMar>
          </w:tcPr>
          <w:p>
            <w:pPr>
              <w:spacing w:after="0"/>
            </w:pPr>
            <w:r>
              <w:rPr>
                <w:rFonts w:ascii="Calibri" w:hAnsi="Calibri"/>
                <w:b w:val="0"/>
                <w:i w:val="0"/>
                <w:sz w:val="18"/>
              </w:rPr>
              <w:t>Status dan topologi</w:t>
            </w:r>
          </w:p>
        </w:tc>
        <w:tc>
          <w:tcPr>
            <w:tcW w:type="dxa" w:w="4810"/>
            <w:vAlign w:val="center"/>
            <w:tcMar>
              <w:top w:w="100" w:type="dxa"/>
              <w:start w:w="120" w:type="dxa"/>
              <w:bottom w:w="100" w:type="dxa"/>
              <w:end w:w="120" w:type="dxa"/>
            </w:tcMar>
          </w:tcPr>
          <w:p>
            <w:pPr>
              <w:spacing w:after="0"/>
            </w:pPr>
            <w:r>
              <w:rPr>
                <w:rFonts w:ascii="Calibri" w:hAnsi="Calibri"/>
                <w:b w:val="0"/>
                <w:i w:val="0"/>
                <w:sz w:val="18"/>
              </w:rPr>
              <w:t>Menyampaikan kondisi konektivitas Gateway serta informasi struktur jaringan lapangan.</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Server ke Gateway</w:t>
            </w:r>
          </w:p>
        </w:tc>
        <w:tc>
          <w:tcPr>
            <w:tcW w:type="dxa" w:w="3000"/>
            <w:vAlign w:val="center"/>
            <w:tcMar>
              <w:top w:w="100" w:type="dxa"/>
              <w:start w:w="120" w:type="dxa"/>
              <w:bottom w:w="100" w:type="dxa"/>
              <w:end w:w="120" w:type="dxa"/>
            </w:tcMar>
          </w:tcPr>
          <w:p>
            <w:pPr>
              <w:spacing w:after="0"/>
            </w:pPr>
            <w:r>
              <w:rPr>
                <w:rFonts w:ascii="Calibri" w:hAnsi="Calibri"/>
                <w:b w:val="0"/>
                <w:i w:val="0"/>
                <w:sz w:val="18"/>
              </w:rPr>
              <w:t>Command</w:t>
            </w:r>
          </w:p>
        </w:tc>
        <w:tc>
          <w:tcPr>
            <w:tcW w:type="dxa" w:w="4810"/>
            <w:vAlign w:val="center"/>
            <w:tcMar>
              <w:top w:w="100" w:type="dxa"/>
              <w:start w:w="120" w:type="dxa"/>
              <w:bottom w:w="100" w:type="dxa"/>
              <w:end w:w="120" w:type="dxa"/>
            </w:tcMar>
          </w:tcPr>
          <w:p>
            <w:pPr>
              <w:spacing w:after="0"/>
            </w:pPr>
            <w:r>
              <w:rPr>
                <w:rFonts w:ascii="Calibri" w:hAnsi="Calibri"/>
                <w:b w:val="0"/>
                <w:i w:val="0"/>
                <w:sz w:val="18"/>
              </w:rPr>
              <w:t>Membawa permintaan data atau perintah node yang telah melalui otorisasi server.</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Server internal</w:t>
            </w:r>
          </w:p>
        </w:tc>
        <w:tc>
          <w:tcPr>
            <w:tcW w:type="dxa" w:w="3000"/>
            <w:vAlign w:val="center"/>
            <w:tcMar>
              <w:top w:w="100" w:type="dxa"/>
              <w:start w:w="120" w:type="dxa"/>
              <w:bottom w:w="100" w:type="dxa"/>
              <w:end w:w="120" w:type="dxa"/>
            </w:tcMar>
          </w:tcPr>
          <w:p>
            <w:pPr>
              <w:spacing w:after="0"/>
            </w:pPr>
            <w:r>
              <w:rPr>
                <w:rFonts w:ascii="Calibri" w:hAnsi="Calibri"/>
                <w:b w:val="0"/>
                <w:i w:val="0"/>
                <w:sz w:val="18"/>
              </w:rPr>
              <w:t>Hasil proses</w:t>
            </w:r>
          </w:p>
        </w:tc>
        <w:tc>
          <w:tcPr>
            <w:tcW w:type="dxa" w:w="4810"/>
            <w:vAlign w:val="center"/>
            <w:tcMar>
              <w:top w:w="100" w:type="dxa"/>
              <w:start w:w="120" w:type="dxa"/>
              <w:bottom w:w="100" w:type="dxa"/>
              <w:end w:w="120" w:type="dxa"/>
            </w:tcMar>
          </w:tcPr>
          <w:p>
            <w:pPr>
              <w:spacing w:after="0"/>
            </w:pPr>
            <w:r>
              <w:rPr>
                <w:rFonts w:ascii="Calibri" w:hAnsi="Calibri"/>
                <w:b w:val="0"/>
                <w:i w:val="0"/>
                <w:sz w:val="18"/>
              </w:rPr>
              <w:t>Menyediakan data terdecode, alarm, integritas data, replay, dan error untuk aplikasi/monitoring.</w:t>
            </w:r>
          </w:p>
        </w:tc>
      </w:tr>
    </w:tbl>
    <w:p>
      <w:pPr>
        <w:spacing w:after="40"/>
      </w:pPr>
    </w:p>
    <w:p>
      <w:pPr>
        <w:spacing w:before="80" w:after="160"/>
        <w:shd w:fill="F4F6F9"/>
      </w:pPr>
      <w:r>
        <w:rPr>
          <w:rFonts w:ascii="Calibri" w:hAnsi="Calibri"/>
          <w:b/>
          <w:i w:val="0"/>
          <w:color w:val="0B2545"/>
          <w:sz w:val="20"/>
        </w:rPr>
        <w:t xml:space="preserve">PRINSIP DATA  </w:t>
      </w:r>
      <w:r>
        <w:rPr>
          <w:rFonts w:ascii="Calibri" w:hAnsi="Calibri"/>
          <w:b w:val="0"/>
          <w:i w:val="0"/>
          <w:sz w:val="20"/>
        </w:rPr>
        <w:t>Aplikasi server menjadi titik kontrol: command harus diotorisasi sebelum dikirim ke Gateway; alarm dan data sensitif harus diproses melalui jalur yang dapat diaudit.</w:t>
      </w:r>
    </w:p>
    <w:p>
      <w:pPr>
        <w:pStyle w:val="Heading1"/>
      </w:pPr>
      <w:r>
        <w:t>4. Keamanan dan pengelolaan rahasia</w:t>
      </w:r>
    </w:p>
    <w:tbl>
      <w:tblPr>
        <w:tblStyle w:val="TableGrid"/>
        <w:tblW w:type="auto" w:w="0"/>
        <w:jc w:val="left"/>
        <w:tblLayout w:type="fixed"/>
        <w:tblLook w:firstColumn="1" w:firstRow="1" w:lastColumn="0" w:lastRow="0" w:noHBand="0" w:noVBand="1" w:val="04A0"/>
        <w:tblW w:w="9360" w:type="dxa"/>
        <w:tblInd w:w="120" w:type="dxa"/>
      </w:tblPr>
      <w:tblGrid>
        <w:gridCol w:w="2450"/>
        <w:gridCol w:w="6910"/>
      </w:tblGrid>
      <w:tr>
        <w:trPr>
          <w:tblHeader w:val="true"/>
        </w:trPr>
        <w:tc>
          <w:tcPr>
            <w:tcW w:type="dxa" w:w="2450"/>
            <w:shd w:fill="F2F4F7"/>
            <w:vAlign w:val="center"/>
            <w:tcMar>
              <w:top w:w="100" w:type="dxa"/>
              <w:start w:w="120" w:type="dxa"/>
              <w:bottom w:w="100" w:type="dxa"/>
              <w:end w:w="120" w:type="dxa"/>
            </w:tcMar>
          </w:tcPr>
          <w:p>
            <w:pPr>
              <w:spacing w:after="0"/>
            </w:pPr>
            <w:r>
              <w:rPr>
                <w:rFonts w:ascii="Calibri" w:hAnsi="Calibri"/>
                <w:b/>
                <w:i w:val="0"/>
                <w:color w:val="0B2545"/>
                <w:sz w:val="19"/>
              </w:rPr>
              <w:t>Area</w:t>
            </w:r>
          </w:p>
        </w:tc>
        <w:tc>
          <w:tcPr>
            <w:tcW w:type="dxa" w:w="6910"/>
            <w:shd w:fill="F2F4F7"/>
            <w:vAlign w:val="center"/>
            <w:tcMar>
              <w:top w:w="100" w:type="dxa"/>
              <w:start w:w="120" w:type="dxa"/>
              <w:bottom w:w="100" w:type="dxa"/>
              <w:end w:w="120" w:type="dxa"/>
            </w:tcMar>
          </w:tcPr>
          <w:p>
            <w:pPr>
              <w:spacing w:after="0"/>
            </w:pPr>
            <w:r>
              <w:rPr>
                <w:rFonts w:ascii="Calibri" w:hAnsi="Calibri"/>
                <w:b/>
                <w:i w:val="0"/>
                <w:color w:val="0B2545"/>
                <w:sz w:val="19"/>
              </w:rPr>
              <w:t>Kebutuhan minimum</w:t>
            </w:r>
          </w:p>
        </w:tc>
      </w:tr>
      <w:tr>
        <w:tc>
          <w:tcPr>
            <w:tcW w:type="dxa" w:w="2450"/>
            <w:vAlign w:val="center"/>
            <w:tcMar>
              <w:top w:w="100" w:type="dxa"/>
              <w:start w:w="120" w:type="dxa"/>
              <w:bottom w:w="100" w:type="dxa"/>
              <w:end w:w="120" w:type="dxa"/>
            </w:tcMar>
          </w:tcPr>
          <w:p>
            <w:pPr>
              <w:spacing w:after="0"/>
            </w:pPr>
            <w:r>
              <w:rPr>
                <w:rFonts w:ascii="Calibri" w:hAnsi="Calibri"/>
                <w:b w:val="0"/>
                <w:i w:val="0"/>
                <w:sz w:val="18"/>
              </w:rPr>
              <w:t>Identitas dan akses MQTT</w:t>
            </w:r>
          </w:p>
        </w:tc>
        <w:tc>
          <w:tcPr>
            <w:tcW w:type="dxa" w:w="6910"/>
            <w:vAlign w:val="center"/>
            <w:tcMar>
              <w:top w:w="100" w:type="dxa"/>
              <w:start w:w="120" w:type="dxa"/>
              <w:bottom w:w="100" w:type="dxa"/>
              <w:end w:w="120" w:type="dxa"/>
            </w:tcMar>
          </w:tcPr>
          <w:p>
            <w:pPr>
              <w:spacing w:after="0"/>
            </w:pPr>
            <w:r>
              <w:rPr>
                <w:rFonts w:ascii="Calibri" w:hAnsi="Calibri"/>
                <w:b w:val="0"/>
                <w:i w:val="0"/>
                <w:sz w:val="18"/>
              </w:rPr>
              <w:t>Gunakan credential unik per lingkungan/perangkat atau kebijakan identitas yang setara; jangan memasukkan credential produksi ke source code atau dokumen.</w:t>
            </w:r>
          </w:p>
        </w:tc>
      </w:tr>
      <w:tr>
        <w:tc>
          <w:tcPr>
            <w:tcW w:type="dxa" w:w="2450"/>
            <w:vAlign w:val="center"/>
            <w:tcMar>
              <w:top w:w="100" w:type="dxa"/>
              <w:start w:w="120" w:type="dxa"/>
              <w:bottom w:w="100" w:type="dxa"/>
              <w:end w:w="120" w:type="dxa"/>
            </w:tcMar>
          </w:tcPr>
          <w:p>
            <w:pPr>
              <w:spacing w:after="0"/>
            </w:pPr>
            <w:r>
              <w:rPr>
                <w:rFonts w:ascii="Calibri" w:hAnsi="Calibri"/>
                <w:b w:val="0"/>
                <w:i w:val="0"/>
                <w:sz w:val="18"/>
              </w:rPr>
              <w:t>Enkripsi transport</w:t>
            </w:r>
          </w:p>
        </w:tc>
        <w:tc>
          <w:tcPr>
            <w:tcW w:type="dxa" w:w="6910"/>
            <w:vAlign w:val="center"/>
            <w:tcMar>
              <w:top w:w="100" w:type="dxa"/>
              <w:start w:w="120" w:type="dxa"/>
              <w:bottom w:w="100" w:type="dxa"/>
              <w:end w:w="120" w:type="dxa"/>
            </w:tcMar>
          </w:tcPr>
          <w:p>
            <w:pPr>
              <w:spacing w:after="0"/>
            </w:pPr>
            <w:r>
              <w:rPr>
                <w:rFonts w:ascii="Calibri" w:hAnsi="Calibri"/>
                <w:b w:val="0"/>
                <w:i w:val="0"/>
                <w:sz w:val="18"/>
              </w:rPr>
              <w:t>Gunakan TLS untuk komunikasi non-loopback sesuai kebijakan security site. Pengecualian hanya untuk bench yang terisolasi dan disetujui.</w:t>
            </w:r>
          </w:p>
        </w:tc>
      </w:tr>
      <w:tr>
        <w:tc>
          <w:tcPr>
            <w:tcW w:type="dxa" w:w="2450"/>
            <w:vAlign w:val="center"/>
            <w:tcMar>
              <w:top w:w="100" w:type="dxa"/>
              <w:start w:w="120" w:type="dxa"/>
              <w:bottom w:w="100" w:type="dxa"/>
              <w:end w:w="120" w:type="dxa"/>
            </w:tcMar>
          </w:tcPr>
          <w:p>
            <w:pPr>
              <w:spacing w:after="0"/>
            </w:pPr>
            <w:r>
              <w:rPr>
                <w:rFonts w:ascii="Calibri" w:hAnsi="Calibri"/>
                <w:b w:val="0"/>
                <w:i w:val="0"/>
                <w:sz w:val="18"/>
              </w:rPr>
              <w:t>Secret aplikasi</w:t>
            </w:r>
          </w:p>
        </w:tc>
        <w:tc>
          <w:tcPr>
            <w:tcW w:type="dxa" w:w="6910"/>
            <w:vAlign w:val="center"/>
            <w:tcMar>
              <w:top w:w="100" w:type="dxa"/>
              <w:start w:w="120" w:type="dxa"/>
              <w:bottom w:w="100" w:type="dxa"/>
              <w:end w:w="120" w:type="dxa"/>
            </w:tcMar>
          </w:tcPr>
          <w:p>
            <w:pPr>
              <w:spacing w:after="0"/>
            </w:pPr>
            <w:r>
              <w:rPr>
                <w:rFonts w:ascii="Calibri" w:hAnsi="Calibri"/>
                <w:b w:val="0"/>
                <w:i w:val="0"/>
                <w:sz w:val="18"/>
              </w:rPr>
              <w:t>Kunci enkripsi data dan token otorisasi command disimpan pada secret store atau environment runtime yang dikelola IT.</w:t>
            </w:r>
          </w:p>
        </w:tc>
      </w:tr>
      <w:tr>
        <w:tc>
          <w:tcPr>
            <w:tcW w:type="dxa" w:w="2450"/>
            <w:vAlign w:val="center"/>
            <w:tcMar>
              <w:top w:w="100" w:type="dxa"/>
              <w:start w:w="120" w:type="dxa"/>
              <w:bottom w:w="100" w:type="dxa"/>
              <w:end w:w="120" w:type="dxa"/>
            </w:tcMar>
          </w:tcPr>
          <w:p>
            <w:pPr>
              <w:spacing w:after="0"/>
            </w:pPr>
            <w:r>
              <w:rPr>
                <w:rFonts w:ascii="Calibri" w:hAnsi="Calibri"/>
                <w:b w:val="0"/>
                <w:i w:val="0"/>
                <w:sz w:val="18"/>
              </w:rPr>
              <w:t>Segmentasi</w:t>
            </w:r>
          </w:p>
        </w:tc>
        <w:tc>
          <w:tcPr>
            <w:tcW w:type="dxa" w:w="6910"/>
            <w:vAlign w:val="center"/>
            <w:tcMar>
              <w:top w:w="100" w:type="dxa"/>
              <w:start w:w="120" w:type="dxa"/>
              <w:bottom w:w="100" w:type="dxa"/>
              <w:end w:w="120" w:type="dxa"/>
            </w:tcMar>
          </w:tcPr>
          <w:p>
            <w:pPr>
              <w:spacing w:after="0"/>
            </w:pPr>
            <w:r>
              <w:rPr>
                <w:rFonts w:ascii="Calibri" w:hAnsi="Calibri"/>
                <w:b w:val="0"/>
                <w:i w:val="0"/>
                <w:sz w:val="18"/>
              </w:rPr>
              <w:t>Pisahkan jaringan perangkat/OT dari jaringan aplikasi sesuai desain site; buka akses minimum melalui firewall.</w:t>
            </w:r>
          </w:p>
        </w:tc>
      </w:tr>
      <w:tr>
        <w:tc>
          <w:tcPr>
            <w:tcW w:type="dxa" w:w="2450"/>
            <w:vAlign w:val="center"/>
            <w:tcMar>
              <w:top w:w="100" w:type="dxa"/>
              <w:start w:w="120" w:type="dxa"/>
              <w:bottom w:w="100" w:type="dxa"/>
              <w:end w:w="120" w:type="dxa"/>
            </w:tcMar>
          </w:tcPr>
          <w:p>
            <w:pPr>
              <w:spacing w:after="0"/>
            </w:pPr>
            <w:r>
              <w:rPr>
                <w:rFonts w:ascii="Calibri" w:hAnsi="Calibri"/>
                <w:b w:val="0"/>
                <w:i w:val="0"/>
                <w:sz w:val="18"/>
              </w:rPr>
              <w:t>Audit</w:t>
            </w:r>
          </w:p>
        </w:tc>
        <w:tc>
          <w:tcPr>
            <w:tcW w:type="dxa" w:w="6910"/>
            <w:vAlign w:val="center"/>
            <w:tcMar>
              <w:top w:w="100" w:type="dxa"/>
              <w:start w:w="120" w:type="dxa"/>
              <w:bottom w:w="100" w:type="dxa"/>
              <w:end w:w="120" w:type="dxa"/>
            </w:tcMar>
          </w:tcPr>
          <w:p>
            <w:pPr>
              <w:spacing w:after="0"/>
            </w:pPr>
            <w:r>
              <w:rPr>
                <w:rFonts w:ascii="Calibri" w:hAnsi="Calibri"/>
                <w:b w:val="0"/>
                <w:i w:val="0"/>
                <w:sz w:val="18"/>
              </w:rPr>
              <w:t>Simpan log autentikasi broker, koneksi/disconnect, error processing, dan aktivitas command untuk investigasi.</w:t>
            </w:r>
          </w:p>
        </w:tc>
      </w:tr>
    </w:tbl>
    <w:p>
      <w:pPr>
        <w:spacing w:after="40"/>
      </w:pPr>
    </w:p>
    <w:p>
      <w:pPr>
        <w:pStyle w:val="Heading1"/>
      </w:pPr>
      <w:r>
        <w:t>5. Operasi, monitoring, dan respons gangguan</w:t>
      </w:r>
    </w:p>
    <w:p>
      <w:pPr>
        <w:spacing w:after="120" w:line="264" w:lineRule="auto"/>
      </w:pPr>
      <w:r>
        <w:rPr>
          <w:rFonts w:ascii="Calibri" w:hAnsi="Calibri"/>
          <w:b w:val="0"/>
          <w:i w:val="0"/>
          <w:sz w:val="22"/>
        </w:rPr>
        <w:t>Status Gateway memuat kesehatan konektivitas Wi-Fi dan MQTT, identitas perangkat, status subscription, serta indikator antrean pesan. Informasi ini sebaiknya diambil oleh monitoring Server/Site dan diberi alert sesuai ambang operasional yang disepakati.</w:t>
      </w:r>
    </w:p>
    <w:tbl>
      <w:tblPr>
        <w:tblStyle w:val="TableGrid"/>
        <w:tblW w:type="auto" w:w="0"/>
        <w:jc w:val="left"/>
        <w:tblLayout w:type="fixed"/>
        <w:tblLook w:firstColumn="1" w:firstRow="1" w:lastColumn="0" w:lastRow="0" w:noHBand="0" w:noVBand="1" w:val="04A0"/>
        <w:tblW w:w="9360" w:type="dxa"/>
        <w:tblInd w:w="120" w:type="dxa"/>
      </w:tblPr>
      <w:tblGrid>
        <w:gridCol w:w="2000"/>
        <w:gridCol w:w="3300"/>
        <w:gridCol w:w="4060"/>
      </w:tblGrid>
      <w:tr>
        <w:trPr>
          <w:tblHeader w:val="true"/>
        </w:trPr>
        <w:tc>
          <w:tcPr>
            <w:tcW w:type="dxa" w:w="2000"/>
            <w:shd w:fill="F2F4F7"/>
            <w:vAlign w:val="center"/>
            <w:tcMar>
              <w:top w:w="100" w:type="dxa"/>
              <w:start w:w="120" w:type="dxa"/>
              <w:bottom w:w="100" w:type="dxa"/>
              <w:end w:w="120" w:type="dxa"/>
            </w:tcMar>
          </w:tcPr>
          <w:p>
            <w:pPr>
              <w:spacing w:after="0"/>
            </w:pPr>
            <w:r>
              <w:rPr>
                <w:rFonts w:ascii="Calibri" w:hAnsi="Calibri"/>
                <w:b/>
                <w:i w:val="0"/>
                <w:color w:val="0B2545"/>
                <w:sz w:val="19"/>
              </w:rPr>
              <w:t>Kondisi</w:t>
            </w:r>
          </w:p>
        </w:tc>
        <w:tc>
          <w:tcPr>
            <w:tcW w:type="dxa" w:w="3300"/>
            <w:shd w:fill="F2F4F7"/>
            <w:vAlign w:val="center"/>
            <w:tcMar>
              <w:top w:w="100" w:type="dxa"/>
              <w:start w:w="120" w:type="dxa"/>
              <w:bottom w:w="100" w:type="dxa"/>
              <w:end w:w="120" w:type="dxa"/>
            </w:tcMar>
          </w:tcPr>
          <w:p>
            <w:pPr>
              <w:spacing w:after="0"/>
            </w:pPr>
            <w:r>
              <w:rPr>
                <w:rFonts w:ascii="Calibri" w:hAnsi="Calibri"/>
                <w:b/>
                <w:i w:val="0"/>
                <w:color w:val="0B2545"/>
                <w:sz w:val="19"/>
              </w:rPr>
              <w:t>Indikasi</w:t>
            </w:r>
          </w:p>
        </w:tc>
        <w:tc>
          <w:tcPr>
            <w:tcW w:type="dxa" w:w="4060"/>
            <w:shd w:fill="F2F4F7"/>
            <w:vAlign w:val="center"/>
            <w:tcMar>
              <w:top w:w="100" w:type="dxa"/>
              <w:start w:w="120" w:type="dxa"/>
              <w:bottom w:w="100" w:type="dxa"/>
              <w:end w:w="120" w:type="dxa"/>
            </w:tcMar>
          </w:tcPr>
          <w:p>
            <w:pPr>
              <w:spacing w:after="0"/>
            </w:pPr>
            <w:r>
              <w:rPr>
                <w:rFonts w:ascii="Calibri" w:hAnsi="Calibri"/>
                <w:b/>
                <w:i w:val="0"/>
                <w:color w:val="0B2545"/>
                <w:sz w:val="19"/>
              </w:rPr>
              <w:t>Respons awal IT</w:t>
            </w:r>
          </w:p>
        </w:tc>
      </w:tr>
      <w:tr>
        <w:tc>
          <w:tcPr>
            <w:tcW w:type="dxa" w:w="2000"/>
            <w:vAlign w:val="center"/>
            <w:tcMar>
              <w:top w:w="100" w:type="dxa"/>
              <w:start w:w="120" w:type="dxa"/>
              <w:bottom w:w="100" w:type="dxa"/>
              <w:end w:w="120" w:type="dxa"/>
            </w:tcMar>
          </w:tcPr>
          <w:p>
            <w:pPr>
              <w:spacing w:after="0"/>
            </w:pPr>
            <w:r>
              <w:rPr>
                <w:rFonts w:ascii="Calibri" w:hAnsi="Calibri"/>
                <w:b w:val="0"/>
                <w:i w:val="0"/>
                <w:sz w:val="18"/>
              </w:rPr>
              <w:t>Gateway tidak terhubung broker</w:t>
            </w:r>
          </w:p>
        </w:tc>
        <w:tc>
          <w:tcPr>
            <w:tcW w:type="dxa" w:w="3300"/>
            <w:vAlign w:val="center"/>
            <w:tcMar>
              <w:top w:w="100" w:type="dxa"/>
              <w:start w:w="120" w:type="dxa"/>
              <w:bottom w:w="100" w:type="dxa"/>
              <w:end w:w="120" w:type="dxa"/>
            </w:tcMar>
          </w:tcPr>
          <w:p>
            <w:pPr>
              <w:spacing w:after="0"/>
            </w:pPr>
            <w:r>
              <w:rPr>
                <w:rFonts w:ascii="Calibri" w:hAnsi="Calibri"/>
                <w:b w:val="0"/>
                <w:i w:val="0"/>
                <w:sz w:val="18"/>
              </w:rPr>
              <w:t>Status MQTT tidak aktif atau log connect gagal</w:t>
            </w:r>
          </w:p>
        </w:tc>
        <w:tc>
          <w:tcPr>
            <w:tcW w:type="dxa" w:w="4060"/>
            <w:vAlign w:val="center"/>
            <w:tcMar>
              <w:top w:w="100" w:type="dxa"/>
              <w:start w:w="120" w:type="dxa"/>
              <w:bottom w:w="100" w:type="dxa"/>
              <w:end w:w="120" w:type="dxa"/>
            </w:tcMar>
          </w:tcPr>
          <w:p>
            <w:pPr>
              <w:spacing w:after="0"/>
            </w:pPr>
            <w:r>
              <w:rPr>
                <w:rFonts w:ascii="Calibri" w:hAnsi="Calibri"/>
                <w:b w:val="0"/>
                <w:i w:val="0"/>
                <w:sz w:val="18"/>
              </w:rPr>
              <w:t>Verifikasi DNS/IP, rute, firewall, listener broker, dan credential tanpa membuka secret di tiket/log publik.</w:t>
            </w:r>
          </w:p>
        </w:tc>
      </w:tr>
      <w:tr>
        <w:tc>
          <w:tcPr>
            <w:tcW w:type="dxa" w:w="2000"/>
            <w:vAlign w:val="center"/>
            <w:tcMar>
              <w:top w:w="100" w:type="dxa"/>
              <w:start w:w="120" w:type="dxa"/>
              <w:bottom w:w="100" w:type="dxa"/>
              <w:end w:w="120" w:type="dxa"/>
            </w:tcMar>
          </w:tcPr>
          <w:p>
            <w:pPr>
              <w:spacing w:after="0"/>
            </w:pPr>
            <w:r>
              <w:rPr>
                <w:rFonts w:ascii="Calibri" w:hAnsi="Calibri"/>
                <w:b w:val="0"/>
                <w:i w:val="0"/>
                <w:sz w:val="18"/>
              </w:rPr>
              <w:t>Antrean data meningkat</w:t>
            </w:r>
          </w:p>
        </w:tc>
        <w:tc>
          <w:tcPr>
            <w:tcW w:type="dxa" w:w="3300"/>
            <w:vAlign w:val="center"/>
            <w:tcMar>
              <w:top w:w="100" w:type="dxa"/>
              <w:start w:w="120" w:type="dxa"/>
              <w:bottom w:w="100" w:type="dxa"/>
              <w:end w:w="120" w:type="dxa"/>
            </w:tcMar>
          </w:tcPr>
          <w:p>
            <w:pPr>
              <w:spacing w:after="0"/>
            </w:pPr>
            <w:r>
              <w:rPr>
                <w:rFonts w:ascii="Calibri" w:hAnsi="Calibri"/>
                <w:b w:val="0"/>
                <w:i w:val="0"/>
                <w:sz w:val="18"/>
              </w:rPr>
              <w:t>Counter antrean atau drop bertambah</w:t>
            </w:r>
          </w:p>
        </w:tc>
        <w:tc>
          <w:tcPr>
            <w:tcW w:type="dxa" w:w="4060"/>
            <w:vAlign w:val="center"/>
            <w:tcMar>
              <w:top w:w="100" w:type="dxa"/>
              <w:start w:w="120" w:type="dxa"/>
              <w:bottom w:w="100" w:type="dxa"/>
              <w:end w:w="120" w:type="dxa"/>
            </w:tcMar>
          </w:tcPr>
          <w:p>
            <w:pPr>
              <w:spacing w:after="0"/>
            </w:pPr>
            <w:r>
              <w:rPr>
                <w:rFonts w:ascii="Calibri" w:hAnsi="Calibri"/>
                <w:b w:val="0"/>
                <w:i w:val="0"/>
                <w:sz w:val="18"/>
              </w:rPr>
              <w:t>Periksa ketersediaan broker/network dan kapasitas consumer; queue perangkat bersifat sementara.</w:t>
            </w:r>
          </w:p>
        </w:tc>
      </w:tr>
      <w:tr>
        <w:tc>
          <w:tcPr>
            <w:tcW w:type="dxa" w:w="2000"/>
            <w:vAlign w:val="center"/>
            <w:tcMar>
              <w:top w:w="100" w:type="dxa"/>
              <w:start w:w="120" w:type="dxa"/>
              <w:bottom w:w="100" w:type="dxa"/>
              <w:end w:w="120" w:type="dxa"/>
            </w:tcMar>
          </w:tcPr>
          <w:p>
            <w:pPr>
              <w:spacing w:after="0"/>
            </w:pPr>
            <w:r>
              <w:rPr>
                <w:rFonts w:ascii="Calibri" w:hAnsi="Calibri"/>
                <w:b w:val="0"/>
                <w:i w:val="0"/>
                <w:sz w:val="18"/>
              </w:rPr>
              <w:t>Data ditolak server</w:t>
            </w:r>
          </w:p>
        </w:tc>
        <w:tc>
          <w:tcPr>
            <w:tcW w:type="dxa" w:w="3300"/>
            <w:vAlign w:val="center"/>
            <w:tcMar>
              <w:top w:w="100" w:type="dxa"/>
              <w:start w:w="120" w:type="dxa"/>
              <w:bottom w:w="100" w:type="dxa"/>
              <w:end w:w="120" w:type="dxa"/>
            </w:tcMar>
          </w:tcPr>
          <w:p>
            <w:pPr>
              <w:spacing w:after="0"/>
            </w:pPr>
            <w:r>
              <w:rPr>
                <w:rFonts w:ascii="Calibri" w:hAnsi="Calibri"/>
                <w:b w:val="0"/>
                <w:i w:val="0"/>
                <w:sz w:val="18"/>
              </w:rPr>
              <w:t>Event integritas atau replay muncul</w:t>
            </w:r>
          </w:p>
        </w:tc>
        <w:tc>
          <w:tcPr>
            <w:tcW w:type="dxa" w:w="4060"/>
            <w:vAlign w:val="center"/>
            <w:tcMar>
              <w:top w:w="100" w:type="dxa"/>
              <w:start w:w="120" w:type="dxa"/>
              <w:bottom w:w="100" w:type="dxa"/>
              <w:end w:w="120" w:type="dxa"/>
            </w:tcMar>
          </w:tcPr>
          <w:p>
            <w:pPr>
              <w:spacing w:after="0"/>
            </w:pPr>
            <w:r>
              <w:rPr>
                <w:rFonts w:ascii="Calibri" w:hAnsi="Calibri"/>
                <w:b w:val="0"/>
                <w:i w:val="0"/>
                <w:sz w:val="18"/>
              </w:rPr>
              <w:t>Periksa secret runtime, waktu/log event, dan konfigurasi aplikasi; jangan mem-bypass validasi keamanan.</w:t>
            </w:r>
          </w:p>
        </w:tc>
      </w:tr>
      <w:tr>
        <w:tc>
          <w:tcPr>
            <w:tcW w:type="dxa" w:w="2000"/>
            <w:vAlign w:val="center"/>
            <w:tcMar>
              <w:top w:w="100" w:type="dxa"/>
              <w:start w:w="120" w:type="dxa"/>
              <w:bottom w:w="100" w:type="dxa"/>
              <w:end w:w="120" w:type="dxa"/>
            </w:tcMar>
          </w:tcPr>
          <w:p>
            <w:pPr>
              <w:spacing w:after="0"/>
            </w:pPr>
            <w:r>
              <w:rPr>
                <w:rFonts w:ascii="Calibri" w:hAnsi="Calibri"/>
                <w:b w:val="0"/>
                <w:i w:val="0"/>
                <w:sz w:val="18"/>
              </w:rPr>
              <w:t>Command tidak terlaksana</w:t>
            </w:r>
          </w:p>
        </w:tc>
        <w:tc>
          <w:tcPr>
            <w:tcW w:type="dxa" w:w="3300"/>
            <w:vAlign w:val="center"/>
            <w:tcMar>
              <w:top w:w="100" w:type="dxa"/>
              <w:start w:w="120" w:type="dxa"/>
              <w:bottom w:w="100" w:type="dxa"/>
              <w:end w:w="120" w:type="dxa"/>
            </w:tcMar>
          </w:tcPr>
          <w:p>
            <w:pPr>
              <w:spacing w:after="0"/>
            </w:pPr>
            <w:r>
              <w:rPr>
                <w:rFonts w:ascii="Calibri" w:hAnsi="Calibri"/>
                <w:b w:val="0"/>
                <w:i w:val="0"/>
                <w:sz w:val="18"/>
              </w:rPr>
              <w:t>Tidak ada respons atau error command</w:t>
            </w:r>
          </w:p>
        </w:tc>
        <w:tc>
          <w:tcPr>
            <w:tcW w:type="dxa" w:w="4060"/>
            <w:vAlign w:val="center"/>
            <w:tcMar>
              <w:top w:w="100" w:type="dxa"/>
              <w:start w:w="120" w:type="dxa"/>
              <w:bottom w:w="100" w:type="dxa"/>
              <w:end w:w="120" w:type="dxa"/>
            </w:tcMar>
          </w:tcPr>
          <w:p>
            <w:pPr>
              <w:spacing w:after="0"/>
            </w:pPr>
            <w:r>
              <w:rPr>
                <w:rFonts w:ascii="Calibri" w:hAnsi="Calibri"/>
                <w:b w:val="0"/>
                <w:i w:val="0"/>
                <w:sz w:val="18"/>
              </w:rPr>
              <w:t>Verifikasi otorisasi, topic/ACL, konektivitas Gateway, lalu audit payload secara aman.</w:t>
            </w:r>
          </w:p>
        </w:tc>
      </w:tr>
    </w:tbl>
    <w:p>
      <w:pPr>
        <w:spacing w:after="40"/>
      </w:pPr>
    </w:p>
    <w:p>
      <w:pPr>
        <w:pStyle w:val="Heading1"/>
      </w:pPr>
      <w:r>
        <w:t>6. Pembagian peran</w:t>
      </w:r>
    </w:p>
    <w:tbl>
      <w:tblPr>
        <w:tblStyle w:val="TableGrid"/>
        <w:tblW w:type="auto" w:w="0"/>
        <w:jc w:val="left"/>
        <w:tblLayout w:type="fixed"/>
        <w:tblLook w:firstColumn="1" w:firstRow="1" w:lastColumn="0" w:lastRow="0" w:noHBand="0" w:noVBand="1" w:val="04A0"/>
        <w:tblW w:w="9360" w:type="dxa"/>
        <w:tblInd w:w="120" w:type="dxa"/>
      </w:tblPr>
      <w:tblGrid>
        <w:gridCol w:w="2700"/>
        <w:gridCol w:w="6660"/>
      </w:tblGrid>
      <w:tr>
        <w:trPr>
          <w:tblHeader w:val="true"/>
        </w:trPr>
        <w:tc>
          <w:tcPr>
            <w:tcW w:type="dxa" w:w="2700"/>
            <w:shd w:fill="F2F4F7"/>
            <w:vAlign w:val="center"/>
            <w:tcMar>
              <w:top w:w="100" w:type="dxa"/>
              <w:start w:w="120" w:type="dxa"/>
              <w:bottom w:w="100" w:type="dxa"/>
              <w:end w:w="120" w:type="dxa"/>
            </w:tcMar>
          </w:tcPr>
          <w:p>
            <w:pPr>
              <w:spacing w:after="0"/>
            </w:pPr>
            <w:r>
              <w:rPr>
                <w:rFonts w:ascii="Calibri" w:hAnsi="Calibri"/>
                <w:b/>
                <w:i w:val="0"/>
                <w:color w:val="0B2545"/>
                <w:sz w:val="19"/>
              </w:rPr>
              <w:t>Pihak</w:t>
            </w:r>
          </w:p>
        </w:tc>
        <w:tc>
          <w:tcPr>
            <w:tcW w:type="dxa" w:w="6660"/>
            <w:shd w:fill="F2F4F7"/>
            <w:vAlign w:val="center"/>
            <w:tcMar>
              <w:top w:w="100" w:type="dxa"/>
              <w:start w:w="120" w:type="dxa"/>
              <w:bottom w:w="100" w:type="dxa"/>
              <w:end w:w="120" w:type="dxa"/>
            </w:tcMar>
          </w:tcPr>
          <w:p>
            <w:pPr>
              <w:spacing w:after="0"/>
            </w:pPr>
            <w:r>
              <w:rPr>
                <w:rFonts w:ascii="Calibri" w:hAnsi="Calibri"/>
                <w:b/>
                <w:i w:val="0"/>
                <w:color w:val="0B2545"/>
                <w:sz w:val="19"/>
              </w:rPr>
              <w:t>Tanggung jawab utama</w:t>
            </w:r>
          </w:p>
        </w:tc>
      </w:tr>
      <w:tr>
        <w:tc>
          <w:tcPr>
            <w:tcW w:type="dxa" w:w="2700"/>
            <w:vAlign w:val="center"/>
            <w:tcMar>
              <w:top w:w="100" w:type="dxa"/>
              <w:start w:w="120" w:type="dxa"/>
              <w:bottom w:w="100" w:type="dxa"/>
              <w:end w:w="120" w:type="dxa"/>
            </w:tcMar>
          </w:tcPr>
          <w:p>
            <w:pPr>
              <w:spacing w:after="0"/>
            </w:pPr>
            <w:r>
              <w:rPr>
                <w:rFonts w:ascii="Calibri" w:hAnsi="Calibri"/>
                <w:b w:val="0"/>
                <w:i w:val="0"/>
                <w:sz w:val="18"/>
              </w:rPr>
              <w:t>Tim IT Infrastruktur/Network</w:t>
            </w:r>
          </w:p>
        </w:tc>
        <w:tc>
          <w:tcPr>
            <w:tcW w:type="dxa" w:w="6660"/>
            <w:vAlign w:val="center"/>
            <w:tcMar>
              <w:top w:w="100" w:type="dxa"/>
              <w:start w:w="120" w:type="dxa"/>
              <w:bottom w:w="100" w:type="dxa"/>
              <w:end w:w="120" w:type="dxa"/>
            </w:tcMar>
          </w:tcPr>
          <w:p>
            <w:pPr>
              <w:spacing w:after="0"/>
            </w:pPr>
            <w:r>
              <w:rPr>
                <w:rFonts w:ascii="Calibri" w:hAnsi="Calibri"/>
                <w:b w:val="0"/>
                <w:i w:val="0"/>
                <w:sz w:val="18"/>
              </w:rPr>
              <w:t>Menetapkan segmen jaringan, IP/DNS, firewall, routing, dan kebutuhan availability.</w:t>
            </w:r>
          </w:p>
        </w:tc>
      </w:tr>
      <w:tr>
        <w:tc>
          <w:tcPr>
            <w:tcW w:type="dxa" w:w="2700"/>
            <w:vAlign w:val="center"/>
            <w:tcMar>
              <w:top w:w="100" w:type="dxa"/>
              <w:start w:w="120" w:type="dxa"/>
              <w:bottom w:w="100" w:type="dxa"/>
              <w:end w:w="120" w:type="dxa"/>
            </w:tcMar>
          </w:tcPr>
          <w:p>
            <w:pPr>
              <w:spacing w:after="0"/>
            </w:pPr>
            <w:r>
              <w:rPr>
                <w:rFonts w:ascii="Calibri" w:hAnsi="Calibri"/>
                <w:b w:val="0"/>
                <w:i w:val="0"/>
                <w:sz w:val="18"/>
              </w:rPr>
              <w:t>Tim Cyber Security</w:t>
            </w:r>
          </w:p>
        </w:tc>
        <w:tc>
          <w:tcPr>
            <w:tcW w:type="dxa" w:w="6660"/>
            <w:vAlign w:val="center"/>
            <w:tcMar>
              <w:top w:w="100" w:type="dxa"/>
              <w:start w:w="120" w:type="dxa"/>
              <w:bottom w:w="100" w:type="dxa"/>
              <w:end w:w="120" w:type="dxa"/>
            </w:tcMar>
          </w:tcPr>
          <w:p>
            <w:pPr>
              <w:spacing w:after="0"/>
            </w:pPr>
            <w:r>
              <w:rPr>
                <w:rFonts w:ascii="Calibri" w:hAnsi="Calibri"/>
                <w:b w:val="0"/>
                <w:i w:val="0"/>
                <w:sz w:val="18"/>
              </w:rPr>
              <w:t>Menyetujui TLS, credential/secret handling, ACL broker, hardening host, dan log retention.</w:t>
            </w:r>
          </w:p>
        </w:tc>
      </w:tr>
      <w:tr>
        <w:tc>
          <w:tcPr>
            <w:tcW w:type="dxa" w:w="2700"/>
            <w:vAlign w:val="center"/>
            <w:tcMar>
              <w:top w:w="100" w:type="dxa"/>
              <w:start w:w="120" w:type="dxa"/>
              <w:bottom w:w="100" w:type="dxa"/>
              <w:end w:w="120" w:type="dxa"/>
            </w:tcMar>
          </w:tcPr>
          <w:p>
            <w:pPr>
              <w:spacing w:after="0"/>
            </w:pPr>
            <w:r>
              <w:rPr>
                <w:rFonts w:ascii="Calibri" w:hAnsi="Calibri"/>
                <w:b w:val="0"/>
                <w:i w:val="0"/>
                <w:sz w:val="18"/>
              </w:rPr>
              <w:t>Tim Server/Aplikasi</w:t>
            </w:r>
          </w:p>
        </w:tc>
        <w:tc>
          <w:tcPr>
            <w:tcW w:type="dxa" w:w="6660"/>
            <w:vAlign w:val="center"/>
            <w:tcMar>
              <w:top w:w="100" w:type="dxa"/>
              <w:start w:w="120" w:type="dxa"/>
              <w:bottom w:w="100" w:type="dxa"/>
              <w:end w:w="120" w:type="dxa"/>
            </w:tcMar>
          </w:tcPr>
          <w:p>
            <w:pPr>
              <w:spacing w:after="0"/>
            </w:pPr>
            <w:r>
              <w:rPr>
                <w:rFonts w:ascii="Calibri" w:hAnsi="Calibri"/>
                <w:b w:val="0"/>
                <w:i w:val="0"/>
                <w:sz w:val="18"/>
              </w:rPr>
              <w:t>Men-deploy dan memonitor broker serta layanan Server/Site; mengelola consumer, dashboard, alert, dan backup/retention.</w:t>
            </w:r>
          </w:p>
        </w:tc>
      </w:tr>
      <w:tr>
        <w:tc>
          <w:tcPr>
            <w:tcW w:type="dxa" w:w="2700"/>
            <w:vAlign w:val="center"/>
            <w:tcMar>
              <w:top w:w="100" w:type="dxa"/>
              <w:start w:w="120" w:type="dxa"/>
              <w:bottom w:w="100" w:type="dxa"/>
              <w:end w:w="120" w:type="dxa"/>
            </w:tcMar>
          </w:tcPr>
          <w:p>
            <w:pPr>
              <w:spacing w:after="0"/>
            </w:pPr>
            <w:r>
              <w:rPr>
                <w:rFonts w:ascii="Calibri" w:hAnsi="Calibri"/>
                <w:b w:val="0"/>
                <w:i w:val="0"/>
                <w:sz w:val="18"/>
              </w:rPr>
              <w:t>Tim OT/Project</w:t>
            </w:r>
          </w:p>
        </w:tc>
        <w:tc>
          <w:tcPr>
            <w:tcW w:type="dxa" w:w="6660"/>
            <w:vAlign w:val="center"/>
            <w:tcMar>
              <w:top w:w="100" w:type="dxa"/>
              <w:start w:w="120" w:type="dxa"/>
              <w:bottom w:w="100" w:type="dxa"/>
              <w:end w:w="120" w:type="dxa"/>
            </w:tcMar>
          </w:tcPr>
          <w:p>
            <w:pPr>
              <w:spacing w:after="0"/>
            </w:pPr>
            <w:r>
              <w:rPr>
                <w:rFonts w:ascii="Calibri" w:hAnsi="Calibri"/>
                <w:b w:val="0"/>
                <w:i w:val="0"/>
                <w:sz w:val="18"/>
              </w:rPr>
              <w:t>Melakukan provisioning Gateway sesuai parameter yang telah disetujui dan menjalankan uji lapangan bersama IT.</w:t>
            </w:r>
          </w:p>
        </w:tc>
      </w:tr>
      <w:tr>
        <w:tc>
          <w:tcPr>
            <w:tcW w:type="dxa" w:w="2700"/>
            <w:vAlign w:val="center"/>
            <w:tcMar>
              <w:top w:w="100" w:type="dxa"/>
              <w:start w:w="120" w:type="dxa"/>
              <w:bottom w:w="100" w:type="dxa"/>
              <w:end w:w="120" w:type="dxa"/>
            </w:tcMar>
          </w:tcPr>
          <w:p>
            <w:pPr>
              <w:spacing w:after="0"/>
            </w:pPr>
            <w:r>
              <w:rPr>
                <w:rFonts w:ascii="Calibri" w:hAnsi="Calibri"/>
                <w:b w:val="0"/>
                <w:i w:val="0"/>
                <w:sz w:val="18"/>
              </w:rPr>
              <w:t>Operasi</w:t>
            </w:r>
          </w:p>
        </w:tc>
        <w:tc>
          <w:tcPr>
            <w:tcW w:type="dxa" w:w="6660"/>
            <w:vAlign w:val="center"/>
            <w:tcMar>
              <w:top w:w="100" w:type="dxa"/>
              <w:start w:w="120" w:type="dxa"/>
              <w:bottom w:w="100" w:type="dxa"/>
              <w:end w:w="120" w:type="dxa"/>
            </w:tcMar>
          </w:tcPr>
          <w:p>
            <w:pPr>
              <w:spacing w:after="0"/>
            </w:pPr>
            <w:r>
              <w:rPr>
                <w:rFonts w:ascii="Calibri" w:hAnsi="Calibri"/>
                <w:b w:val="0"/>
                <w:i w:val="0"/>
                <w:sz w:val="18"/>
              </w:rPr>
              <w:t>Menggunakan dashboard/alarm dan melakukan eskalasi berdasarkan prosedur respons insiden.</w:t>
            </w:r>
          </w:p>
        </w:tc>
      </w:tr>
    </w:tbl>
    <w:p>
      <w:pPr>
        <w:spacing w:after="40"/>
      </w:pPr>
    </w:p>
    <w:p>
      <w:pPr>
        <w:pStyle w:val="Heading1"/>
      </w:pPr>
      <w:r>
        <w:t>7. Checklist sebelum go-live</w:t>
      </w:r>
    </w:p>
    <w:tbl>
      <w:tblPr>
        <w:tblStyle w:val="TableGrid"/>
        <w:tblW w:type="auto" w:w="0"/>
        <w:jc w:val="left"/>
        <w:tblLayout w:type="fixed"/>
        <w:tblLook w:firstColumn="1" w:firstRow="1" w:lastColumn="0" w:lastRow="0" w:noHBand="0" w:noVBand="1" w:val="04A0"/>
        <w:tblW w:w="9360" w:type="dxa"/>
        <w:tblInd w:w="120" w:type="dxa"/>
      </w:tblPr>
      <w:tblGrid>
        <w:gridCol w:w="1550"/>
        <w:gridCol w:w="4550"/>
        <w:gridCol w:w="3260"/>
      </w:tblGrid>
      <w:tr>
        <w:trPr>
          <w:tblHeader w:val="true"/>
        </w:trPr>
        <w:tc>
          <w:tcPr>
            <w:tcW w:type="dxa" w:w="1550"/>
            <w:shd w:fill="F2F4F7"/>
            <w:vAlign w:val="center"/>
            <w:tcMar>
              <w:top w:w="100" w:type="dxa"/>
              <w:start w:w="120" w:type="dxa"/>
              <w:bottom w:w="100" w:type="dxa"/>
              <w:end w:w="120" w:type="dxa"/>
            </w:tcMar>
          </w:tcPr>
          <w:p>
            <w:pPr>
              <w:spacing w:after="0"/>
            </w:pPr>
            <w:r>
              <w:rPr>
                <w:rFonts w:ascii="Calibri" w:hAnsi="Calibri"/>
                <w:b/>
                <w:i w:val="0"/>
                <w:color w:val="0B2545"/>
                <w:sz w:val="19"/>
              </w:rPr>
              <w:t>Area</w:t>
            </w:r>
          </w:p>
        </w:tc>
        <w:tc>
          <w:tcPr>
            <w:tcW w:type="dxa" w:w="4550"/>
            <w:shd w:fill="F2F4F7"/>
            <w:vAlign w:val="center"/>
            <w:tcMar>
              <w:top w:w="100" w:type="dxa"/>
              <w:start w:w="120" w:type="dxa"/>
              <w:bottom w:w="100" w:type="dxa"/>
              <w:end w:w="120" w:type="dxa"/>
            </w:tcMar>
          </w:tcPr>
          <w:p>
            <w:pPr>
              <w:spacing w:after="0"/>
            </w:pPr>
            <w:r>
              <w:rPr>
                <w:rFonts w:ascii="Calibri" w:hAnsi="Calibri"/>
                <w:b/>
                <w:i w:val="0"/>
                <w:color w:val="0B2545"/>
                <w:sz w:val="19"/>
              </w:rPr>
              <w:t>Kriteria penerimaan</w:t>
            </w:r>
          </w:p>
        </w:tc>
        <w:tc>
          <w:tcPr>
            <w:tcW w:type="dxa" w:w="3260"/>
            <w:shd w:fill="F2F4F7"/>
            <w:vAlign w:val="center"/>
            <w:tcMar>
              <w:top w:w="100" w:type="dxa"/>
              <w:start w:w="120" w:type="dxa"/>
              <w:bottom w:w="100" w:type="dxa"/>
              <w:end w:w="120" w:type="dxa"/>
            </w:tcMar>
          </w:tcPr>
          <w:p>
            <w:pPr>
              <w:spacing w:after="0"/>
            </w:pPr>
            <w:r>
              <w:rPr>
                <w:rFonts w:ascii="Calibri" w:hAnsi="Calibri"/>
                <w:b/>
                <w:i w:val="0"/>
                <w:color w:val="0B2545"/>
                <w:sz w:val="19"/>
              </w:rPr>
              <w:t>Bukti yang diserahkan</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Network</w:t>
            </w:r>
          </w:p>
        </w:tc>
        <w:tc>
          <w:tcPr>
            <w:tcW w:type="dxa" w:w="4550"/>
            <w:vAlign w:val="center"/>
            <w:tcMar>
              <w:top w:w="100" w:type="dxa"/>
              <w:start w:w="120" w:type="dxa"/>
              <w:bottom w:w="100" w:type="dxa"/>
              <w:end w:w="120" w:type="dxa"/>
            </w:tcMar>
          </w:tcPr>
          <w:p>
            <w:pPr>
              <w:spacing w:after="0"/>
            </w:pPr>
            <w:r>
              <w:rPr>
                <w:rFonts w:ascii="Calibri" w:hAnsi="Calibri"/>
                <w:b w:val="0"/>
                <w:i w:val="0"/>
                <w:sz w:val="18"/>
              </w:rPr>
              <w:t>Gateway dapat menjangkau broker pada alamat dan port yang disetujui.</w:t>
            </w:r>
          </w:p>
        </w:tc>
        <w:tc>
          <w:tcPr>
            <w:tcW w:type="dxa" w:w="3260"/>
            <w:vAlign w:val="center"/>
            <w:tcMar>
              <w:top w:w="100" w:type="dxa"/>
              <w:start w:w="120" w:type="dxa"/>
              <w:bottom w:w="100" w:type="dxa"/>
              <w:end w:w="120" w:type="dxa"/>
            </w:tcMar>
          </w:tcPr>
          <w:p>
            <w:pPr>
              <w:spacing w:after="0"/>
            </w:pPr>
            <w:r>
              <w:rPr>
                <w:rFonts w:ascii="Calibri" w:hAnsi="Calibri"/>
                <w:b w:val="0"/>
                <w:i w:val="0"/>
                <w:sz w:val="18"/>
              </w:rPr>
              <w:t>Hasil uji konektivitas dan rule firewall yang disetujui.</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MQTT</w:t>
            </w:r>
          </w:p>
        </w:tc>
        <w:tc>
          <w:tcPr>
            <w:tcW w:type="dxa" w:w="4550"/>
            <w:vAlign w:val="center"/>
            <w:tcMar>
              <w:top w:w="100" w:type="dxa"/>
              <w:start w:w="120" w:type="dxa"/>
              <w:bottom w:w="100" w:type="dxa"/>
              <w:end w:w="120" w:type="dxa"/>
            </w:tcMar>
          </w:tcPr>
          <w:p>
            <w:pPr>
              <w:spacing w:after="0"/>
            </w:pPr>
            <w:r>
              <w:rPr>
                <w:rFonts w:ascii="Calibri" w:hAnsi="Calibri"/>
                <w:b w:val="0"/>
                <w:i w:val="0"/>
                <w:sz w:val="18"/>
              </w:rPr>
              <w:t>Broker menerima autentikasi dan subscription yang diperlukan.</w:t>
            </w:r>
          </w:p>
        </w:tc>
        <w:tc>
          <w:tcPr>
            <w:tcW w:type="dxa" w:w="3260"/>
            <w:vAlign w:val="center"/>
            <w:tcMar>
              <w:top w:w="100" w:type="dxa"/>
              <w:start w:w="120" w:type="dxa"/>
              <w:bottom w:w="100" w:type="dxa"/>
              <w:end w:w="120" w:type="dxa"/>
            </w:tcMar>
          </w:tcPr>
          <w:p>
            <w:pPr>
              <w:spacing w:after="0"/>
            </w:pPr>
            <w:r>
              <w:rPr>
                <w:rFonts w:ascii="Calibri" w:hAnsi="Calibri"/>
                <w:b w:val="0"/>
                <w:i w:val="0"/>
                <w:sz w:val="18"/>
              </w:rPr>
              <w:t>Log broker atau bukti CONNACK sukses; TCP open saja belum cukup.</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Security</w:t>
            </w:r>
          </w:p>
        </w:tc>
        <w:tc>
          <w:tcPr>
            <w:tcW w:type="dxa" w:w="4550"/>
            <w:vAlign w:val="center"/>
            <w:tcMar>
              <w:top w:w="100" w:type="dxa"/>
              <w:start w:w="120" w:type="dxa"/>
              <w:bottom w:w="100" w:type="dxa"/>
              <w:end w:w="120" w:type="dxa"/>
            </w:tcMar>
          </w:tcPr>
          <w:p>
            <w:pPr>
              <w:spacing w:after="0"/>
            </w:pPr>
            <w:r>
              <w:rPr>
                <w:rFonts w:ascii="Calibri" w:hAnsi="Calibri"/>
                <w:b w:val="0"/>
                <w:i w:val="0"/>
                <w:sz w:val="18"/>
              </w:rPr>
              <w:t>Credential/secret dikelola di tempat yang benar; TLS/ACL sesuai keputusan security.</w:t>
            </w:r>
          </w:p>
        </w:tc>
        <w:tc>
          <w:tcPr>
            <w:tcW w:type="dxa" w:w="3260"/>
            <w:vAlign w:val="center"/>
            <w:tcMar>
              <w:top w:w="100" w:type="dxa"/>
              <w:start w:w="120" w:type="dxa"/>
              <w:bottom w:w="100" w:type="dxa"/>
              <w:end w:w="120" w:type="dxa"/>
            </w:tcMar>
          </w:tcPr>
          <w:p>
            <w:pPr>
              <w:spacing w:after="0"/>
            </w:pPr>
            <w:r>
              <w:rPr>
                <w:rFonts w:ascii="Calibri" w:hAnsi="Calibri"/>
                <w:b w:val="0"/>
                <w:i w:val="0"/>
                <w:sz w:val="18"/>
              </w:rPr>
              <w:t>Review konfigurasi yang disensor dan approval terkait.</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Aplikasi</w:t>
            </w:r>
          </w:p>
        </w:tc>
        <w:tc>
          <w:tcPr>
            <w:tcW w:type="dxa" w:w="4550"/>
            <w:vAlign w:val="center"/>
            <w:tcMar>
              <w:top w:w="100" w:type="dxa"/>
              <w:start w:w="120" w:type="dxa"/>
              <w:bottom w:w="100" w:type="dxa"/>
              <w:end w:w="120" w:type="dxa"/>
            </w:tcMar>
          </w:tcPr>
          <w:p>
            <w:pPr>
              <w:spacing w:after="0"/>
            </w:pPr>
            <w:r>
              <w:rPr>
                <w:rFonts w:ascii="Calibri" w:hAnsi="Calibri"/>
                <w:b w:val="0"/>
                <w:i w:val="0"/>
                <w:sz w:val="18"/>
              </w:rPr>
              <w:t>Pesan uplink diproses, status terlihat, dan alarm diuji sesuai skenario.</w:t>
            </w:r>
          </w:p>
        </w:tc>
        <w:tc>
          <w:tcPr>
            <w:tcW w:type="dxa" w:w="3260"/>
            <w:vAlign w:val="center"/>
            <w:tcMar>
              <w:top w:w="100" w:type="dxa"/>
              <w:start w:w="120" w:type="dxa"/>
              <w:bottom w:w="100" w:type="dxa"/>
              <w:end w:w="120" w:type="dxa"/>
            </w:tcMar>
          </w:tcPr>
          <w:p>
            <w:pPr>
              <w:spacing w:after="0"/>
            </w:pPr>
            <w:r>
              <w:rPr>
                <w:rFonts w:ascii="Calibri" w:hAnsi="Calibri"/>
                <w:b w:val="0"/>
                <w:i w:val="0"/>
                <w:sz w:val="18"/>
              </w:rPr>
              <w:t>Log aplikasi/monitoring dan hasil uji end-to-end.</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Command</w:t>
            </w:r>
          </w:p>
        </w:tc>
        <w:tc>
          <w:tcPr>
            <w:tcW w:type="dxa" w:w="4550"/>
            <w:vAlign w:val="center"/>
            <w:tcMar>
              <w:top w:w="100" w:type="dxa"/>
              <w:start w:w="120" w:type="dxa"/>
              <w:bottom w:w="100" w:type="dxa"/>
              <w:end w:w="120" w:type="dxa"/>
            </w:tcMar>
          </w:tcPr>
          <w:p>
            <w:pPr>
              <w:spacing w:after="0"/>
            </w:pPr>
            <w:r>
              <w:rPr>
                <w:rFonts w:ascii="Calibri" w:hAnsi="Calibri"/>
                <w:b w:val="0"/>
                <w:i w:val="0"/>
                <w:sz w:val="18"/>
              </w:rPr>
              <w:t>Command terotorisasi dapat melalui server menuju Gateway dengan jejak audit.</w:t>
            </w:r>
          </w:p>
        </w:tc>
        <w:tc>
          <w:tcPr>
            <w:tcW w:type="dxa" w:w="3260"/>
            <w:vAlign w:val="center"/>
            <w:tcMar>
              <w:top w:w="100" w:type="dxa"/>
              <w:start w:w="120" w:type="dxa"/>
              <w:bottom w:w="100" w:type="dxa"/>
              <w:end w:w="120" w:type="dxa"/>
            </w:tcMar>
          </w:tcPr>
          <w:p>
            <w:pPr>
              <w:spacing w:after="0"/>
            </w:pPr>
            <w:r>
              <w:rPr>
                <w:rFonts w:ascii="Calibri" w:hAnsi="Calibri"/>
                <w:b w:val="0"/>
                <w:i w:val="0"/>
                <w:sz w:val="18"/>
              </w:rPr>
              <w:t>Hasil test case dan rekaman audit command.</w:t>
            </w:r>
          </w:p>
        </w:tc>
      </w:tr>
      <w:tr>
        <w:tc>
          <w:tcPr>
            <w:tcW w:type="dxa" w:w="1550"/>
            <w:vAlign w:val="center"/>
            <w:tcMar>
              <w:top w:w="100" w:type="dxa"/>
              <w:start w:w="120" w:type="dxa"/>
              <w:bottom w:w="100" w:type="dxa"/>
              <w:end w:w="120" w:type="dxa"/>
            </w:tcMar>
          </w:tcPr>
          <w:p>
            <w:pPr>
              <w:spacing w:after="0"/>
            </w:pPr>
            <w:r>
              <w:rPr>
                <w:rFonts w:ascii="Calibri" w:hAnsi="Calibri"/>
                <w:b w:val="0"/>
                <w:i w:val="0"/>
                <w:sz w:val="18"/>
              </w:rPr>
              <w:t>Operasional</w:t>
            </w:r>
          </w:p>
        </w:tc>
        <w:tc>
          <w:tcPr>
            <w:tcW w:type="dxa" w:w="4550"/>
            <w:vAlign w:val="center"/>
            <w:tcMar>
              <w:top w:w="100" w:type="dxa"/>
              <w:start w:w="120" w:type="dxa"/>
              <w:bottom w:w="100" w:type="dxa"/>
              <w:end w:w="120" w:type="dxa"/>
            </w:tcMar>
          </w:tcPr>
          <w:p>
            <w:pPr>
              <w:spacing w:after="0"/>
            </w:pPr>
            <w:r>
              <w:rPr>
                <w:rFonts w:ascii="Calibri" w:hAnsi="Calibri"/>
                <w:b w:val="0"/>
                <w:i w:val="0"/>
                <w:sz w:val="18"/>
              </w:rPr>
              <w:t>Owner monitoring, alert, retensi log, backup, dan prosedur eskalasi telah ditetapkan.</w:t>
            </w:r>
          </w:p>
        </w:tc>
        <w:tc>
          <w:tcPr>
            <w:tcW w:type="dxa" w:w="3260"/>
            <w:vAlign w:val="center"/>
            <w:tcMar>
              <w:top w:w="100" w:type="dxa"/>
              <w:start w:w="120" w:type="dxa"/>
              <w:bottom w:w="100" w:type="dxa"/>
              <w:end w:w="120" w:type="dxa"/>
            </w:tcMar>
          </w:tcPr>
          <w:p>
            <w:pPr>
              <w:spacing w:after="0"/>
            </w:pPr>
            <w:r>
              <w:rPr>
                <w:rFonts w:ascii="Calibri" w:hAnsi="Calibri"/>
                <w:b w:val="0"/>
                <w:i w:val="0"/>
                <w:sz w:val="18"/>
              </w:rPr>
              <w:t>Daftar PIC, SOP, dan baseline dashboard/alert.</w:t>
            </w:r>
          </w:p>
        </w:tc>
      </w:tr>
    </w:tbl>
    <w:p>
      <w:pPr>
        <w:spacing w:after="40"/>
      </w:pPr>
    </w:p>
    <w:p>
      <w:pPr>
        <w:pStyle w:val="Heading1"/>
      </w:pPr>
      <w:r>
        <w:t>8. Batas dokumen</w:t>
      </w:r>
    </w:p>
    <w:p>
      <w:pPr>
        <w:spacing w:after="120" w:line="264" w:lineRule="auto"/>
      </w:pPr>
      <w:r>
        <w:rPr>
          <w:rFonts w:ascii="Calibri" w:hAnsi="Calibri"/>
          <w:b w:val="0"/>
          <w:i w:val="0"/>
          <w:sz w:val="22"/>
        </w:rPr>
        <w:t>Datasheet ini menjelaskan rancangan integrasi dan kebutuhan yang harus dipenuhi. Dokumen ini tidak menyatakan bahwa broker telah aktif, layanan server telah dideploy, konektivitas lapangan telah berhasil, atau perangkat telah diuji di lokasi. Status tersebut hanya dapat dinyatakan setelah commissioning bersama menghasilkan bukti penerimaan pada bagian 7.</w:t>
      </w:r>
    </w:p>
    <w:p>
      <w:pPr>
        <w:spacing w:before="80" w:after="160"/>
        <w:shd w:fill="FFF5D6"/>
      </w:pPr>
      <w:r>
        <w:rPr>
          <w:rFonts w:ascii="Calibri" w:hAnsi="Calibri"/>
          <w:b/>
          <w:i w:val="0"/>
          <w:color w:val="0B2545"/>
          <w:sz w:val="20"/>
        </w:rPr>
        <w:t xml:space="preserve">NEXT STEP  </w:t>
      </w:r>
      <w:r>
        <w:rPr>
          <w:rFonts w:ascii="Calibri" w:hAnsi="Calibri"/>
          <w:b w:val="0"/>
          <w:i w:val="0"/>
          <w:sz w:val="20"/>
        </w:rPr>
        <w:t>Tim IT dan tim project menyepakati lokasi broker, alamat/DNS, aturan firewall, TLS/ACL, secret management, monitoring, serta jadwal commissioning.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B7A"/>
        <w:sz w:val="16"/>
      </w:rPr>
      <w:t>Gateway - Server/Site | Untuk IT Pertamina | 13 Agustus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C6B7A"/>
        <w:sz w:val="18"/>
      </w:rPr>
      <w:t>PERTAMINA GLD | INTEGRATION DATASHEET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