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80" w:type="dxa"/>
              <w:start w:w="120" w:type="dxa"/>
              <w:bottom w:w="180" w:type="dxa"/>
              <w:end w:w="120" w:type="dxa"/>
            </w:tcMar>
            <w:vAlign w:val="top"/>
            <w:shd w:fill="17365D"/>
          </w:tcPr>
          <w:p>
            <w:r>
              <w:rPr>
                <w:rFonts w:ascii="Calibri" w:hAnsi="Calibri" w:eastAsia="Calibri"/>
                <w:b/>
                <w:color w:val="FFFFFF"/>
                <w:sz w:val="20"/>
              </w:rPr>
              <w:t>PERTAMINAGLD  •  INTERNAL DECISION PACK</w:t>
            </w:r>
          </w:p>
        </w:tc>
      </w:tr>
      <w:tr>
        <w:tc>
          <w:tcPr>
            <w:tcW w:type="dxa" w:w="9360"/>
            <w:tcMar>
              <w:top w:w="100" w:type="dxa"/>
              <w:start w:w="120" w:type="dxa"/>
              <w:bottom w:w="100" w:type="dxa"/>
              <w:end w:w="120" w:type="dxa"/>
            </w:tcMar>
            <w:vAlign w:val="top"/>
            <w:shd w:fill="EEF5FB"/>
          </w:tcPr>
          <w:p>
            <w:r>
              <w:rPr>
                <w:rFonts w:ascii="Calibri" w:hAnsi="Calibri" w:eastAsia="Calibri"/>
                <w:b/>
                <w:color w:val="1F4D78"/>
                <w:sz w:val="18"/>
              </w:rPr>
              <w:t>RU IV CILACAP  |  CUT-OFF SUMBER: 18 AGUSTUS 2026</w:t>
            </w:r>
          </w:p>
        </w:tc>
      </w:tr>
    </w:tbl>
    <w:p>
      <w:pPr>
        <w:jc w:val="center"/>
        <w:rPr>
          <w:lang w:val="id-ID"/>
        </w:rPr>
      </w:pPr>
    </w:p>
    <w:p>
      <w:pPr>
        <w:pStyle w:val="Title"/>
        <w:jc w:val="center"/>
        <w:rPr>
          <w:lang w:val="id-ID"/>
        </w:rPr>
      </w:pPr>
      <w:r>
        <w:rPr>
          <w:rFonts w:ascii="Calibri" w:hAnsi="Calibri" w:eastAsia="Calibri"/>
          <w:sz w:val="60"/>
        </w:rPr>
        <w:t>PertaminaGLD</w:t>
      </w:r>
    </w:p>
    <w:p>
      <w:pPr>
        <w:pStyle w:val="Title"/>
        <w:jc w:val="center"/>
        <w:rPr>
          <w:lang w:val="id-ID"/>
        </w:rPr>
      </w:pPr>
      <w:r>
        <w:rPr>
          <w:rFonts w:ascii="Calibri" w:hAnsi="Calibri" w:eastAsia="Calibri"/>
          <w:sz w:val="46"/>
        </w:rPr>
        <w:t>Laporan Internal Cilacap dan Rencana Tindak Lanjut</w:t>
      </w:r>
    </w:p>
    <w:p>
      <w:pPr>
        <w:pStyle w:val="Subtitle"/>
        <w:jc w:val="center"/>
        <w:rPr>
          <w:lang w:val="id-ID"/>
        </w:rPr>
      </w:pPr>
      <w:r>
        <w:rPr>
          <w:rFonts w:ascii="Calibri" w:hAnsi="Calibri" w:eastAsia="Calibri"/>
        </w:rPr>
        <w:t>Audit gabungan GLD1 • CH • Gateway • Server • Network • Power • Mounting • Hazardous Area</w:t>
      </w:r>
    </w:p>
    <w:p>
      <w:pPr>
        <w:rPr>
          <w:lang w:val="id-ID"/>
        </w:rPr>
      </w:pPr>
    </w:p>
    <w:tbl>
      <w:tblPr>
        <w:tblStyle w:val="TableGrid"/>
        <w:tblW w:type="dxa" w:w="9360"/>
        <w:jc w:val="center"/>
        <w:tblLayout w:type="fixed"/>
        <w:tblLook w:firstColumn="1" w:firstRow="1" w:lastColumn="0" w:lastRow="0" w:noHBand="0" w:noVBand="1" w:val="04A0"/>
        <w:tblInd w:w="120" w:type="dxa"/>
      </w:tblPr>
      <w:tblGrid>
        <w:gridCol w:w="2160"/>
        <w:gridCol w:w="7200"/>
      </w:tblGrid>
      <w:tr>
        <w:trPr>
          <w:tblHeader w:val="true"/>
          <w:cantSplit w:val="true"/>
        </w:trPr>
        <w:tc>
          <w:tcPr>
            <w:tcW w:type="dxa" w:w="21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Atribut</w:t>
            </w:r>
          </w:p>
        </w:tc>
        <w:tc>
          <w:tcPr>
            <w:tcW w:type="dxa" w:w="72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Isi</w:t>
            </w:r>
          </w:p>
        </w:tc>
      </w:tr>
      <w:tr>
        <w:trPr>
          <w:cantSplit w:val="true"/>
        </w:trPr>
        <w:tc>
          <w:tcPr>
            <w:tcW w:type="dxa" w:w="2160"/>
          </w:tcPr>
          <w:p>
            <w:pPr>
              <w:spacing w:after="0"/>
              <w:rPr>
                <w:lang w:val="id-ID"/>
              </w:rPr>
            </w:pPr>
            <w:r>
              <w:rPr>
                <w:rFonts w:ascii="Calibri" w:hAnsi="Calibri" w:eastAsia="Calibri"/>
                <w:b/>
                <w:sz w:val="18"/>
              </w:rPr>
              <w:t>Tujuan</w:t>
            </w:r>
          </w:p>
        </w:tc>
        <w:tc>
          <w:tcPr>
            <w:tcW w:type="dxa" w:w="7200"/>
          </w:tcPr>
          <w:p>
            <w:pPr>
              <w:spacing w:after="0"/>
              <w:rPr>
                <w:lang w:val="id-ID"/>
              </w:rPr>
            </w:pPr>
            <w:r>
              <w:rPr>
                <w:rFonts w:ascii="Calibri" w:hAnsi="Calibri" w:eastAsia="Calibri"/>
                <w:b w:val="0"/>
                <w:sz w:val="18"/>
              </w:rPr>
              <w:t>Bahan keputusan internal dan paket persiapan pertemuan 20 Agustus 2026</w:t>
            </w:r>
          </w:p>
        </w:tc>
      </w:tr>
      <w:tr>
        <w:trPr>
          <w:cantSplit w:val="true"/>
        </w:trPr>
        <w:tc>
          <w:tcPr>
            <w:tcW w:type="dxa" w:w="2160"/>
          </w:tcPr>
          <w:p>
            <w:pPr>
              <w:spacing w:after="0"/>
              <w:rPr>
                <w:lang w:val="id-ID"/>
              </w:rPr>
            </w:pPr>
            <w:r>
              <w:rPr>
                <w:rFonts w:ascii="Calibri" w:hAnsi="Calibri" w:eastAsia="Calibri"/>
                <w:b/>
                <w:sz w:val="18"/>
              </w:rPr>
              <w:t>Status</w:t>
            </w:r>
          </w:p>
        </w:tc>
        <w:tc>
          <w:tcPr>
            <w:tcW w:type="dxa" w:w="7200"/>
          </w:tcPr>
          <w:p>
            <w:pPr>
              <w:spacing w:after="0"/>
              <w:rPr>
                <w:lang w:val="id-ID"/>
              </w:rPr>
            </w:pPr>
            <w:r>
              <w:rPr>
                <w:rFonts w:ascii="Calibri" w:hAnsi="Calibri" w:eastAsia="Calibri"/>
                <w:b w:val="0"/>
                <w:sz w:val="18"/>
              </w:rPr>
              <w:t>Draft internal – belum merupakan dokumen sertifikasi, IFC, FAT, SAT, atau bukti deployment</w:t>
            </w:r>
          </w:p>
        </w:tc>
      </w:tr>
      <w:tr>
        <w:trPr>
          <w:cantSplit w:val="true"/>
        </w:trPr>
        <w:tc>
          <w:tcPr>
            <w:tcW w:type="dxa" w:w="2160"/>
          </w:tcPr>
          <w:p>
            <w:pPr>
              <w:spacing w:after="0"/>
              <w:rPr>
                <w:lang w:val="id-ID"/>
              </w:rPr>
            </w:pPr>
            <w:r>
              <w:rPr>
                <w:rFonts w:ascii="Calibri" w:hAnsi="Calibri" w:eastAsia="Calibri"/>
                <w:b/>
                <w:sz w:val="18"/>
              </w:rPr>
              <w:t>Cakupan</w:t>
            </w:r>
          </w:p>
        </w:tc>
        <w:tc>
          <w:tcPr>
            <w:tcW w:type="dxa" w:w="7200"/>
          </w:tcPr>
          <w:p>
            <w:pPr>
              <w:spacing w:after="0"/>
              <w:rPr>
                <w:lang w:val="id-ID"/>
              </w:rPr>
            </w:pPr>
            <w:r>
              <w:rPr>
                <w:rFonts w:ascii="Calibri" w:hAnsi="Calibri" w:eastAsia="Calibri"/>
                <w:b w:val="0"/>
                <w:sz w:val="18"/>
              </w:rPr>
              <w:t>GLD1, CH, Gateway, server/dashboard, intranet, daya 24 V, solar/battery, mounting, lokasi, pembagian kerja, ATEX/IECEx</w:t>
            </w:r>
          </w:p>
        </w:tc>
      </w:tr>
      <w:tr>
        <w:trPr>
          <w:cantSplit w:val="true"/>
        </w:trPr>
        <w:tc>
          <w:tcPr>
            <w:tcW w:type="dxa" w:w="2160"/>
          </w:tcPr>
          <w:p>
            <w:pPr>
              <w:spacing w:after="0"/>
              <w:rPr>
                <w:lang w:val="id-ID"/>
              </w:rPr>
            </w:pPr>
            <w:r>
              <w:rPr>
                <w:rFonts w:ascii="Calibri" w:hAnsi="Calibri" w:eastAsia="Calibri"/>
                <w:b/>
                <w:sz w:val="18"/>
              </w:rPr>
              <w:t>Basis</w:t>
            </w:r>
          </w:p>
        </w:tc>
        <w:tc>
          <w:tcPr>
            <w:tcW w:type="dxa" w:w="7200"/>
          </w:tcPr>
          <w:p>
            <w:pPr>
              <w:spacing w:after="0"/>
              <w:rPr>
                <w:lang w:val="id-ID"/>
              </w:rPr>
            </w:pPr>
            <w:r>
              <w:rPr>
                <w:rFonts w:ascii="Calibri" w:hAnsi="Calibri" w:eastAsia="Calibri"/>
                <w:b w:val="0"/>
                <w:sz w:val="18"/>
              </w:rPr>
              <w:t>Rekaman meeting 2:15:16, notulen 3 halaman, 7 gambar/catatan Cilacap, CH.zip, seluruh sheet/PCB EasyEDA relevan, current repo source, dan sumber primer vendor/standar</w:t>
            </w:r>
          </w:p>
        </w:tc>
      </w:tr>
      <w:tr>
        <w:trPr>
          <w:cantSplit w:val="true"/>
        </w:trPr>
        <w:tc>
          <w:tcPr>
            <w:tcW w:type="dxa" w:w="2160"/>
          </w:tcPr>
          <w:p>
            <w:pPr>
              <w:spacing w:after="0"/>
              <w:rPr>
                <w:lang w:val="id-ID"/>
              </w:rPr>
            </w:pPr>
            <w:r>
              <w:rPr>
                <w:rFonts w:ascii="Calibri" w:hAnsi="Calibri" w:eastAsia="Calibri"/>
                <w:b/>
                <w:sz w:val="18"/>
              </w:rPr>
              <w:t>Target catatan</w:t>
            </w:r>
          </w:p>
        </w:tc>
        <w:tc>
          <w:tcPr>
            <w:tcW w:type="dxa" w:w="7200"/>
          </w:tcPr>
          <w:p>
            <w:pPr>
              <w:spacing w:after="0"/>
              <w:rPr>
                <w:lang w:val="id-ID"/>
              </w:rPr>
            </w:pPr>
            <w:r>
              <w:rPr>
                <w:rFonts w:ascii="Calibri" w:hAnsi="Calibri" w:eastAsia="Calibri"/>
                <w:b w:val="0"/>
                <w:sz w:val="18"/>
              </w:rPr>
              <w:t>Data support/cable/pole akhir September 2026; fase awal 3 GLD1 + CH sekitar September 2027 — keduanya wajib dikonfirmasi</w:t>
            </w:r>
          </w:p>
        </w:tc>
      </w:tr>
    </w:tbl>
    <w:p>
      <w:pPr>
        <w:spacing w:after="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FF4CE"/>
          </w:tcPr>
          <w:p>
            <w:pPr>
              <w:spacing w:after="40"/>
              <w:rPr>
                <w:lang w:val="id-ID"/>
              </w:rPr>
            </w:pPr>
            <w:r>
              <w:rPr>
                <w:rFonts w:ascii="Calibri" w:hAnsi="Calibri" w:eastAsia="Calibri"/>
                <w:b/>
                <w:color w:val="9C6500"/>
                <w:sz w:val="20"/>
              </w:rPr>
              <w:t xml:space="preserve">BATAS PENGGUNAAN  </w:t>
            </w:r>
            <w:r>
              <w:rPr>
                <w:rFonts w:ascii="Calibri" w:hAnsi="Calibri" w:eastAsia="Calibri"/>
                <w:color w:val="243447"/>
                <w:sz w:val="20"/>
              </w:rPr>
              <w:t>Dokumen ini sengaja mandiri dan menuliskan ulang substansi penting. Dokumen lama hanya dipakai sebagai bukti silang. Tidak ada klaim bahwa hardware sudah tersertifikasi, sudah dipasang, sudah terhubung ke jaringan Pertamina, atau sudah lulus uji lapangan.</w:t>
            </w:r>
          </w:p>
        </w:tc>
      </w:tr>
    </w:tbl>
    <w:p>
      <w:pPr>
        <w:spacing w:after="0"/>
      </w:pPr>
    </w:p>
    <w:p>
      <w:pPr>
        <w:pStyle w:val="SmallNote"/>
        <w:jc w:val="center"/>
        <w:rPr>
          <w:lang w:val="id-ID"/>
        </w:rPr>
      </w:pPr>
      <w:r>
        <w:rPr>
          <w:rFonts w:ascii="Calibri" w:hAnsi="Calibri" w:eastAsia="Calibri"/>
        </w:rPr>
        <w:t>Disusun untuk penggunaan internal LGU. Klasifikasi: Internal.</w:t>
      </w:r>
    </w:p>
    <w:p>
      <w:pPr>
        <w:pStyle w:val="SmallNote"/>
        <w:jc w:val="center"/>
        <w:rPr>
          <w:lang w:val="id-ID"/>
        </w:rPr>
      </w:pPr>
      <w:r>
        <w:rPr>
          <w:rFonts w:ascii="Calibri" w:hAnsi="Calibri" w:eastAsia="Calibri"/>
        </w:rPr>
        <w:t>Tanggal penyusunan: 18 Agustus 2026 • Zona waktu: Asia/Jakarta</w:t>
      </w:r>
    </w:p>
    <w:p>
      <w:pPr>
        <w:pStyle w:val="Heading1"/>
        <w:pageBreakBefore/>
        <w:rPr>
          <w:lang w:val="id-ID"/>
        </w:rPr>
      </w:pPr>
      <w:r>
        <w:t>Kontrol dokumen</w:t>
      </w:r>
    </w:p>
    <w:tbl>
      <w:tblPr>
        <w:tblStyle w:val="TableGrid"/>
        <w:tblW w:type="dxa" w:w="9360"/>
        <w:jc w:val="center"/>
        <w:tblLayout w:type="fixed"/>
        <w:tblLook w:firstColumn="1" w:firstRow="1" w:lastColumn="0" w:lastRow="0" w:noHBand="0" w:noVBand="1" w:val="04A0"/>
        <w:tblInd w:w="120" w:type="dxa"/>
      </w:tblPr>
      <w:tblGrid>
        <w:gridCol w:w="1800"/>
        <w:gridCol w:w="3000"/>
        <w:gridCol w:w="4560"/>
      </w:tblGrid>
      <w:tr>
        <w:trPr>
          <w:tblHeader w:val="true"/>
          <w:cantSplit w:val="true"/>
        </w:trPr>
        <w:tc>
          <w:tcPr>
            <w:tcW w:type="dxa" w:w="18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Item</w:t>
            </w:r>
          </w:p>
        </w:tc>
        <w:tc>
          <w:tcPr>
            <w:tcW w:type="dxa" w:w="30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Nilai</w:t>
            </w:r>
          </w:p>
        </w:tc>
        <w:tc>
          <w:tcPr>
            <w:tcW w:type="dxa" w:w="45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Catatan kontrol</w:t>
            </w:r>
          </w:p>
        </w:tc>
      </w:tr>
      <w:tr>
        <w:trPr>
          <w:cantSplit w:val="true"/>
        </w:trPr>
        <w:tc>
          <w:tcPr>
            <w:tcW w:type="dxa" w:w="1800"/>
          </w:tcPr>
          <w:p>
            <w:pPr>
              <w:spacing w:after="0"/>
              <w:rPr>
                <w:lang w:val="id-ID"/>
              </w:rPr>
            </w:pPr>
            <w:r>
              <w:rPr>
                <w:rFonts w:ascii="Calibri" w:hAnsi="Calibri" w:eastAsia="Calibri"/>
                <w:b w:val="0"/>
                <w:sz w:val="18"/>
              </w:rPr>
              <w:t>Judul</w:t>
            </w:r>
          </w:p>
        </w:tc>
        <w:tc>
          <w:tcPr>
            <w:tcW w:type="dxa" w:w="3000"/>
          </w:tcPr>
          <w:p>
            <w:pPr>
              <w:spacing w:after="0"/>
              <w:rPr>
                <w:lang w:val="id-ID"/>
              </w:rPr>
            </w:pPr>
            <w:r>
              <w:rPr>
                <w:rFonts w:ascii="Calibri" w:hAnsi="Calibri" w:eastAsia="Calibri"/>
                <w:b w:val="0"/>
                <w:sz w:val="18"/>
              </w:rPr>
              <w:t>PertaminaGLD – Laporan Internal Cilacap dan Rencana Tindak Lanjut</w:t>
            </w:r>
          </w:p>
        </w:tc>
        <w:tc>
          <w:tcPr>
            <w:tcW w:type="dxa" w:w="4560"/>
          </w:tcPr>
          <w:p>
            <w:pPr>
              <w:spacing w:after="0"/>
              <w:rPr>
                <w:lang w:val="id-ID"/>
              </w:rPr>
            </w:pPr>
            <w:r>
              <w:rPr>
                <w:rFonts w:ascii="Calibri" w:hAnsi="Calibri" w:eastAsia="Calibri"/>
                <w:b w:val="0"/>
                <w:sz w:val="18"/>
              </w:rPr>
              <w:t>Satu-satunya deliverable DOCX sesi ini</w:t>
            </w:r>
          </w:p>
        </w:tc>
      </w:tr>
      <w:tr>
        <w:trPr>
          <w:cantSplit w:val="true"/>
        </w:trPr>
        <w:tc>
          <w:tcPr>
            <w:tcW w:type="dxa" w:w="1800"/>
          </w:tcPr>
          <w:p>
            <w:pPr>
              <w:spacing w:after="0"/>
              <w:rPr>
                <w:lang w:val="id-ID"/>
              </w:rPr>
            </w:pPr>
            <w:r>
              <w:rPr>
                <w:rFonts w:ascii="Calibri" w:hAnsi="Calibri" w:eastAsia="Calibri"/>
                <w:b w:val="0"/>
                <w:sz w:val="18"/>
              </w:rPr>
              <w:t>Versi</w:t>
            </w:r>
          </w:p>
        </w:tc>
        <w:tc>
          <w:tcPr>
            <w:tcW w:type="dxa" w:w="3000"/>
          </w:tcPr>
          <w:p>
            <w:pPr>
              <w:spacing w:after="0"/>
              <w:rPr>
                <w:lang w:val="id-ID"/>
              </w:rPr>
            </w:pPr>
            <w:r>
              <w:rPr>
                <w:rFonts w:ascii="Calibri" w:hAnsi="Calibri" w:eastAsia="Calibri"/>
                <w:b w:val="0"/>
                <w:sz w:val="18"/>
              </w:rPr>
              <w:t>0.1 – Draft internal</w:t>
            </w:r>
          </w:p>
        </w:tc>
        <w:tc>
          <w:tcPr>
            <w:tcW w:type="dxa" w:w="4560"/>
          </w:tcPr>
          <w:p>
            <w:pPr>
              <w:spacing w:after="0"/>
              <w:rPr>
                <w:lang w:val="id-ID"/>
              </w:rPr>
            </w:pPr>
            <w:r>
              <w:rPr>
                <w:rFonts w:ascii="Calibri" w:hAnsi="Calibri" w:eastAsia="Calibri"/>
                <w:b w:val="0"/>
                <w:sz w:val="18"/>
              </w:rPr>
              <w:t>Perlu owner/sign-off sebelum diedarkan eksternal</w:t>
            </w:r>
          </w:p>
        </w:tc>
      </w:tr>
      <w:tr>
        <w:trPr>
          <w:cantSplit w:val="true"/>
        </w:trPr>
        <w:tc>
          <w:tcPr>
            <w:tcW w:type="dxa" w:w="1800"/>
          </w:tcPr>
          <w:p>
            <w:pPr>
              <w:spacing w:after="0"/>
              <w:rPr>
                <w:lang w:val="id-ID"/>
              </w:rPr>
            </w:pPr>
            <w:r>
              <w:rPr>
                <w:rFonts w:ascii="Calibri" w:hAnsi="Calibri" w:eastAsia="Calibri"/>
                <w:b w:val="0"/>
                <w:sz w:val="18"/>
              </w:rPr>
              <w:t>Cut-off bukti</w:t>
            </w:r>
          </w:p>
        </w:tc>
        <w:tc>
          <w:tcPr>
            <w:tcW w:type="dxa" w:w="3000"/>
          </w:tcPr>
          <w:p>
            <w:pPr>
              <w:spacing w:after="0"/>
              <w:rPr>
                <w:lang w:val="id-ID"/>
              </w:rPr>
            </w:pPr>
            <w:r>
              <w:rPr>
                <w:rFonts w:ascii="Calibri" w:hAnsi="Calibri" w:eastAsia="Calibri"/>
                <w:b w:val="0"/>
                <w:sz w:val="18"/>
              </w:rPr>
              <w:t>18 Agustus 2026</w:t>
            </w:r>
          </w:p>
        </w:tc>
        <w:tc>
          <w:tcPr>
            <w:tcW w:type="dxa" w:w="4560"/>
          </w:tcPr>
          <w:p>
            <w:pPr>
              <w:spacing w:after="0"/>
              <w:rPr>
                <w:lang w:val="id-ID"/>
              </w:rPr>
            </w:pPr>
            <w:r>
              <w:rPr>
                <w:rFonts w:ascii="Calibri" w:hAnsi="Calibri" w:eastAsia="Calibri"/>
                <w:b w:val="0"/>
                <w:sz w:val="18"/>
              </w:rPr>
              <w:t>Perubahan setelah tanggal ini belum tercakup</w:t>
            </w:r>
          </w:p>
        </w:tc>
      </w:tr>
      <w:tr>
        <w:trPr>
          <w:cantSplit w:val="true"/>
        </w:trPr>
        <w:tc>
          <w:tcPr>
            <w:tcW w:type="dxa" w:w="1800"/>
          </w:tcPr>
          <w:p>
            <w:pPr>
              <w:spacing w:after="0"/>
              <w:rPr>
                <w:lang w:val="id-ID"/>
              </w:rPr>
            </w:pPr>
            <w:r>
              <w:rPr>
                <w:rFonts w:ascii="Calibri" w:hAnsi="Calibri" w:eastAsia="Calibri"/>
                <w:b w:val="0"/>
                <w:sz w:val="18"/>
              </w:rPr>
              <w:t>Pertemuan acuan</w:t>
            </w:r>
          </w:p>
        </w:tc>
        <w:tc>
          <w:tcPr>
            <w:tcW w:type="dxa" w:w="3000"/>
          </w:tcPr>
          <w:p>
            <w:pPr>
              <w:spacing w:after="0"/>
              <w:rPr>
                <w:lang w:val="id-ID"/>
              </w:rPr>
            </w:pPr>
            <w:r>
              <w:rPr>
                <w:rFonts w:ascii="Calibri" w:hAnsi="Calibri" w:eastAsia="Calibri"/>
                <w:b w:val="0"/>
                <w:sz w:val="18"/>
              </w:rPr>
              <w:t>20 Agustus 2026</w:t>
            </w:r>
          </w:p>
        </w:tc>
        <w:tc>
          <w:tcPr>
            <w:tcW w:type="dxa" w:w="4560"/>
          </w:tcPr>
          <w:p>
            <w:pPr>
              <w:spacing w:after="0"/>
              <w:rPr>
                <w:lang w:val="id-ID"/>
              </w:rPr>
            </w:pPr>
            <w:r>
              <w:rPr>
                <w:rFonts w:ascii="Calibri" w:hAnsi="Calibri" w:eastAsia="Calibri"/>
                <w:b w:val="0"/>
                <w:sz w:val="18"/>
              </w:rPr>
              <w:t>Disebut ‘lusa’ dari tanggal penyusunan</w:t>
            </w:r>
          </w:p>
        </w:tc>
      </w:tr>
      <w:tr>
        <w:trPr>
          <w:cantSplit w:val="true"/>
        </w:trPr>
        <w:tc>
          <w:tcPr>
            <w:tcW w:type="dxa" w:w="1800"/>
          </w:tcPr>
          <w:p>
            <w:pPr>
              <w:spacing w:after="0"/>
              <w:rPr>
                <w:lang w:val="id-ID"/>
              </w:rPr>
            </w:pPr>
            <w:r>
              <w:rPr>
                <w:rFonts w:ascii="Calibri" w:hAnsi="Calibri" w:eastAsia="Calibri"/>
                <w:b w:val="0"/>
                <w:sz w:val="18"/>
              </w:rPr>
              <w:t>Metode</w:t>
            </w:r>
          </w:p>
        </w:tc>
        <w:tc>
          <w:tcPr>
            <w:tcW w:type="dxa" w:w="3000"/>
          </w:tcPr>
          <w:p>
            <w:pPr>
              <w:spacing w:after="0"/>
              <w:rPr>
                <w:lang w:val="id-ID"/>
              </w:rPr>
            </w:pPr>
            <w:r>
              <w:rPr>
                <w:rFonts w:ascii="Calibri" w:hAnsi="Calibri" w:eastAsia="Calibri"/>
                <w:b w:val="0"/>
                <w:sz w:val="18"/>
              </w:rPr>
              <w:t>Audit read-only + sumber primer</w:t>
            </w:r>
          </w:p>
        </w:tc>
        <w:tc>
          <w:tcPr>
            <w:tcW w:type="dxa" w:w="4560"/>
          </w:tcPr>
          <w:p>
            <w:pPr>
              <w:spacing w:after="0"/>
              <w:rPr>
                <w:lang w:val="id-ID"/>
              </w:rPr>
            </w:pPr>
            <w:r>
              <w:rPr>
                <w:rFonts w:ascii="Calibri" w:hAnsi="Calibri" w:eastAsia="Calibri"/>
                <w:b w:val="0"/>
                <w:sz w:val="18"/>
              </w:rPr>
              <w:t>Tanpa build, upload, flash, deployment, COM, broker live, database live, atau perangkat live</w:t>
            </w:r>
          </w:p>
        </w:tc>
      </w:tr>
      <w:tr>
        <w:trPr>
          <w:cantSplit w:val="true"/>
        </w:trPr>
        <w:tc>
          <w:tcPr>
            <w:tcW w:type="dxa" w:w="1800"/>
          </w:tcPr>
          <w:p>
            <w:pPr>
              <w:spacing w:after="0"/>
              <w:rPr>
                <w:lang w:val="id-ID"/>
              </w:rPr>
            </w:pPr>
            <w:r>
              <w:rPr>
                <w:rFonts w:ascii="Calibri" w:hAnsi="Calibri" w:eastAsia="Calibri"/>
                <w:b w:val="0"/>
                <w:sz w:val="18"/>
              </w:rPr>
              <w:t>PIC penerbit</w:t>
            </w:r>
          </w:p>
        </w:tc>
        <w:tc>
          <w:tcPr>
            <w:tcW w:type="dxa" w:w="3000"/>
          </w:tcPr>
          <w:p>
            <w:pPr>
              <w:spacing w:after="0"/>
              <w:rPr>
                <w:lang w:val="id-ID"/>
              </w:rPr>
            </w:pPr>
            <w:r>
              <w:rPr>
                <w:rFonts w:ascii="Calibri" w:hAnsi="Calibri" w:eastAsia="Calibri"/>
                <w:b w:val="0"/>
                <w:sz w:val="18"/>
              </w:rPr>
              <w:t>TBD – LGU</w:t>
            </w:r>
          </w:p>
        </w:tc>
        <w:tc>
          <w:tcPr>
            <w:tcW w:type="dxa" w:w="4560"/>
          </w:tcPr>
          <w:p>
            <w:pPr>
              <w:spacing w:after="0"/>
              <w:rPr>
                <w:lang w:val="id-ID"/>
              </w:rPr>
            </w:pPr>
            <w:r>
              <w:rPr>
                <w:rFonts w:ascii="Calibri" w:hAnsi="Calibri" w:eastAsia="Calibri"/>
                <w:b w:val="0"/>
                <w:sz w:val="18"/>
              </w:rPr>
              <w:t>Nama/jabatan harus diisi sebelum distribusi</w:t>
            </w:r>
          </w:p>
        </w:tc>
      </w:tr>
      <w:tr>
        <w:trPr>
          <w:cantSplit w:val="true"/>
        </w:trPr>
        <w:tc>
          <w:tcPr>
            <w:tcW w:type="dxa" w:w="1800"/>
          </w:tcPr>
          <w:p>
            <w:pPr>
              <w:spacing w:after="0"/>
              <w:rPr>
                <w:lang w:val="id-ID"/>
              </w:rPr>
            </w:pPr>
            <w:r>
              <w:rPr>
                <w:rFonts w:ascii="Calibri" w:hAnsi="Calibri" w:eastAsia="Calibri"/>
                <w:b w:val="0"/>
                <w:sz w:val="18"/>
              </w:rPr>
              <w:t>Penerima</w:t>
            </w:r>
          </w:p>
        </w:tc>
        <w:tc>
          <w:tcPr>
            <w:tcW w:type="dxa" w:w="3000"/>
          </w:tcPr>
          <w:p>
            <w:pPr>
              <w:spacing w:after="0"/>
              <w:rPr>
                <w:lang w:val="id-ID"/>
              </w:rPr>
            </w:pPr>
            <w:r>
              <w:rPr>
                <w:rFonts w:ascii="Calibri" w:hAnsi="Calibri" w:eastAsia="Calibri"/>
                <w:b w:val="0"/>
                <w:sz w:val="18"/>
              </w:rPr>
              <w:t>Internal LGU; calon bahan koordinasi Pertamina</w:t>
            </w:r>
          </w:p>
        </w:tc>
        <w:tc>
          <w:tcPr>
            <w:tcW w:type="dxa" w:w="4560"/>
          </w:tcPr>
          <w:p>
            <w:pPr>
              <w:spacing w:after="0"/>
              <w:rPr>
                <w:lang w:val="id-ID"/>
              </w:rPr>
            </w:pPr>
            <w:r>
              <w:rPr>
                <w:rFonts w:ascii="Calibri" w:hAnsi="Calibri" w:eastAsia="Calibri"/>
                <w:b w:val="0"/>
                <w:sz w:val="18"/>
              </w:rPr>
              <w:t>Hapus catatan internal bila dibuat versi eksternal</w:t>
            </w:r>
          </w:p>
        </w:tc>
      </w:tr>
    </w:tbl>
    <w:p>
      <w:pPr>
        <w:spacing w:after="0"/>
      </w:pPr>
    </w:p>
    <w:p>
      <w:pPr>
        <w:pStyle w:val="Heading1"/>
        <w:rPr>
          <w:lang w:val="id-ID"/>
        </w:rPr>
      </w:pPr>
      <w:r>
        <w:t>Daftar isi ringkas</w:t>
      </w:r>
    </w:p>
    <w:p>
      <w:pPr>
        <w:pStyle w:val="ListNumber"/>
        <w:numPr>
          <w:ilvl w:val="0"/>
          <w:numId w:val="10"/>
        </w:numPr>
        <w:rPr>
          <w:lang w:val="id-ID"/>
        </w:rPr>
      </w:pPr>
      <w:r>
        <w:rPr>
          <w:rFonts w:ascii="Calibri" w:hAnsi="Calibri" w:eastAsia="Calibri"/>
        </w:rPr>
        <w:t>Ringkasan eksekutif dan keputusan yang diminta</w:t>
      </w:r>
    </w:p>
    <w:p>
      <w:pPr>
        <w:pStyle w:val="ListNumber"/>
        <w:numPr>
          <w:ilvl w:val="0"/>
          <w:numId w:val="10"/>
        </w:numPr>
        <w:rPr>
          <w:lang w:val="id-ID"/>
        </w:rPr>
      </w:pPr>
      <w:r>
        <w:rPr>
          <w:rFonts w:ascii="Calibri" w:hAnsi="Calibri" w:eastAsia="Calibri"/>
        </w:rPr>
        <w:t>Basis bukti, cara membaca status, dan batas klaim</w:t>
      </w:r>
    </w:p>
    <w:p>
      <w:pPr>
        <w:pStyle w:val="ListNumber"/>
        <w:numPr>
          <w:ilvl w:val="0"/>
          <w:numId w:val="10"/>
        </w:numPr>
        <w:rPr>
          <w:lang w:val="id-ID"/>
        </w:rPr>
      </w:pPr>
      <w:r>
        <w:rPr>
          <w:rFonts w:ascii="Calibri" w:hAnsi="Calibri" w:eastAsia="Calibri"/>
        </w:rPr>
        <w:t>Kebutuhan Cilacap dan arsitektur sistem end-to-end</w:t>
      </w:r>
    </w:p>
    <w:p>
      <w:pPr>
        <w:pStyle w:val="ListNumber"/>
        <w:numPr>
          <w:ilvl w:val="0"/>
          <w:numId w:val="10"/>
        </w:numPr>
        <w:rPr>
          <w:lang w:val="id-ID"/>
        </w:rPr>
      </w:pPr>
      <w:r>
        <w:rPr>
          <w:rFonts w:ascii="Calibri" w:hAnsi="Calibri" w:eastAsia="Calibri"/>
        </w:rPr>
        <w:t>Datasheet terkendali: GLD1</w:t>
      </w:r>
    </w:p>
    <w:p>
      <w:pPr>
        <w:pStyle w:val="ListNumber"/>
        <w:numPr>
          <w:ilvl w:val="0"/>
          <w:numId w:val="10"/>
        </w:numPr>
        <w:rPr>
          <w:lang w:val="id-ID"/>
        </w:rPr>
      </w:pPr>
      <w:r>
        <w:rPr>
          <w:rFonts w:ascii="Calibri" w:hAnsi="Calibri" w:eastAsia="Calibri"/>
        </w:rPr>
        <w:t>Keputusan daya GLD1 24 VDC</w:t>
      </w:r>
    </w:p>
    <w:p>
      <w:pPr>
        <w:pStyle w:val="ListNumber"/>
        <w:numPr>
          <w:ilvl w:val="0"/>
          <w:numId w:val="10"/>
        </w:numPr>
        <w:rPr>
          <w:lang w:val="id-ID"/>
        </w:rPr>
      </w:pPr>
      <w:r>
        <w:rPr>
          <w:rFonts w:ascii="Calibri" w:hAnsi="Calibri" w:eastAsia="Calibri"/>
        </w:rPr>
        <w:t>Datasheet terkendali: CH</w:t>
      </w:r>
    </w:p>
    <w:p>
      <w:pPr>
        <w:pStyle w:val="ListNumber"/>
        <w:numPr>
          <w:ilvl w:val="0"/>
          <w:numId w:val="10"/>
        </w:numPr>
        <w:rPr>
          <w:lang w:val="id-ID"/>
        </w:rPr>
      </w:pPr>
      <w:r>
        <w:rPr>
          <w:rFonts w:ascii="Calibri" w:hAnsi="Calibri" w:eastAsia="Calibri"/>
        </w:rPr>
        <w:t>Datasheet terkendali: Gateway</w:t>
      </w:r>
    </w:p>
    <w:p>
      <w:pPr>
        <w:pStyle w:val="ListNumber"/>
        <w:numPr>
          <w:ilvl w:val="0"/>
          <w:numId w:val="10"/>
        </w:numPr>
        <w:rPr>
          <w:lang w:val="id-ID"/>
        </w:rPr>
      </w:pPr>
      <w:r>
        <w:rPr>
          <w:rFonts w:ascii="Calibri" w:hAnsi="Calibri" w:eastAsia="Calibri"/>
        </w:rPr>
        <w:t>Server, dashboard, database, dan deployment</w:t>
      </w:r>
    </w:p>
    <w:p>
      <w:pPr>
        <w:pStyle w:val="ListNumber"/>
        <w:numPr>
          <w:ilvl w:val="0"/>
          <w:numId w:val="10"/>
        </w:numPr>
        <w:rPr>
          <w:lang w:val="id-ID"/>
        </w:rPr>
      </w:pPr>
      <w:r>
        <w:rPr>
          <w:rFonts w:ascii="Calibri" w:hAnsi="Calibri" w:eastAsia="Calibri"/>
        </w:rPr>
        <w:t>Desain intranet, onboarding, dan keamanan</w:t>
      </w:r>
    </w:p>
    <w:p>
      <w:pPr>
        <w:pStyle w:val="ListNumber"/>
        <w:numPr>
          <w:ilvl w:val="0"/>
          <w:numId w:val="10"/>
        </w:numPr>
        <w:rPr>
          <w:lang w:val="id-ID"/>
        </w:rPr>
      </w:pPr>
      <w:r>
        <w:rPr>
          <w:rFonts w:ascii="Calibri" w:hAnsi="Calibri" w:eastAsia="Calibri"/>
        </w:rPr>
        <w:t>Mounting, antena, kabel, grounding, dan site interface</w:t>
      </w:r>
    </w:p>
    <w:p>
      <w:pPr>
        <w:pStyle w:val="ListNumber"/>
        <w:numPr>
          <w:ilvl w:val="0"/>
          <w:numId w:val="10"/>
        </w:numPr>
        <w:rPr>
          <w:lang w:val="id-ID"/>
        </w:rPr>
      </w:pPr>
      <w:r>
        <w:rPr>
          <w:rFonts w:ascii="Calibri" w:hAnsi="Calibri" w:eastAsia="Calibri"/>
        </w:rPr>
        <w:t>Hazardous area, ATEX/IECEx, dan batas trial</w:t>
      </w:r>
    </w:p>
    <w:p>
      <w:pPr>
        <w:pStyle w:val="ListNumber"/>
        <w:numPr>
          <w:ilvl w:val="0"/>
          <w:numId w:val="10"/>
        </w:numPr>
        <w:rPr>
          <w:lang w:val="id-ID"/>
        </w:rPr>
      </w:pPr>
      <w:r>
        <w:rPr>
          <w:rFonts w:ascii="Calibri" w:hAnsi="Calibri" w:eastAsia="Calibri"/>
        </w:rPr>
        <w:t>Lokasi kandidat, fase, jadwal, dan pembagian kerja</w:t>
      </w:r>
    </w:p>
    <w:p>
      <w:pPr>
        <w:pStyle w:val="ListNumber"/>
        <w:numPr>
          <w:ilvl w:val="0"/>
          <w:numId w:val="10"/>
        </w:numPr>
        <w:rPr>
          <w:lang w:val="id-ID"/>
        </w:rPr>
      </w:pPr>
      <w:r>
        <w:rPr>
          <w:rFonts w:ascii="Calibri" w:hAnsi="Calibri" w:eastAsia="Calibri"/>
        </w:rPr>
        <w:t>RFI/pernyataan yang harus ditutup</w:t>
      </w:r>
    </w:p>
    <w:p>
      <w:pPr>
        <w:pStyle w:val="ListNumber"/>
        <w:numPr>
          <w:ilvl w:val="0"/>
          <w:numId w:val="10"/>
        </w:numPr>
        <w:rPr>
          <w:lang w:val="id-ID"/>
        </w:rPr>
      </w:pPr>
      <w:r>
        <w:rPr>
          <w:rFonts w:ascii="Calibri" w:hAnsi="Calibri" w:eastAsia="Calibri"/>
        </w:rPr>
        <w:t>FAT, SAT, dan bukti penerimaan</w:t>
      </w:r>
    </w:p>
    <w:p>
      <w:pPr>
        <w:pStyle w:val="ListNumber"/>
        <w:numPr>
          <w:ilvl w:val="0"/>
          <w:numId w:val="10"/>
        </w:numPr>
        <w:rPr>
          <w:lang w:val="id-ID"/>
        </w:rPr>
      </w:pPr>
      <w:r>
        <w:rPr>
          <w:rFonts w:ascii="Calibri" w:hAnsi="Calibri" w:eastAsia="Calibri"/>
        </w:rPr>
        <w:t>Daftar sumber dan register bukti</w:t>
      </w:r>
    </w:p>
    <w:p>
      <w:pPr>
        <w:pStyle w:val="Heading1"/>
        <w:pageBreakBefore/>
        <w:rPr>
          <w:lang w:val="id-ID"/>
        </w:rPr>
      </w:pPr>
      <w:r>
        <w:t>Istilah status bukti</w:t>
      </w:r>
    </w:p>
    <w:tbl>
      <w:tblPr>
        <w:tblStyle w:val="TableGrid"/>
        <w:tblW w:type="dxa" w:w="9360"/>
        <w:jc w:val="center"/>
        <w:tblLayout w:type="fixed"/>
        <w:tblLook w:firstColumn="1" w:firstRow="1" w:lastColumn="0" w:lastRow="0" w:noHBand="0" w:noVBand="1" w:val="04A0"/>
        <w:tblInd w:w="120" w:type="dxa"/>
      </w:tblPr>
      <w:tblGrid>
        <w:gridCol w:w="1800"/>
        <w:gridCol w:w="3300"/>
        <w:gridCol w:w="4260"/>
      </w:tblGrid>
      <w:tr>
        <w:trPr>
          <w:tblHeader w:val="true"/>
          <w:cantSplit w:val="true"/>
        </w:trPr>
        <w:tc>
          <w:tcPr>
            <w:tcW w:type="dxa" w:w="18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Kode</w:t>
            </w:r>
          </w:p>
        </w:tc>
        <w:tc>
          <w:tcPr>
            <w:tcW w:type="dxa" w:w="33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Arti</w:t>
            </w:r>
          </w:p>
        </w:tc>
        <w:tc>
          <w:tcPr>
            <w:tcW w:type="dxa" w:w="42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Cara memakai</w:t>
            </w:r>
          </w:p>
        </w:tc>
      </w:tr>
      <w:tr>
        <w:trPr>
          <w:cantSplit w:val="true"/>
        </w:trPr>
        <w:tc>
          <w:tcPr>
            <w:tcW w:type="dxa" w:w="1800"/>
          </w:tcPr>
          <w:p>
            <w:pPr>
              <w:spacing w:after="0"/>
              <w:rPr>
                <w:lang w:val="id-ID"/>
              </w:rPr>
            </w:pPr>
            <w:r>
              <w:rPr>
                <w:rFonts w:ascii="Calibri" w:hAnsi="Calibri" w:eastAsia="Calibri"/>
                <w:b w:val="0"/>
                <w:sz w:val="18"/>
              </w:rPr>
              <w:t>CONFIRMED-SOURCE</w:t>
            </w:r>
          </w:p>
        </w:tc>
        <w:tc>
          <w:tcPr>
            <w:tcW w:type="dxa" w:w="3300"/>
          </w:tcPr>
          <w:p>
            <w:pPr>
              <w:spacing w:after="0"/>
              <w:rPr>
                <w:lang w:val="id-ID"/>
              </w:rPr>
            </w:pPr>
            <w:r>
              <w:rPr>
                <w:rFonts w:ascii="Calibri" w:hAnsi="Calibri" w:eastAsia="Calibri"/>
                <w:b w:val="0"/>
                <w:sz w:val="18"/>
              </w:rPr>
              <w:t>Terlihat pada current source/repo atau data EasyEDA yang diaudit</w:t>
            </w:r>
          </w:p>
        </w:tc>
        <w:tc>
          <w:tcPr>
            <w:tcW w:type="dxa" w:w="4260"/>
          </w:tcPr>
          <w:p>
            <w:pPr>
              <w:spacing w:after="0"/>
              <w:rPr>
                <w:lang w:val="id-ID"/>
              </w:rPr>
            </w:pPr>
            <w:r>
              <w:rPr>
                <w:rFonts w:ascii="Calibri" w:hAnsi="Calibri" w:eastAsia="Calibri"/>
                <w:b w:val="0"/>
                <w:sz w:val="18"/>
              </w:rPr>
              <w:t>Bukti statis; belum otomatis menjadi bukti build/hardware/runtime</w:t>
            </w:r>
          </w:p>
        </w:tc>
      </w:tr>
      <w:tr>
        <w:trPr>
          <w:cantSplit w:val="true"/>
        </w:trPr>
        <w:tc>
          <w:tcPr>
            <w:tcW w:type="dxa" w:w="1800"/>
          </w:tcPr>
          <w:p>
            <w:pPr>
              <w:spacing w:after="0"/>
              <w:rPr>
                <w:lang w:val="id-ID"/>
              </w:rPr>
            </w:pPr>
            <w:r>
              <w:rPr>
                <w:rFonts w:ascii="Calibri" w:hAnsi="Calibri" w:eastAsia="Calibri"/>
                <w:b w:val="0"/>
                <w:sz w:val="18"/>
              </w:rPr>
              <w:t>MEETING-NOTE</w:t>
            </w:r>
          </w:p>
        </w:tc>
        <w:tc>
          <w:tcPr>
            <w:tcW w:type="dxa" w:w="3300"/>
          </w:tcPr>
          <w:p>
            <w:pPr>
              <w:spacing w:after="0"/>
              <w:rPr>
                <w:lang w:val="id-ID"/>
              </w:rPr>
            </w:pPr>
            <w:r>
              <w:rPr>
                <w:rFonts w:ascii="Calibri" w:hAnsi="Calibri" w:eastAsia="Calibri"/>
                <w:b w:val="0"/>
                <w:sz w:val="18"/>
              </w:rPr>
              <w:t>Berasal dari PDF/foto/catatan rapat</w:t>
            </w:r>
          </w:p>
        </w:tc>
        <w:tc>
          <w:tcPr>
            <w:tcW w:type="dxa" w:w="4260"/>
          </w:tcPr>
          <w:p>
            <w:pPr>
              <w:spacing w:after="0"/>
              <w:rPr>
                <w:lang w:val="id-ID"/>
              </w:rPr>
            </w:pPr>
            <w:r>
              <w:rPr>
                <w:rFonts w:ascii="Calibri" w:hAnsi="Calibri" w:eastAsia="Calibri"/>
                <w:b w:val="0"/>
                <w:sz w:val="18"/>
              </w:rPr>
              <w:t>Kebutuhan atau pernyataan; harus dikonfirmasi owner</w:t>
            </w:r>
          </w:p>
        </w:tc>
      </w:tr>
      <w:tr>
        <w:trPr>
          <w:cantSplit w:val="true"/>
        </w:trPr>
        <w:tc>
          <w:tcPr>
            <w:tcW w:type="dxa" w:w="1800"/>
          </w:tcPr>
          <w:p>
            <w:pPr>
              <w:spacing w:after="0"/>
              <w:rPr>
                <w:lang w:val="id-ID"/>
              </w:rPr>
            </w:pPr>
            <w:r>
              <w:rPr>
                <w:rFonts w:ascii="Calibri" w:hAnsi="Calibri" w:eastAsia="Calibri"/>
                <w:b w:val="0"/>
                <w:sz w:val="18"/>
              </w:rPr>
              <w:t>DERIVED</w:t>
            </w:r>
          </w:p>
        </w:tc>
        <w:tc>
          <w:tcPr>
            <w:tcW w:type="dxa" w:w="3300"/>
          </w:tcPr>
          <w:p>
            <w:pPr>
              <w:spacing w:after="0"/>
              <w:rPr>
                <w:lang w:val="id-ID"/>
              </w:rPr>
            </w:pPr>
            <w:r>
              <w:rPr>
                <w:rFonts w:ascii="Calibri" w:hAnsi="Calibri" w:eastAsia="Calibri"/>
                <w:b w:val="0"/>
                <w:sz w:val="18"/>
              </w:rPr>
              <w:t>Hasil hitung/inferensi yang rumus dan asumsinya disebutkan</w:t>
            </w:r>
          </w:p>
        </w:tc>
        <w:tc>
          <w:tcPr>
            <w:tcW w:type="dxa" w:w="4260"/>
          </w:tcPr>
          <w:p>
            <w:pPr>
              <w:spacing w:after="0"/>
              <w:rPr>
                <w:lang w:val="id-ID"/>
              </w:rPr>
            </w:pPr>
            <w:r>
              <w:rPr>
                <w:rFonts w:ascii="Calibri" w:hAnsi="Calibri" w:eastAsia="Calibri"/>
                <w:b w:val="0"/>
                <w:sz w:val="18"/>
              </w:rPr>
              <w:t>Bukan hasil ukur</w:t>
            </w:r>
          </w:p>
        </w:tc>
      </w:tr>
      <w:tr>
        <w:trPr>
          <w:cantSplit w:val="true"/>
        </w:trPr>
        <w:tc>
          <w:tcPr>
            <w:tcW w:type="dxa" w:w="1800"/>
          </w:tcPr>
          <w:p>
            <w:pPr>
              <w:spacing w:after="0"/>
              <w:rPr>
                <w:lang w:val="id-ID"/>
              </w:rPr>
            </w:pPr>
            <w:r>
              <w:rPr>
                <w:rFonts w:ascii="Calibri" w:hAnsi="Calibri" w:eastAsia="Calibri"/>
                <w:b w:val="0"/>
                <w:sz w:val="18"/>
              </w:rPr>
              <w:t>PROPOSAL</w:t>
            </w:r>
          </w:p>
        </w:tc>
        <w:tc>
          <w:tcPr>
            <w:tcW w:type="dxa" w:w="3300"/>
          </w:tcPr>
          <w:p>
            <w:pPr>
              <w:spacing w:after="0"/>
              <w:rPr>
                <w:lang w:val="id-ID"/>
              </w:rPr>
            </w:pPr>
            <w:r>
              <w:rPr>
                <w:rFonts w:ascii="Calibri" w:hAnsi="Calibri" w:eastAsia="Calibri"/>
                <w:b w:val="0"/>
                <w:sz w:val="18"/>
              </w:rPr>
              <w:t>Rekomendasi desain atau baseline sementara</w:t>
            </w:r>
          </w:p>
        </w:tc>
        <w:tc>
          <w:tcPr>
            <w:tcW w:type="dxa" w:w="4260"/>
          </w:tcPr>
          <w:p>
            <w:pPr>
              <w:spacing w:after="0"/>
              <w:rPr>
                <w:lang w:val="id-ID"/>
              </w:rPr>
            </w:pPr>
            <w:r>
              <w:rPr>
                <w:rFonts w:ascii="Calibri" w:hAnsi="Calibri" w:eastAsia="Calibri"/>
                <w:b w:val="0"/>
                <w:sz w:val="18"/>
              </w:rPr>
              <w:t>Memerlukan persetujuan</w:t>
            </w:r>
          </w:p>
        </w:tc>
      </w:tr>
      <w:tr>
        <w:trPr>
          <w:cantSplit w:val="true"/>
        </w:trPr>
        <w:tc>
          <w:tcPr>
            <w:tcW w:type="dxa" w:w="1800"/>
          </w:tcPr>
          <w:p>
            <w:pPr>
              <w:spacing w:after="0"/>
              <w:rPr>
                <w:lang w:val="id-ID"/>
              </w:rPr>
            </w:pPr>
            <w:r>
              <w:rPr>
                <w:rFonts w:ascii="Calibri" w:hAnsi="Calibri" w:eastAsia="Calibri"/>
                <w:b w:val="0"/>
                <w:sz w:val="18"/>
              </w:rPr>
              <w:t>TBD</w:t>
            </w:r>
          </w:p>
        </w:tc>
        <w:tc>
          <w:tcPr>
            <w:tcW w:type="dxa" w:w="3300"/>
          </w:tcPr>
          <w:p>
            <w:pPr>
              <w:spacing w:after="0"/>
              <w:rPr>
                <w:lang w:val="id-ID"/>
              </w:rPr>
            </w:pPr>
            <w:r>
              <w:rPr>
                <w:rFonts w:ascii="Calibri" w:hAnsi="Calibri" w:eastAsia="Calibri"/>
                <w:b w:val="0"/>
                <w:sz w:val="18"/>
              </w:rPr>
              <w:t>Data belum tersedia atau belum diputuskan</w:t>
            </w:r>
          </w:p>
        </w:tc>
        <w:tc>
          <w:tcPr>
            <w:tcW w:type="dxa" w:w="4260"/>
          </w:tcPr>
          <w:p>
            <w:pPr>
              <w:spacing w:after="0"/>
              <w:rPr>
                <w:lang w:val="id-ID"/>
              </w:rPr>
            </w:pPr>
            <w:r>
              <w:rPr>
                <w:rFonts w:ascii="Calibri" w:hAnsi="Calibri" w:eastAsia="Calibri"/>
                <w:b w:val="0"/>
                <w:sz w:val="18"/>
              </w:rPr>
              <w:t>Harus memiliki owner dan target tanggal</w:t>
            </w:r>
          </w:p>
        </w:tc>
      </w:tr>
      <w:tr>
        <w:trPr>
          <w:cantSplit w:val="true"/>
        </w:trPr>
        <w:tc>
          <w:tcPr>
            <w:tcW w:type="dxa" w:w="1800"/>
          </w:tcPr>
          <w:p>
            <w:pPr>
              <w:spacing w:after="0"/>
              <w:rPr>
                <w:lang w:val="id-ID"/>
              </w:rPr>
            </w:pPr>
            <w:r>
              <w:rPr>
                <w:rFonts w:ascii="Calibri" w:hAnsi="Calibri" w:eastAsia="Calibri"/>
                <w:b w:val="0"/>
                <w:sz w:val="18"/>
              </w:rPr>
              <w:t>NO-PROOF</w:t>
            </w:r>
          </w:p>
        </w:tc>
        <w:tc>
          <w:tcPr>
            <w:tcW w:type="dxa" w:w="3300"/>
          </w:tcPr>
          <w:p>
            <w:pPr>
              <w:spacing w:after="0"/>
              <w:rPr>
                <w:lang w:val="id-ID"/>
              </w:rPr>
            </w:pPr>
            <w:r>
              <w:rPr>
                <w:rFonts w:ascii="Calibri" w:hAnsi="Calibri" w:eastAsia="Calibri"/>
                <w:b w:val="0"/>
                <w:sz w:val="18"/>
              </w:rPr>
              <w:t>Bukti sertifikat/live/deployment/measurement tidak ditemukan</w:t>
            </w:r>
          </w:p>
        </w:tc>
        <w:tc>
          <w:tcPr>
            <w:tcW w:type="dxa" w:w="4260"/>
          </w:tcPr>
          <w:p>
            <w:pPr>
              <w:spacing w:after="0"/>
              <w:rPr>
                <w:lang w:val="id-ID"/>
              </w:rPr>
            </w:pPr>
            <w:r>
              <w:rPr>
                <w:rFonts w:ascii="Calibri" w:hAnsi="Calibri" w:eastAsia="Calibri"/>
                <w:b w:val="0"/>
                <w:sz w:val="18"/>
              </w:rPr>
              <w:t>Dilarang dipromosikan menjadi klaim positif</w:t>
            </w:r>
          </w:p>
        </w:tc>
      </w:tr>
    </w:tbl>
    <w:p>
      <w:pPr>
        <w:spacing w:after="0"/>
      </w:pPr>
    </w:p>
    <w:p>
      <w:pPr>
        <w:pStyle w:val="Heading1"/>
        <w:pageBreakBefore/>
        <w:rPr>
          <w:lang w:val="id-ID"/>
        </w:rPr>
      </w:pPr>
      <w:r>
        <w:t>1. Ringkasan eksekutif dan keputusan yang diminta</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CE8E6"/>
          </w:tcPr>
          <w:p>
            <w:pPr>
              <w:spacing w:after="40"/>
              <w:rPr>
                <w:lang w:val="id-ID"/>
              </w:rPr>
            </w:pPr>
            <w:r>
              <w:rPr>
                <w:rFonts w:ascii="Calibri" w:hAnsi="Calibri" w:eastAsia="Calibri"/>
                <w:b/>
                <w:color w:val="C00000"/>
                <w:sz w:val="20"/>
              </w:rPr>
              <w:t xml:space="preserve">KESIMPULAN UTAMA  </w:t>
            </w:r>
            <w:r>
              <w:rPr>
                <w:rFonts w:ascii="Calibri" w:hAnsi="Calibri" w:eastAsia="Calibri"/>
                <w:color w:val="243447"/>
                <w:sz w:val="20"/>
              </w:rPr>
              <w:t>Konsep end-to-end GLD1 → CH → Gateway → broker/server dapat diteruskan sebagai program engineering, tetapi belum layak dinyatakan siap instalasi produksi. Tiga gate paling kritis adalah: keselamatan hazardous-area untuk assembly lengkap; penutupan temuan power GLD1; dan keputusan keamanan jaringan/TLS plus rekonsiliasi server flow.</w:t>
            </w:r>
          </w:p>
        </w:tc>
      </w:tr>
    </w:tbl>
    <w:p>
      <w:pPr>
        <w:spacing w:after="0"/>
      </w:pPr>
    </w:p>
    <w:p>
      <w:pPr>
        <w:pStyle w:val="Heading2"/>
        <w:rPr>
          <w:lang w:val="id-ID"/>
        </w:rPr>
      </w:pPr>
      <w:r>
        <w:t>1.1 Status per workstream</w:t>
      </w:r>
    </w:p>
    <w:tbl>
      <w:tblPr>
        <w:tblStyle w:val="TableGrid"/>
        <w:tblW w:type="dxa" w:w="9360"/>
        <w:jc w:val="center"/>
        <w:tblLayout w:type="fixed"/>
        <w:tblLook w:firstColumn="1" w:firstRow="1" w:lastColumn="0" w:lastRow="0" w:noHBand="0" w:noVBand="1" w:val="04A0"/>
        <w:tblInd w:w="120" w:type="dxa"/>
      </w:tblPr>
      <w:tblGrid>
        <w:gridCol w:w="1500"/>
        <w:gridCol w:w="1200"/>
        <w:gridCol w:w="3330"/>
        <w:gridCol w:w="3330"/>
      </w:tblGrid>
      <w:tr>
        <w:trPr>
          <w:tblHeader w:val="true"/>
          <w:cantSplit w:val="true"/>
        </w:trPr>
        <w:tc>
          <w:tcPr>
            <w:tcW w:type="dxa" w:w="1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Workstream</w:t>
            </w:r>
          </w:p>
        </w:tc>
        <w:tc>
          <w:tcPr>
            <w:tcW w:type="dxa" w:w="12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Status</w:t>
            </w:r>
          </w:p>
        </w:tc>
        <w:tc>
          <w:tcPr>
            <w:tcW w:type="dxa" w:w="333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Dasar</w:t>
            </w:r>
          </w:p>
        </w:tc>
        <w:tc>
          <w:tcPr>
            <w:tcW w:type="dxa" w:w="333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Keputusan/tindakan</w:t>
            </w:r>
          </w:p>
        </w:tc>
      </w:tr>
      <w:tr>
        <w:trPr>
          <w:cantSplit w:val="true"/>
        </w:trPr>
        <w:tc>
          <w:tcPr>
            <w:tcW w:type="dxa" w:w="1500"/>
          </w:tcPr>
          <w:p>
            <w:pPr>
              <w:spacing w:after="0"/>
              <w:rPr>
                <w:lang w:val="id-ID"/>
              </w:rPr>
            </w:pPr>
            <w:r>
              <w:rPr>
                <w:rFonts w:ascii="Calibri" w:hAnsi="Calibri" w:eastAsia="Calibri"/>
                <w:b w:val="0"/>
                <w:sz w:val="16"/>
              </w:rPr>
              <w:t>Hazardous-area</w:t>
            </w:r>
          </w:p>
        </w:tc>
        <w:tc>
          <w:tcPr>
            <w:tcW w:type="dxa" w:w="1200"/>
            <w:shd w:fill="FCE8E6"/>
          </w:tcPr>
          <w:p>
            <w:pPr>
              <w:spacing w:after="0"/>
              <w:rPr>
                <w:lang w:val="id-ID"/>
              </w:rPr>
            </w:pPr>
            <w:r>
              <w:rPr>
                <w:rFonts w:ascii="Calibri" w:hAnsi="Calibri" w:eastAsia="Calibri"/>
                <w:b w:val="0"/>
                <w:sz w:val="16"/>
              </w:rPr>
              <w:t>HOLD / RED</w:t>
            </w:r>
          </w:p>
        </w:tc>
        <w:tc>
          <w:tcPr>
            <w:tcW w:type="dxa" w:w="3330"/>
          </w:tcPr>
          <w:p>
            <w:pPr>
              <w:spacing w:after="0"/>
              <w:rPr>
                <w:lang w:val="id-ID"/>
              </w:rPr>
            </w:pPr>
            <w:r>
              <w:rPr>
                <w:rFonts w:ascii="Calibri" w:hAnsi="Calibri" w:eastAsia="Calibri"/>
                <w:b w:val="0"/>
                <w:sz w:val="16"/>
              </w:rPr>
              <w:t>Tidak ada bukti ATEX/IECEx/Ex marking untuk assembly GLD1 maupun CH; foto enclosure bukan sertifikat.</w:t>
            </w:r>
          </w:p>
        </w:tc>
        <w:tc>
          <w:tcPr>
            <w:tcW w:type="dxa" w:w="3330"/>
          </w:tcPr>
          <w:p>
            <w:pPr>
              <w:spacing w:after="0"/>
              <w:rPr>
                <w:lang w:val="id-ID"/>
              </w:rPr>
            </w:pPr>
            <w:r>
              <w:rPr>
                <w:rFonts w:ascii="Calibri" w:hAnsi="Calibri" w:eastAsia="Calibri"/>
                <w:b w:val="0"/>
                <w:sz w:val="16"/>
              </w:rPr>
              <w:t>Trial hanya di titik tertulis non-hazardous sampai konfigurasi final disertifikasi dan diterima Pertamina.</w:t>
            </w:r>
          </w:p>
        </w:tc>
      </w:tr>
      <w:tr>
        <w:trPr>
          <w:cantSplit w:val="true"/>
        </w:trPr>
        <w:tc>
          <w:tcPr>
            <w:tcW w:type="dxa" w:w="1500"/>
          </w:tcPr>
          <w:p>
            <w:pPr>
              <w:spacing w:after="0"/>
              <w:rPr>
                <w:lang w:val="id-ID"/>
              </w:rPr>
            </w:pPr>
            <w:r>
              <w:rPr>
                <w:rFonts w:ascii="Calibri" w:hAnsi="Calibri" w:eastAsia="Calibri"/>
                <w:b w:val="0"/>
                <w:sz w:val="16"/>
              </w:rPr>
              <w:t>GLD1 power</w:t>
            </w:r>
          </w:p>
        </w:tc>
        <w:tc>
          <w:tcPr>
            <w:tcW w:type="dxa" w:w="1200"/>
            <w:shd w:fill="FCE8E6"/>
          </w:tcPr>
          <w:p>
            <w:pPr>
              <w:spacing w:after="0"/>
              <w:rPr>
                <w:lang w:val="id-ID"/>
              </w:rPr>
            </w:pPr>
            <w:r>
              <w:rPr>
                <w:rFonts w:ascii="Calibri" w:hAnsi="Calibri" w:eastAsia="Calibri"/>
                <w:b w:val="0"/>
                <w:sz w:val="16"/>
              </w:rPr>
              <w:t>AMBER-RED</w:t>
            </w:r>
          </w:p>
        </w:tc>
        <w:tc>
          <w:tcPr>
            <w:tcW w:type="dxa" w:w="3330"/>
          </w:tcPr>
          <w:p>
            <w:pPr>
              <w:spacing w:after="0"/>
              <w:rPr>
                <w:lang w:val="id-ID"/>
              </w:rPr>
            </w:pPr>
            <w:r>
              <w:rPr>
                <w:rFonts w:ascii="Calibri" w:hAnsi="Calibri" w:eastAsia="Calibri"/>
                <w:b w:val="0"/>
                <w:sz w:val="16"/>
              </w:rPr>
              <w:t>24 VDC feasible secara hitung, tetapi F1 GLD1 bertanda 16 V pada jalur input 24 V dan arus fan/alarm belum terukur.</w:t>
            </w:r>
          </w:p>
        </w:tc>
        <w:tc>
          <w:tcPr>
            <w:tcW w:type="dxa" w:w="3330"/>
          </w:tcPr>
          <w:p>
            <w:pPr>
              <w:spacing w:after="0"/>
              <w:rPr>
                <w:lang w:val="id-ID"/>
              </w:rPr>
            </w:pPr>
            <w:r>
              <w:rPr>
                <w:rFonts w:ascii="Calibri" w:hAnsi="Calibri" w:eastAsia="Calibri"/>
                <w:b w:val="0"/>
                <w:sz w:val="16"/>
              </w:rPr>
              <w:t>Tutup review protection; lakukan FAT cold-start/thermal/cable-drop/fan-alarm.</w:t>
            </w:r>
          </w:p>
        </w:tc>
      </w:tr>
      <w:tr>
        <w:trPr>
          <w:cantSplit w:val="true"/>
        </w:trPr>
        <w:tc>
          <w:tcPr>
            <w:tcW w:type="dxa" w:w="1500"/>
          </w:tcPr>
          <w:p>
            <w:pPr>
              <w:spacing w:after="0"/>
              <w:rPr>
                <w:lang w:val="id-ID"/>
              </w:rPr>
            </w:pPr>
            <w:r>
              <w:rPr>
                <w:rFonts w:ascii="Calibri" w:hAnsi="Calibri" w:eastAsia="Calibri"/>
                <w:b w:val="0"/>
                <w:sz w:val="16"/>
              </w:rPr>
              <w:t>CH power/solar</w:t>
            </w:r>
          </w:p>
        </w:tc>
        <w:tc>
          <w:tcPr>
            <w:tcW w:type="dxa" w:w="1200"/>
            <w:shd w:fill="FCE8E6"/>
          </w:tcPr>
          <w:p>
            <w:pPr>
              <w:spacing w:after="0"/>
              <w:rPr>
                <w:lang w:val="id-ID"/>
              </w:rPr>
            </w:pPr>
            <w:r>
              <w:rPr>
                <w:rFonts w:ascii="Calibri" w:hAnsi="Calibri" w:eastAsia="Calibri"/>
                <w:b w:val="0"/>
                <w:sz w:val="16"/>
              </w:rPr>
              <w:t>AMBER-RED</w:t>
            </w:r>
          </w:p>
        </w:tc>
        <w:tc>
          <w:tcPr>
            <w:tcW w:type="dxa" w:w="3330"/>
          </w:tcPr>
          <w:p>
            <w:pPr>
              <w:spacing w:after="0"/>
              <w:rPr>
                <w:lang w:val="id-ID"/>
              </w:rPr>
            </w:pPr>
            <w:r>
              <w:rPr>
                <w:rFonts w:ascii="Calibri" w:hAnsi="Calibri" w:eastAsia="Calibri"/>
                <w:b w:val="0"/>
                <w:sz w:val="16"/>
              </w:rPr>
              <w:t>Rangkaian charger single-cell teridentifikasi; panel, sel, autonomy, temperature sensing, dan enclosure belum ditetapkan/diukur.</w:t>
            </w:r>
          </w:p>
        </w:tc>
        <w:tc>
          <w:tcPr>
            <w:tcW w:type="dxa" w:w="3330"/>
          </w:tcPr>
          <w:p>
            <w:pPr>
              <w:spacing w:after="0"/>
              <w:rPr>
                <w:lang w:val="id-ID"/>
              </w:rPr>
            </w:pPr>
            <w:r>
              <w:rPr>
                <w:rFonts w:ascii="Calibri" w:hAnsi="Calibri" w:eastAsia="Calibri"/>
                <w:b w:val="0"/>
                <w:sz w:val="16"/>
              </w:rPr>
              <w:t>Kunci BOM panel/sel, ukur profil 24 jam, autonomy, dual-radio peak, dan recharge.</w:t>
            </w:r>
          </w:p>
        </w:tc>
      </w:tr>
      <w:tr>
        <w:trPr>
          <w:cantSplit w:val="true"/>
        </w:trPr>
        <w:tc>
          <w:tcPr>
            <w:tcW w:type="dxa" w:w="1500"/>
          </w:tcPr>
          <w:p>
            <w:pPr>
              <w:spacing w:after="0"/>
              <w:rPr>
                <w:lang w:val="id-ID"/>
              </w:rPr>
            </w:pPr>
            <w:r>
              <w:rPr>
                <w:rFonts w:ascii="Calibri" w:hAnsi="Calibri" w:eastAsia="Calibri"/>
                <w:b w:val="0"/>
                <w:sz w:val="16"/>
              </w:rPr>
              <w:t>Gateway/intranet</w:t>
            </w:r>
          </w:p>
        </w:tc>
        <w:tc>
          <w:tcPr>
            <w:tcW w:type="dxa" w:w="1200"/>
            <w:shd w:fill="FCE8E6"/>
          </w:tcPr>
          <w:p>
            <w:pPr>
              <w:spacing w:after="0"/>
              <w:rPr>
                <w:lang w:val="id-ID"/>
              </w:rPr>
            </w:pPr>
            <w:r>
              <w:rPr>
                <w:rFonts w:ascii="Calibri" w:hAnsi="Calibri" w:eastAsia="Calibri"/>
                <w:b w:val="0"/>
                <w:sz w:val="16"/>
              </w:rPr>
              <w:t>AMBER-RED</w:t>
            </w:r>
          </w:p>
        </w:tc>
        <w:tc>
          <w:tcPr>
            <w:tcW w:type="dxa" w:w="3330"/>
          </w:tcPr>
          <w:p>
            <w:pPr>
              <w:spacing w:after="0"/>
              <w:rPr>
                <w:lang w:val="id-ID"/>
              </w:rPr>
            </w:pPr>
            <w:r>
              <w:rPr>
                <w:rFonts w:ascii="Calibri" w:hAnsi="Calibri" w:eastAsia="Calibri"/>
                <w:b w:val="0"/>
                <w:sz w:val="16"/>
              </w:rPr>
              <w:t>Wi-Fi STA dan MQTT ada; STA MAC belum tersedia pra-onboarding; MQTT firmware plaintext sedangkan server non-loopback mengharuskan TLS.</w:t>
            </w:r>
          </w:p>
        </w:tc>
        <w:tc>
          <w:tcPr>
            <w:tcW w:type="dxa" w:w="3330"/>
          </w:tcPr>
          <w:p>
            <w:pPr>
              <w:spacing w:after="0"/>
              <w:rPr>
                <w:lang w:val="id-ID"/>
              </w:rPr>
            </w:pPr>
            <w:r>
              <w:rPr>
                <w:rFonts w:ascii="Calibri" w:hAnsi="Calibri" w:eastAsia="Calibri"/>
                <w:b w:val="0"/>
                <w:sz w:val="16"/>
              </w:rPr>
              <w:t>Pilih TLS end-to-end atau exception terkontrol; siapkan tiket MAC/FQDN/port/VLAN/NAC.</w:t>
            </w:r>
          </w:p>
        </w:tc>
      </w:tr>
      <w:tr>
        <w:trPr>
          <w:cantSplit w:val="true"/>
        </w:trPr>
        <w:tc>
          <w:tcPr>
            <w:tcW w:type="dxa" w:w="1500"/>
          </w:tcPr>
          <w:p>
            <w:pPr>
              <w:spacing w:after="0"/>
              <w:rPr>
                <w:lang w:val="id-ID"/>
              </w:rPr>
            </w:pPr>
            <w:r>
              <w:rPr>
                <w:rFonts w:ascii="Calibri" w:hAnsi="Calibri" w:eastAsia="Calibri"/>
                <w:b w:val="0"/>
                <w:sz w:val="16"/>
              </w:rPr>
              <w:t>Server/dashboard</w:t>
            </w:r>
          </w:p>
        </w:tc>
        <w:tc>
          <w:tcPr>
            <w:tcW w:type="dxa" w:w="1200"/>
            <w:shd w:fill="FFF4CE"/>
          </w:tcPr>
          <w:p>
            <w:pPr>
              <w:spacing w:after="0"/>
              <w:rPr>
                <w:lang w:val="id-ID"/>
              </w:rPr>
            </w:pPr>
            <w:r>
              <w:rPr>
                <w:rFonts w:ascii="Calibri" w:hAnsi="Calibri" w:eastAsia="Calibri"/>
                <w:b w:val="0"/>
                <w:sz w:val="16"/>
              </w:rPr>
              <w:t>AMBER</w:t>
            </w:r>
          </w:p>
        </w:tc>
        <w:tc>
          <w:tcPr>
            <w:tcW w:type="dxa" w:w="3330"/>
          </w:tcPr>
          <w:p>
            <w:pPr>
              <w:spacing w:after="0"/>
              <w:rPr>
                <w:lang w:val="id-ID"/>
              </w:rPr>
            </w:pPr>
            <w:r>
              <w:rPr>
                <w:rFonts w:ascii="Calibri" w:hAnsi="Calibri" w:eastAsia="Calibri"/>
                <w:b w:val="0"/>
                <w:sz w:val="16"/>
              </w:rPr>
              <w:t>Node-RED bridge dan dataset recorder ada; flow utama drift dari generator; production OS/dependencies/backup/HA belum dibakukan.</w:t>
            </w:r>
          </w:p>
        </w:tc>
        <w:tc>
          <w:tcPr>
            <w:tcW w:type="dxa" w:w="3330"/>
          </w:tcPr>
          <w:p>
            <w:pPr>
              <w:spacing w:after="0"/>
              <w:rPr>
                <w:lang w:val="id-ID"/>
              </w:rPr>
            </w:pPr>
            <w:r>
              <w:rPr>
                <w:rFonts w:ascii="Calibri" w:hAnsi="Calibri" w:eastAsia="Calibri"/>
                <w:b w:val="0"/>
                <w:sz w:val="16"/>
              </w:rPr>
              <w:t>Rekonsiliasi snapshot, freeze manifest, lakukan deployment qualification dan backup/restore.</w:t>
            </w:r>
          </w:p>
        </w:tc>
      </w:tr>
      <w:tr>
        <w:trPr>
          <w:cantSplit w:val="true"/>
        </w:trPr>
        <w:tc>
          <w:tcPr>
            <w:tcW w:type="dxa" w:w="1500"/>
          </w:tcPr>
          <w:p>
            <w:pPr>
              <w:spacing w:after="0"/>
              <w:rPr>
                <w:lang w:val="id-ID"/>
              </w:rPr>
            </w:pPr>
            <w:r>
              <w:rPr>
                <w:rFonts w:ascii="Calibri" w:hAnsi="Calibri" w:eastAsia="Calibri"/>
                <w:b w:val="0"/>
                <w:sz w:val="16"/>
              </w:rPr>
              <w:t>Mounting/site</w:t>
            </w:r>
          </w:p>
        </w:tc>
        <w:tc>
          <w:tcPr>
            <w:tcW w:type="dxa" w:w="1200"/>
            <w:shd w:fill="FFF4CE"/>
          </w:tcPr>
          <w:p>
            <w:pPr>
              <w:spacing w:after="0"/>
              <w:rPr>
                <w:lang w:val="id-ID"/>
              </w:rPr>
            </w:pPr>
            <w:r>
              <w:rPr>
                <w:rFonts w:ascii="Calibri" w:hAnsi="Calibri" w:eastAsia="Calibri"/>
                <w:b w:val="0"/>
                <w:sz w:val="16"/>
              </w:rPr>
              <w:t>AMBER</w:t>
            </w:r>
          </w:p>
        </w:tc>
        <w:tc>
          <w:tcPr>
            <w:tcW w:type="dxa" w:w="3330"/>
          </w:tcPr>
          <w:p>
            <w:pPr>
              <w:spacing w:after="0"/>
              <w:rPr>
                <w:lang w:val="id-ID"/>
              </w:rPr>
            </w:pPr>
            <w:r>
              <w:rPr>
                <w:rFonts w:ascii="Calibri" w:hAnsi="Calibri" w:eastAsia="Calibri"/>
                <w:b w:val="0"/>
                <w:sz w:val="16"/>
              </w:rPr>
              <w:t>Konsep lokasi dan bentuk enclosure tersedia, tetapi dimensi tiang, load, height, antenna, gland, grounding, dan izin kerja belum ada.</w:t>
            </w:r>
          </w:p>
        </w:tc>
        <w:tc>
          <w:tcPr>
            <w:tcW w:type="dxa" w:w="3330"/>
          </w:tcPr>
          <w:p>
            <w:pPr>
              <w:spacing w:after="0"/>
              <w:rPr>
                <w:lang w:val="id-ID"/>
              </w:rPr>
            </w:pPr>
            <w:r>
              <w:rPr>
                <w:rFonts w:ascii="Calibri" w:hAnsi="Calibri" w:eastAsia="Calibri"/>
                <w:b w:val="0"/>
                <w:sz w:val="16"/>
              </w:rPr>
              <w:t>Survey dimensional/RF/HSE; keluarkan mechanical interface drawing dan BoQ.</w:t>
            </w:r>
          </w:p>
        </w:tc>
      </w:tr>
      <w:tr>
        <w:trPr>
          <w:cantSplit w:val="true"/>
        </w:trPr>
        <w:tc>
          <w:tcPr>
            <w:tcW w:type="dxa" w:w="1500"/>
          </w:tcPr>
          <w:p>
            <w:pPr>
              <w:spacing w:after="0"/>
              <w:rPr>
                <w:lang w:val="id-ID"/>
              </w:rPr>
            </w:pPr>
            <w:r>
              <w:rPr>
                <w:rFonts w:ascii="Calibri" w:hAnsi="Calibri" w:eastAsia="Calibri"/>
                <w:b w:val="0"/>
                <w:sz w:val="16"/>
              </w:rPr>
              <w:t>Jadwal/scope</w:t>
            </w:r>
          </w:p>
        </w:tc>
        <w:tc>
          <w:tcPr>
            <w:tcW w:type="dxa" w:w="1200"/>
            <w:shd w:fill="FFF4CE"/>
          </w:tcPr>
          <w:p>
            <w:pPr>
              <w:spacing w:after="0"/>
              <w:rPr>
                <w:lang w:val="id-ID"/>
              </w:rPr>
            </w:pPr>
            <w:r>
              <w:rPr>
                <w:rFonts w:ascii="Calibri" w:hAnsi="Calibri" w:eastAsia="Calibri"/>
                <w:b w:val="0"/>
                <w:sz w:val="16"/>
              </w:rPr>
              <w:t>AMBER</w:t>
            </w:r>
          </w:p>
        </w:tc>
        <w:tc>
          <w:tcPr>
            <w:tcW w:type="dxa" w:w="3330"/>
          </w:tcPr>
          <w:p>
            <w:pPr>
              <w:spacing w:after="0"/>
              <w:rPr>
                <w:lang w:val="id-ID"/>
              </w:rPr>
            </w:pPr>
            <w:r>
              <w:rPr>
                <w:rFonts w:ascii="Calibri" w:hAnsi="Calibri" w:eastAsia="Calibri"/>
                <w:b w:val="0"/>
                <w:sz w:val="16"/>
              </w:rPr>
              <w:t>Audio mendukung support list akhir Sep 2026, target 3 GLD1 + CH Sep 2027, dan lead kontrak sekitar 3–4 bulan; owner/scope belum terkunci.</w:t>
            </w:r>
          </w:p>
        </w:tc>
        <w:tc>
          <w:tcPr>
            <w:tcW w:type="dxa" w:w="3330"/>
          </w:tcPr>
          <w:p>
            <w:pPr>
              <w:spacing w:after="0"/>
              <w:rPr>
                <w:lang w:val="id-ID"/>
              </w:rPr>
            </w:pPr>
            <w:r>
              <w:rPr>
                <w:rFonts w:ascii="Calibri" w:hAnsi="Calibri" w:eastAsia="Calibri"/>
                <w:b w:val="0"/>
                <w:sz w:val="16"/>
              </w:rPr>
              <w:t>Konfirmasi memo, scope, signatory, milestone, dan dependency dalam satu action register.</w:t>
            </w:r>
          </w:p>
        </w:tc>
      </w:tr>
    </w:tbl>
    <w:p>
      <w:pPr>
        <w:spacing w:after="0"/>
      </w:pPr>
    </w:p>
    <w:p>
      <w:pPr>
        <w:pStyle w:val="Heading2"/>
        <w:rPr>
          <w:lang w:val="id-ID"/>
        </w:rPr>
      </w:pPr>
      <w:r>
        <w:t>1.2 Enam keputusan internal untuk 20 Agustus 2026</w:t>
      </w:r>
    </w:p>
    <w:p>
      <w:pPr>
        <w:pStyle w:val="ListNumber"/>
        <w:numPr>
          <w:ilvl w:val="0"/>
          <w:numId w:val="11"/>
        </w:numPr>
        <w:rPr>
          <w:lang w:val="id-ID"/>
        </w:rPr>
      </w:pPr>
      <w:r>
        <w:rPr>
          <w:rFonts w:ascii="Calibri" w:hAnsi="Calibri" w:eastAsia="Calibri"/>
        </w:rPr>
        <w:t>Tetapkan 24 VDC/2 A per GLD1 sebagai kapasitas PSU lapangan provisional, bukan konsumsi aktual. 24 VDC/1 A hanya boleh dipilih setelah FAT membuktikan margin dan beban alarm/fan sudah diketahui.</w:t>
      </w:r>
    </w:p>
    <w:p>
      <w:pPr>
        <w:pStyle w:val="ListNumber"/>
        <w:numPr>
          <w:ilvl w:val="0"/>
          <w:numId w:val="11"/>
        </w:numPr>
        <w:rPr>
          <w:lang w:val="id-ID"/>
        </w:rPr>
      </w:pPr>
      <w:r>
        <w:rPr>
          <w:rFonts w:ascii="Calibri" w:hAnsi="Calibri" w:eastAsia="Calibri"/>
        </w:rPr>
        <w:t>Tetapkan hold keselamatan: tidak ada prototype GLD1/CH di area classified sampai area classification, protection concept, certificate scope, marking, dan initial inspection lengkap. Pilot sementara hanya di titik non-hazardous yang dinyatakan Pertamina secara tertulis.</w:t>
      </w:r>
    </w:p>
    <w:p>
      <w:pPr>
        <w:pStyle w:val="ListNumber"/>
        <w:numPr>
          <w:ilvl w:val="0"/>
          <w:numId w:val="11"/>
        </w:numPr>
        <w:rPr>
          <w:lang w:val="id-ID"/>
        </w:rPr>
      </w:pPr>
      <w:r>
        <w:rPr>
          <w:rFonts w:ascii="Calibri" w:hAnsi="Calibri" w:eastAsia="Calibri"/>
        </w:rPr>
        <w:t>Setujui arsitektur jaringan routed VLAN: Gateway Wi-Fi STA memulai koneksi outbound menuju endpoint broker stabil. ‘Satu network’ tidak berarti wajib satu SSID/subnet.</w:t>
      </w:r>
    </w:p>
    <w:p>
      <w:pPr>
        <w:pStyle w:val="ListNumber"/>
        <w:numPr>
          <w:ilvl w:val="0"/>
          <w:numId w:val="11"/>
        </w:numPr>
        <w:rPr>
          <w:lang w:val="id-ID"/>
        </w:rPr>
      </w:pPr>
      <w:r>
        <w:rPr>
          <w:rFonts w:ascii="Calibri" w:hAnsi="Calibri" w:eastAsia="Calibri"/>
        </w:rPr>
        <w:t>Pilih arah keamanan: prioritas TLS end-to-end pada Gateway; bila belum tersedia, hanya gunakan exception OT/VLAN terisolasi dengan persetujuan formal IT. MAC allowlist tidak boleh diposisikan sebagai autentikasi kuat.</w:t>
      </w:r>
    </w:p>
    <w:p>
      <w:pPr>
        <w:pStyle w:val="ListNumber"/>
        <w:numPr>
          <w:ilvl w:val="0"/>
          <w:numId w:val="11"/>
        </w:numPr>
        <w:rPr>
          <w:lang w:val="id-ID"/>
        </w:rPr>
      </w:pPr>
      <w:r>
        <w:rPr>
          <w:rFonts w:ascii="Calibri" w:hAnsi="Calibri" w:eastAsia="Calibri"/>
        </w:rPr>
        <w:t>Gunakan baseline server pilot sementara 4 vCPU, 8 GB RAM, 100 GB SSD, OS LTS/server yang disetujui IT; angka final menunggu load, retention, HA, RPO/RTO, dan kebijakan security.</w:t>
      </w:r>
    </w:p>
    <w:p>
      <w:pPr>
        <w:pStyle w:val="ListNumber"/>
        <w:numPr>
          <w:ilvl w:val="0"/>
          <w:numId w:val="11"/>
        </w:numPr>
        <w:rPr>
          <w:lang w:val="id-ID"/>
        </w:rPr>
      </w:pPr>
      <w:r>
        <w:rPr>
          <w:rFonts w:ascii="Calibri" w:hAnsi="Calibri" w:eastAsia="Calibri"/>
        </w:rPr>
        <w:t>Terbitkan satu RFI terkonsolidasi ke Pertamina dan vendor untuk area classification, network, mounting, power, battery/solar, antenna, server, contract scope, dan target tanggal.</w:t>
      </w:r>
    </w:p>
    <w:p>
      <w:pPr>
        <w:pStyle w:val="Heading2"/>
        <w:rPr>
          <w:lang w:val="id-ID"/>
        </w:rPr>
      </w:pPr>
      <w:r>
        <w:t>1.3 Blocker yang harus masuk action register</w:t>
      </w:r>
    </w:p>
    <w:tbl>
      <w:tblPr>
        <w:tblStyle w:val="TableGrid"/>
        <w:tblW w:type="dxa" w:w="9360"/>
        <w:jc w:val="center"/>
        <w:tblLayout w:type="fixed"/>
        <w:tblLook w:firstColumn="1" w:firstRow="1" w:lastColumn="0" w:lastRow="0" w:noHBand="0" w:noVBand="1" w:val="04A0"/>
        <w:tblInd w:w="120" w:type="dxa"/>
      </w:tblPr>
      <w:tblGrid>
        <w:gridCol w:w="750"/>
        <w:gridCol w:w="2700"/>
        <w:gridCol w:w="1650"/>
        <w:gridCol w:w="1710"/>
        <w:gridCol w:w="2550"/>
      </w:tblGrid>
      <w:tr>
        <w:trPr>
          <w:tblHeader w:val="true"/>
          <w:cantSplit w:val="true"/>
        </w:trPr>
        <w:tc>
          <w:tcPr>
            <w:tcW w:type="dxa" w:w="7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Prioritas</w:t>
            </w:r>
          </w:p>
        </w:tc>
        <w:tc>
          <w:tcPr>
            <w:tcW w:type="dxa" w:w="27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Blocker</w:t>
            </w:r>
          </w:p>
        </w:tc>
        <w:tc>
          <w:tcPr>
            <w:tcW w:type="dxa" w:w="16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Owner utama</w:t>
            </w:r>
          </w:p>
        </w:tc>
        <w:tc>
          <w:tcPr>
            <w:tcW w:type="dxa" w:w="171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Target rekomendasi</w:t>
            </w:r>
          </w:p>
        </w:tc>
        <w:tc>
          <w:tcPr>
            <w:tcW w:type="dxa" w:w="25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Bukti penutupan</w:t>
            </w:r>
          </w:p>
        </w:tc>
      </w:tr>
      <w:tr>
        <w:trPr>
          <w:cantSplit w:val="true"/>
        </w:trPr>
        <w:tc>
          <w:tcPr>
            <w:tcW w:type="dxa" w:w="750"/>
          </w:tcPr>
          <w:p>
            <w:pPr>
              <w:spacing w:after="0"/>
              <w:rPr>
                <w:lang w:val="id-ID"/>
              </w:rPr>
            </w:pPr>
            <w:r>
              <w:rPr>
                <w:rFonts w:ascii="Calibri" w:hAnsi="Calibri" w:eastAsia="Calibri"/>
                <w:b w:val="0"/>
                <w:sz w:val="16"/>
              </w:rPr>
              <w:t>P0</w:t>
            </w:r>
          </w:p>
        </w:tc>
        <w:tc>
          <w:tcPr>
            <w:tcW w:type="dxa" w:w="2700"/>
          </w:tcPr>
          <w:p>
            <w:pPr>
              <w:spacing w:after="0"/>
              <w:rPr>
                <w:lang w:val="id-ID"/>
              </w:rPr>
            </w:pPr>
            <w:r>
              <w:rPr>
                <w:rFonts w:ascii="Calibri" w:hAnsi="Calibri" w:eastAsia="Calibri"/>
                <w:b w:val="0"/>
                <w:sz w:val="16"/>
              </w:rPr>
              <w:t>Tidak ada sertifikat hazardous-area untuk assembly lengkap</w:t>
            </w:r>
          </w:p>
        </w:tc>
        <w:tc>
          <w:tcPr>
            <w:tcW w:type="dxa" w:w="1650"/>
          </w:tcPr>
          <w:p>
            <w:pPr>
              <w:spacing w:after="0"/>
              <w:rPr>
                <w:lang w:val="id-ID"/>
              </w:rPr>
            </w:pPr>
            <w:r>
              <w:rPr>
                <w:rFonts w:ascii="Calibri" w:hAnsi="Calibri" w:eastAsia="Calibri"/>
                <w:b w:val="0"/>
                <w:sz w:val="16"/>
              </w:rPr>
              <w:t>LGU + ExCB + HSE Pertamina</w:t>
            </w:r>
          </w:p>
        </w:tc>
        <w:tc>
          <w:tcPr>
            <w:tcW w:type="dxa" w:w="1710"/>
          </w:tcPr>
          <w:p>
            <w:pPr>
              <w:spacing w:after="0"/>
              <w:rPr>
                <w:lang w:val="id-ID"/>
              </w:rPr>
            </w:pPr>
            <w:r>
              <w:rPr>
                <w:rFonts w:ascii="Calibri" w:hAnsi="Calibri" w:eastAsia="Calibri"/>
                <w:b w:val="0"/>
                <w:sz w:val="16"/>
              </w:rPr>
              <w:t>Sebelum site trial classified</w:t>
            </w:r>
          </w:p>
        </w:tc>
        <w:tc>
          <w:tcPr>
            <w:tcW w:type="dxa" w:w="2550"/>
          </w:tcPr>
          <w:p>
            <w:pPr>
              <w:spacing w:after="0"/>
              <w:rPr>
                <w:lang w:val="id-ID"/>
              </w:rPr>
            </w:pPr>
            <w:r>
              <w:rPr>
                <w:rFonts w:ascii="Calibri" w:hAnsi="Calibri" w:eastAsia="Calibri"/>
                <w:b w:val="0"/>
                <w:sz w:val="16"/>
              </w:rPr>
              <w:t>CoC/DoC/QAR/schedule/marking + area classification + inspection record</w:t>
            </w:r>
          </w:p>
        </w:tc>
      </w:tr>
      <w:tr>
        <w:trPr>
          <w:cantSplit w:val="true"/>
        </w:trPr>
        <w:tc>
          <w:tcPr>
            <w:tcW w:type="dxa" w:w="750"/>
          </w:tcPr>
          <w:p>
            <w:pPr>
              <w:spacing w:after="0"/>
              <w:rPr>
                <w:lang w:val="id-ID"/>
              </w:rPr>
            </w:pPr>
            <w:r>
              <w:rPr>
                <w:rFonts w:ascii="Calibri" w:hAnsi="Calibri" w:eastAsia="Calibri"/>
                <w:b w:val="0"/>
                <w:sz w:val="16"/>
              </w:rPr>
              <w:t>P0</w:t>
            </w:r>
          </w:p>
        </w:tc>
        <w:tc>
          <w:tcPr>
            <w:tcW w:type="dxa" w:w="2700"/>
          </w:tcPr>
          <w:p>
            <w:pPr>
              <w:spacing w:after="0"/>
              <w:rPr>
                <w:lang w:val="id-ID"/>
              </w:rPr>
            </w:pPr>
            <w:r>
              <w:rPr>
                <w:rFonts w:ascii="Calibri" w:hAnsi="Calibri" w:eastAsia="Calibri"/>
                <w:b w:val="0"/>
                <w:sz w:val="16"/>
              </w:rPr>
              <w:t>F1 MINISMDC260F/16 GLD1 berada pada jalur 24 V</w:t>
            </w:r>
          </w:p>
        </w:tc>
        <w:tc>
          <w:tcPr>
            <w:tcW w:type="dxa" w:w="1650"/>
          </w:tcPr>
          <w:p>
            <w:pPr>
              <w:spacing w:after="0"/>
              <w:rPr>
                <w:lang w:val="id-ID"/>
              </w:rPr>
            </w:pPr>
            <w:r>
              <w:rPr>
                <w:rFonts w:ascii="Calibri" w:hAnsi="Calibri" w:eastAsia="Calibri"/>
                <w:b w:val="0"/>
                <w:sz w:val="16"/>
              </w:rPr>
              <w:t>GLD1 hardware</w:t>
            </w:r>
          </w:p>
        </w:tc>
        <w:tc>
          <w:tcPr>
            <w:tcW w:type="dxa" w:w="1710"/>
          </w:tcPr>
          <w:p>
            <w:pPr>
              <w:spacing w:after="0"/>
              <w:rPr>
                <w:lang w:val="id-ID"/>
              </w:rPr>
            </w:pPr>
            <w:r>
              <w:rPr>
                <w:rFonts w:ascii="Calibri" w:hAnsi="Calibri" w:eastAsia="Calibri"/>
                <w:b w:val="0"/>
                <w:sz w:val="16"/>
              </w:rPr>
              <w:t>Sebelum board field</w:t>
            </w:r>
          </w:p>
        </w:tc>
        <w:tc>
          <w:tcPr>
            <w:tcW w:type="dxa" w:w="2550"/>
          </w:tcPr>
          <w:p>
            <w:pPr>
              <w:spacing w:after="0"/>
              <w:rPr>
                <w:lang w:val="id-ID"/>
              </w:rPr>
            </w:pPr>
            <w:r>
              <w:rPr>
                <w:rFonts w:ascii="Calibri" w:hAnsi="Calibri" w:eastAsia="Calibri"/>
                <w:b w:val="0"/>
                <w:sz w:val="16"/>
              </w:rPr>
              <w:t>Part pengganti/rating + review transient + ERC/DRC + FAT</w:t>
            </w:r>
          </w:p>
        </w:tc>
      </w:tr>
      <w:tr>
        <w:trPr>
          <w:cantSplit w:val="true"/>
        </w:trPr>
        <w:tc>
          <w:tcPr>
            <w:tcW w:type="dxa" w:w="750"/>
          </w:tcPr>
          <w:p>
            <w:pPr>
              <w:spacing w:after="0"/>
              <w:rPr>
                <w:lang w:val="id-ID"/>
              </w:rPr>
            </w:pPr>
            <w:r>
              <w:rPr>
                <w:rFonts w:ascii="Calibri" w:hAnsi="Calibri" w:eastAsia="Calibri"/>
                <w:b w:val="0"/>
                <w:sz w:val="16"/>
              </w:rPr>
              <w:t>P0</w:t>
            </w:r>
          </w:p>
        </w:tc>
        <w:tc>
          <w:tcPr>
            <w:tcW w:type="dxa" w:w="2700"/>
          </w:tcPr>
          <w:p>
            <w:pPr>
              <w:spacing w:after="0"/>
              <w:rPr>
                <w:lang w:val="id-ID"/>
              </w:rPr>
            </w:pPr>
            <w:r>
              <w:rPr>
                <w:rFonts w:ascii="Calibri" w:hAnsi="Calibri" w:eastAsia="Calibri"/>
                <w:b w:val="0"/>
                <w:sz w:val="16"/>
              </w:rPr>
              <w:t>MQTT Gateway plaintext vs kebijakan TLS server</w:t>
            </w:r>
          </w:p>
        </w:tc>
        <w:tc>
          <w:tcPr>
            <w:tcW w:type="dxa" w:w="1650"/>
          </w:tcPr>
          <w:p>
            <w:pPr>
              <w:spacing w:after="0"/>
              <w:rPr>
                <w:lang w:val="id-ID"/>
              </w:rPr>
            </w:pPr>
            <w:r>
              <w:rPr>
                <w:rFonts w:ascii="Calibri" w:hAnsi="Calibri" w:eastAsia="Calibri"/>
                <w:b w:val="0"/>
                <w:sz w:val="16"/>
              </w:rPr>
              <w:t>GW firmware + Pertamina IT</w:t>
            </w:r>
          </w:p>
        </w:tc>
        <w:tc>
          <w:tcPr>
            <w:tcW w:type="dxa" w:w="1710"/>
          </w:tcPr>
          <w:p>
            <w:pPr>
              <w:spacing w:after="0"/>
              <w:rPr>
                <w:lang w:val="id-ID"/>
              </w:rPr>
            </w:pPr>
            <w:r>
              <w:rPr>
                <w:rFonts w:ascii="Calibri" w:hAnsi="Calibri" w:eastAsia="Calibri"/>
                <w:b w:val="0"/>
                <w:sz w:val="16"/>
              </w:rPr>
              <w:t>Sebelum intranet approval</w:t>
            </w:r>
          </w:p>
        </w:tc>
        <w:tc>
          <w:tcPr>
            <w:tcW w:type="dxa" w:w="2550"/>
          </w:tcPr>
          <w:p>
            <w:pPr>
              <w:spacing w:after="0"/>
              <w:rPr>
                <w:lang w:val="id-ID"/>
              </w:rPr>
            </w:pPr>
            <w:r>
              <w:rPr>
                <w:rFonts w:ascii="Calibri" w:hAnsi="Calibri" w:eastAsia="Calibri"/>
                <w:b w:val="0"/>
                <w:sz w:val="16"/>
              </w:rPr>
              <w:t>TLS/CA/time/credential/ACL test atau exception tertulis</w:t>
            </w:r>
          </w:p>
        </w:tc>
      </w:tr>
      <w:tr>
        <w:trPr>
          <w:cantSplit w:val="true"/>
        </w:trPr>
        <w:tc>
          <w:tcPr>
            <w:tcW w:type="dxa" w:w="750"/>
          </w:tcPr>
          <w:p>
            <w:pPr>
              <w:spacing w:after="0"/>
              <w:rPr>
                <w:lang w:val="id-ID"/>
              </w:rPr>
            </w:pPr>
            <w:r>
              <w:rPr>
                <w:rFonts w:ascii="Calibri" w:hAnsi="Calibri" w:eastAsia="Calibri"/>
                <w:b w:val="0"/>
                <w:sz w:val="16"/>
              </w:rPr>
              <w:t>P1</w:t>
            </w:r>
          </w:p>
        </w:tc>
        <w:tc>
          <w:tcPr>
            <w:tcW w:type="dxa" w:w="2700"/>
          </w:tcPr>
          <w:p>
            <w:pPr>
              <w:spacing w:after="0"/>
              <w:rPr>
                <w:lang w:val="id-ID"/>
              </w:rPr>
            </w:pPr>
            <w:r>
              <w:rPr>
                <w:rFonts w:ascii="Calibri" w:hAnsi="Calibri" w:eastAsia="Calibri"/>
                <w:b w:val="0"/>
                <w:sz w:val="16"/>
              </w:rPr>
              <w:t>Server flow utama drift</w:t>
            </w:r>
          </w:p>
        </w:tc>
        <w:tc>
          <w:tcPr>
            <w:tcW w:type="dxa" w:w="1650"/>
          </w:tcPr>
          <w:p>
            <w:pPr>
              <w:spacing w:after="0"/>
              <w:rPr>
                <w:lang w:val="id-ID"/>
              </w:rPr>
            </w:pPr>
            <w:r>
              <w:rPr>
                <w:rFonts w:ascii="Calibri" w:hAnsi="Calibri" w:eastAsia="Calibri"/>
                <w:b w:val="0"/>
                <w:sz w:val="16"/>
              </w:rPr>
              <w:t>Server/Node-RED</w:t>
            </w:r>
          </w:p>
        </w:tc>
        <w:tc>
          <w:tcPr>
            <w:tcW w:type="dxa" w:w="1710"/>
          </w:tcPr>
          <w:p>
            <w:pPr>
              <w:spacing w:after="0"/>
              <w:rPr>
                <w:lang w:val="id-ID"/>
              </w:rPr>
            </w:pPr>
            <w:r>
              <w:rPr>
                <w:rFonts w:ascii="Calibri" w:hAnsi="Calibri" w:eastAsia="Calibri"/>
                <w:b w:val="0"/>
                <w:sz w:val="16"/>
              </w:rPr>
              <w:t>Sebelum deployment package</w:t>
            </w:r>
          </w:p>
        </w:tc>
        <w:tc>
          <w:tcPr>
            <w:tcW w:type="dxa" w:w="2550"/>
          </w:tcPr>
          <w:p>
            <w:pPr>
              <w:spacing w:after="0"/>
              <w:rPr>
                <w:lang w:val="id-ID"/>
              </w:rPr>
            </w:pPr>
            <w:r>
              <w:rPr>
                <w:rFonts w:ascii="Calibri" w:hAnsi="Calibri" w:eastAsia="Calibri"/>
                <w:b w:val="0"/>
                <w:sz w:val="16"/>
              </w:rPr>
              <w:t>Snapshot = generator; revision/hash; regression test</w:t>
            </w:r>
          </w:p>
        </w:tc>
      </w:tr>
      <w:tr>
        <w:trPr>
          <w:cantSplit w:val="true"/>
        </w:trPr>
        <w:tc>
          <w:tcPr>
            <w:tcW w:type="dxa" w:w="750"/>
          </w:tcPr>
          <w:p>
            <w:pPr>
              <w:spacing w:after="0"/>
              <w:rPr>
                <w:lang w:val="id-ID"/>
              </w:rPr>
            </w:pPr>
            <w:r>
              <w:rPr>
                <w:rFonts w:ascii="Calibri" w:hAnsi="Calibri" w:eastAsia="Calibri"/>
                <w:b w:val="0"/>
                <w:sz w:val="16"/>
              </w:rPr>
              <w:t>P1</w:t>
            </w:r>
          </w:p>
        </w:tc>
        <w:tc>
          <w:tcPr>
            <w:tcW w:type="dxa" w:w="2700"/>
          </w:tcPr>
          <w:p>
            <w:pPr>
              <w:spacing w:after="0"/>
              <w:rPr>
                <w:lang w:val="id-ID"/>
              </w:rPr>
            </w:pPr>
            <w:r>
              <w:rPr>
                <w:rFonts w:ascii="Calibri" w:hAnsi="Calibri" w:eastAsia="Calibri"/>
                <w:b w:val="0"/>
                <w:sz w:val="16"/>
              </w:rPr>
              <w:t>CH panel/sel/autonomy dan enclosure TBD</w:t>
            </w:r>
          </w:p>
        </w:tc>
        <w:tc>
          <w:tcPr>
            <w:tcW w:type="dxa" w:w="1650"/>
          </w:tcPr>
          <w:p>
            <w:pPr>
              <w:spacing w:after="0"/>
              <w:rPr>
                <w:lang w:val="id-ID"/>
              </w:rPr>
            </w:pPr>
            <w:r>
              <w:rPr>
                <w:rFonts w:ascii="Calibri" w:hAnsi="Calibri" w:eastAsia="Calibri"/>
                <w:b w:val="0"/>
                <w:sz w:val="16"/>
              </w:rPr>
              <w:t>CH hardware/mechanical</w:t>
            </w:r>
          </w:p>
        </w:tc>
        <w:tc>
          <w:tcPr>
            <w:tcW w:type="dxa" w:w="1710"/>
          </w:tcPr>
          <w:p>
            <w:pPr>
              <w:spacing w:after="0"/>
              <w:rPr>
                <w:lang w:val="id-ID"/>
              </w:rPr>
            </w:pPr>
            <w:r>
              <w:rPr>
                <w:rFonts w:ascii="Calibri" w:hAnsi="Calibri" w:eastAsia="Calibri"/>
                <w:b w:val="0"/>
                <w:sz w:val="16"/>
              </w:rPr>
              <w:t>Sebelum mechanical freeze</w:t>
            </w:r>
          </w:p>
        </w:tc>
        <w:tc>
          <w:tcPr>
            <w:tcW w:type="dxa" w:w="2550"/>
          </w:tcPr>
          <w:p>
            <w:pPr>
              <w:spacing w:after="0"/>
              <w:rPr>
                <w:lang w:val="id-ID"/>
              </w:rPr>
            </w:pPr>
            <w:r>
              <w:rPr>
                <w:rFonts w:ascii="Calibri" w:hAnsi="Calibri" w:eastAsia="Calibri"/>
                <w:b w:val="0"/>
                <w:sz w:val="16"/>
              </w:rPr>
              <w:t>Final BOM + 24h energy profile + thermal/autonomy/recharge test</w:t>
            </w:r>
          </w:p>
        </w:tc>
      </w:tr>
      <w:tr>
        <w:trPr>
          <w:cantSplit w:val="true"/>
        </w:trPr>
        <w:tc>
          <w:tcPr>
            <w:tcW w:type="dxa" w:w="750"/>
          </w:tcPr>
          <w:p>
            <w:pPr>
              <w:spacing w:after="0"/>
              <w:rPr>
                <w:lang w:val="id-ID"/>
              </w:rPr>
            </w:pPr>
            <w:r>
              <w:rPr>
                <w:rFonts w:ascii="Calibri" w:hAnsi="Calibri" w:eastAsia="Calibri"/>
                <w:b w:val="0"/>
                <w:sz w:val="16"/>
              </w:rPr>
              <w:t>P1</w:t>
            </w:r>
          </w:p>
        </w:tc>
        <w:tc>
          <w:tcPr>
            <w:tcW w:type="dxa" w:w="2700"/>
          </w:tcPr>
          <w:p>
            <w:pPr>
              <w:spacing w:after="0"/>
              <w:rPr>
                <w:lang w:val="id-ID"/>
              </w:rPr>
            </w:pPr>
            <w:r>
              <w:rPr>
                <w:rFonts w:ascii="Calibri" w:hAnsi="Calibri" w:eastAsia="Calibri"/>
                <w:b w:val="0"/>
                <w:sz w:val="16"/>
              </w:rPr>
              <w:t>Lokasi, pole, cable, antenna, grounding belum disurvei lengkap</w:t>
            </w:r>
          </w:p>
        </w:tc>
        <w:tc>
          <w:tcPr>
            <w:tcW w:type="dxa" w:w="1650"/>
          </w:tcPr>
          <w:p>
            <w:pPr>
              <w:spacing w:after="0"/>
              <w:rPr>
                <w:lang w:val="id-ID"/>
              </w:rPr>
            </w:pPr>
            <w:r>
              <w:rPr>
                <w:rFonts w:ascii="Calibri" w:hAnsi="Calibri" w:eastAsia="Calibri"/>
                <w:b w:val="0"/>
                <w:sz w:val="16"/>
              </w:rPr>
              <w:t>Pertamina site + LGU</w:t>
            </w:r>
          </w:p>
        </w:tc>
        <w:tc>
          <w:tcPr>
            <w:tcW w:type="dxa" w:w="1710"/>
          </w:tcPr>
          <w:p>
            <w:pPr>
              <w:spacing w:after="0"/>
              <w:rPr>
                <w:lang w:val="id-ID"/>
              </w:rPr>
            </w:pPr>
            <w:r>
              <w:rPr>
                <w:rFonts w:ascii="Calibri" w:hAnsi="Calibri" w:eastAsia="Calibri"/>
                <w:b w:val="0"/>
                <w:sz w:val="16"/>
              </w:rPr>
              <w:t>Sebelum 30 Sep 2026 submission</w:t>
            </w:r>
          </w:p>
        </w:tc>
        <w:tc>
          <w:tcPr>
            <w:tcW w:type="dxa" w:w="2550"/>
          </w:tcPr>
          <w:p>
            <w:pPr>
              <w:spacing w:after="0"/>
              <w:rPr>
                <w:lang w:val="id-ID"/>
              </w:rPr>
            </w:pPr>
            <w:r>
              <w:rPr>
                <w:rFonts w:ascii="Calibri" w:hAnsi="Calibri" w:eastAsia="Calibri"/>
                <w:b w:val="0"/>
                <w:sz w:val="16"/>
              </w:rPr>
              <w:t>Survey pack, foto berdimensi, route, load, link data, sign-off</w:t>
            </w:r>
          </w:p>
        </w:tc>
      </w:tr>
    </w:tbl>
    <w:p>
      <w:pPr>
        <w:spacing w:after="0"/>
      </w:pPr>
    </w:p>
    <w:p>
      <w:pPr>
        <w:pStyle w:val="Heading2"/>
        <w:rPr>
          <w:lang w:val="id-ID"/>
        </w:rPr>
      </w:pPr>
      <w:r>
        <w:t>1.4 Yang dapat dan belum dapat dikatakan dengan jujur</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val="true"/>
        </w:trPr>
        <w:tc>
          <w:tcPr>
            <w:tcW w:type="dxa" w:w="468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Dapat dikatakan sekarang</w:t>
            </w:r>
          </w:p>
        </w:tc>
        <w:tc>
          <w:tcPr>
            <w:tcW w:type="dxa" w:w="468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Belum dapat dikatakan</w:t>
            </w:r>
          </w:p>
        </w:tc>
      </w:tr>
      <w:tr>
        <w:trPr>
          <w:cantSplit w:val="true"/>
        </w:trPr>
        <w:tc>
          <w:tcPr>
            <w:tcW w:type="dxa" w:w="4680"/>
          </w:tcPr>
          <w:p>
            <w:pPr>
              <w:spacing w:after="0"/>
              <w:rPr>
                <w:lang w:val="id-ID"/>
              </w:rPr>
            </w:pPr>
            <w:r>
              <w:rPr>
                <w:rFonts w:ascii="Calibri" w:hAnsi="Calibri" w:eastAsia="Calibri"/>
                <w:b w:val="0"/>
                <w:sz w:val="18"/>
              </w:rPr>
              <w:t>Current source memuat jalur GLD1–CH–Gateway–server, konfigurasi radio, rangkaian power, dan flow Node-RED.</w:t>
            </w:r>
          </w:p>
        </w:tc>
        <w:tc>
          <w:tcPr>
            <w:tcW w:type="dxa" w:w="4680"/>
          </w:tcPr>
          <w:p>
            <w:pPr>
              <w:spacing w:after="0"/>
              <w:rPr>
                <w:lang w:val="id-ID"/>
              </w:rPr>
            </w:pPr>
            <w:r>
              <w:rPr>
                <w:rFonts w:ascii="Calibri" w:hAnsi="Calibri" w:eastAsia="Calibri"/>
                <w:b w:val="0"/>
                <w:sz w:val="18"/>
              </w:rPr>
              <w:t>Perangkat sudah lulus build, sudah memakai firmware versi current source, atau sudah bekerja live.</w:t>
            </w:r>
          </w:p>
        </w:tc>
      </w:tr>
      <w:tr>
        <w:trPr>
          <w:cantSplit w:val="true"/>
        </w:trPr>
        <w:tc>
          <w:tcPr>
            <w:tcW w:type="dxa" w:w="4680"/>
          </w:tcPr>
          <w:p>
            <w:pPr>
              <w:spacing w:after="0"/>
              <w:rPr>
                <w:lang w:val="id-ID"/>
              </w:rPr>
            </w:pPr>
            <w:r>
              <w:rPr>
                <w:rFonts w:ascii="Calibri" w:hAnsi="Calibri" w:eastAsia="Calibri"/>
                <w:b w:val="0"/>
                <w:sz w:val="18"/>
              </w:rPr>
              <w:t>24 VDC/2 A adalah pilihan PSU provisional konservatif; estimasi board-only GLD1 sekitar 0,4–0,8 A setelah margin desain.</w:t>
            </w:r>
          </w:p>
        </w:tc>
        <w:tc>
          <w:tcPr>
            <w:tcW w:type="dxa" w:w="4680"/>
          </w:tcPr>
          <w:p>
            <w:pPr>
              <w:spacing w:after="0"/>
              <w:rPr>
                <w:lang w:val="id-ID"/>
              </w:rPr>
            </w:pPr>
            <w:r>
              <w:rPr>
                <w:rFonts w:ascii="Calibri" w:hAnsi="Calibri" w:eastAsia="Calibri"/>
                <w:b w:val="0"/>
                <w:sz w:val="18"/>
              </w:rPr>
              <w:t>GLD1 mengonsumsi 2 A kontinu atau PSU 1 A pasti tidak cukup.</w:t>
            </w:r>
          </w:p>
        </w:tc>
      </w:tr>
      <w:tr>
        <w:trPr>
          <w:cantSplit w:val="true"/>
        </w:trPr>
        <w:tc>
          <w:tcPr>
            <w:tcW w:type="dxa" w:w="4680"/>
          </w:tcPr>
          <w:p>
            <w:pPr>
              <w:spacing w:after="0"/>
              <w:rPr>
                <w:lang w:val="id-ID"/>
              </w:rPr>
            </w:pPr>
            <w:r>
              <w:rPr>
                <w:rFonts w:ascii="Calibri" w:hAnsi="Calibri" w:eastAsia="Calibri"/>
                <w:b w:val="0"/>
                <w:sz w:val="18"/>
              </w:rPr>
              <w:t>CH memakai charger/power-path single-cell dengan input limit kira-kira 500 mA dan fast-charge sekitar 300 mA menurut resistor desain.</w:t>
            </w:r>
          </w:p>
        </w:tc>
        <w:tc>
          <w:tcPr>
            <w:tcW w:type="dxa" w:w="4680"/>
          </w:tcPr>
          <w:p>
            <w:pPr>
              <w:spacing w:after="0"/>
              <w:rPr>
                <w:lang w:val="id-ID"/>
              </w:rPr>
            </w:pPr>
            <w:r>
              <w:rPr>
                <w:rFonts w:ascii="Calibri" w:hAnsi="Calibri" w:eastAsia="Calibri"/>
                <w:b w:val="0"/>
                <w:sz w:val="18"/>
              </w:rPr>
              <w:t>Kapasitas baterai, panel watt, hari otonomi, atau charging recovery telah tervalidasi.</w:t>
            </w:r>
          </w:p>
        </w:tc>
      </w:tr>
      <w:tr>
        <w:trPr>
          <w:cantSplit w:val="true"/>
        </w:trPr>
        <w:tc>
          <w:tcPr>
            <w:tcW w:type="dxa" w:w="4680"/>
          </w:tcPr>
          <w:p>
            <w:pPr>
              <w:spacing w:after="0"/>
              <w:rPr>
                <w:lang w:val="id-ID"/>
              </w:rPr>
            </w:pPr>
            <w:r>
              <w:rPr>
                <w:rFonts w:ascii="Calibri" w:hAnsi="Calibri" w:eastAsia="Calibri"/>
                <w:b w:val="0"/>
                <w:sz w:val="18"/>
              </w:rPr>
              <w:t>Gateway source memakai Wi-Fi STA dan MQTT serta melaporkan status berkala.</w:t>
            </w:r>
          </w:p>
        </w:tc>
        <w:tc>
          <w:tcPr>
            <w:tcW w:type="dxa" w:w="4680"/>
          </w:tcPr>
          <w:p>
            <w:pPr>
              <w:spacing w:after="0"/>
              <w:rPr>
                <w:lang w:val="id-ID"/>
              </w:rPr>
            </w:pPr>
            <w:r>
              <w:rPr>
                <w:rFonts w:ascii="Calibri" w:hAnsi="Calibri" w:eastAsia="Calibri"/>
                <w:b w:val="0"/>
                <w:sz w:val="18"/>
              </w:rPr>
              <w:t>Network Pertamina, broker, TLS, credential, firewall, atau dashboard telah diuji live.</w:t>
            </w:r>
          </w:p>
        </w:tc>
      </w:tr>
      <w:tr>
        <w:trPr>
          <w:cantSplit w:val="true"/>
        </w:trPr>
        <w:tc>
          <w:tcPr>
            <w:tcW w:type="dxa" w:w="4680"/>
          </w:tcPr>
          <w:p>
            <w:pPr>
              <w:spacing w:after="0"/>
              <w:rPr>
                <w:lang w:val="id-ID"/>
              </w:rPr>
            </w:pPr>
            <w:r>
              <w:rPr>
                <w:rFonts w:ascii="Calibri" w:hAnsi="Calibri" w:eastAsia="Calibri"/>
                <w:b w:val="0"/>
                <w:sz w:val="18"/>
              </w:rPr>
              <w:t>Foto menunjukkan konsep bentuk enclosure dan peta/catatan titik.</w:t>
            </w:r>
          </w:p>
        </w:tc>
        <w:tc>
          <w:tcPr>
            <w:tcW w:type="dxa" w:w="4680"/>
          </w:tcPr>
          <w:p>
            <w:pPr>
              <w:spacing w:after="0"/>
              <w:rPr>
                <w:lang w:val="id-ID"/>
              </w:rPr>
            </w:pPr>
            <w:r>
              <w:rPr>
                <w:rFonts w:ascii="Calibri" w:hAnsi="Calibri" w:eastAsia="Calibri"/>
                <w:b w:val="0"/>
                <w:sz w:val="18"/>
              </w:rPr>
              <w:t>Enclosure memiliki IP/IK/Ex rating, flamepath, gland, atau marking yang sah.</w:t>
            </w:r>
          </w:p>
        </w:tc>
      </w:tr>
    </w:tbl>
    <w:p>
      <w:pPr>
        <w:spacing w:after="0"/>
      </w:pPr>
    </w:p>
    <w:p>
      <w:pPr>
        <w:pStyle w:val="Heading1"/>
        <w:pageBreakBefore/>
        <w:rPr>
          <w:lang w:val="id-ID"/>
        </w:rPr>
      </w:pPr>
      <w:r>
        <w:t>2. Basis bukti, cara membaca status, dan batas klaim</w:t>
      </w:r>
    </w:p>
    <w:p>
      <w:pPr>
        <w:pStyle w:val="Heading2"/>
        <w:rPr>
          <w:lang w:val="id-ID"/>
        </w:rPr>
      </w:pPr>
      <w:r>
        <w:t>2.1 Sumber yang diperiksa langsung</w:t>
      </w:r>
    </w:p>
    <w:p>
      <w:pPr>
        <w:pStyle w:val="ListBullet"/>
        <w:rPr>
          <w:lang w:val="id-ID"/>
        </w:rPr>
      </w:pPr>
      <w:r>
        <w:rPr>
          <w:rFonts w:ascii="Calibri" w:hAnsi="Calibri" w:eastAsia="Calibri"/>
        </w:rPr>
        <w:t>Notulen ‘Summary recorder 081426 .pdf’, 3 halaman, SHA-256 06EE2B28539F3375781FC73996FAA73C0E055006BDD12F9E01D94E7324CF5E40.</w:t>
      </w:r>
    </w:p>
    <w:p>
      <w:pPr>
        <w:pStyle w:val="ListBullet"/>
        <w:rPr>
          <w:lang w:val="id-ID"/>
        </w:rPr>
      </w:pPr>
      <w:r>
        <w:rPr>
          <w:rFonts w:ascii="Calibri" w:hAnsi="Calibri" w:eastAsia="Calibri"/>
        </w:rPr>
        <w:t>Rekaman meeting 14 Agustus 2026 ‘20260814_092122.m4a’, durasi 02:15:16,693; ditranskripsi offline dan disilang-periksa terhadap PDF/foto; SHA-256 8E3ECD25078A8F16E6335E4EFF350F0B09268089CD1B7DAC22FFE697FE1C2F79.</w:t>
      </w:r>
    </w:p>
    <w:p>
      <w:pPr>
        <w:pStyle w:val="ListBullet"/>
        <w:rPr>
          <w:lang w:val="id-ID"/>
        </w:rPr>
      </w:pPr>
      <w:r>
        <w:rPr>
          <w:rFonts w:ascii="Calibri" w:hAnsi="Calibri" w:eastAsia="Calibri"/>
        </w:rPr>
        <w:t>Folder Cilacap: 7 gambar unik—konsep CH/GW, konsep GLD1, satu plot map, dan empat foto catatan tangan. Dua attachment lain adalah duplikat gambar konsep.</w:t>
      </w:r>
    </w:p>
    <w:p>
      <w:pPr>
        <w:pStyle w:val="ListBullet"/>
        <w:rPr>
          <w:lang w:val="id-ID"/>
        </w:rPr>
      </w:pPr>
      <w:r>
        <w:rPr>
          <w:rFonts w:ascii="Calibri" w:hAnsi="Calibri" w:eastAsia="Calibri"/>
        </w:rPr>
        <w:t>CH.zip, termasuk nested EasyEDA ZIP, satu schematic sheet, raw PCB, dan README; seluruh entry diinventaris.</w:t>
      </w:r>
    </w:p>
    <w:p>
      <w:pPr>
        <w:pStyle w:val="ListBullet"/>
        <w:rPr>
          <w:lang w:val="id-ID"/>
        </w:rPr>
      </w:pPr>
      <w:r>
        <w:rPr>
          <w:rFonts w:ascii="Calibri" w:hAnsi="Calibri" w:eastAsia="Calibri"/>
        </w:rPr>
        <w:t>EasyEDA GLD1: seluruh schematics[] serta raw PCB pad/net diperiksa; tidak hanya screenshot atau BOM ringkas.</w:t>
      </w:r>
    </w:p>
    <w:p>
      <w:pPr>
        <w:pStyle w:val="ListBullet"/>
        <w:rPr>
          <w:lang w:val="id-ID"/>
        </w:rPr>
      </w:pPr>
      <w:r>
        <w:rPr>
          <w:rFonts w:ascii="Calibri" w:hAnsi="Calibri" w:eastAsia="Calibri"/>
        </w:rPr>
        <w:t>Current checkout repository: konfigurasi radio, source GLD1/CH/Gateway, Node-RED generator/snapshot, server documentation, dan dokumen arsitektur lama sebagai cross-check.</w:t>
      </w:r>
    </w:p>
    <w:p>
      <w:pPr>
        <w:pStyle w:val="ListBullet"/>
        <w:rPr>
          <w:lang w:val="id-ID"/>
        </w:rPr>
      </w:pPr>
      <w:r>
        <w:rPr>
          <w:rFonts w:ascii="Calibri" w:hAnsi="Calibri" w:eastAsia="Calibri"/>
        </w:rPr>
        <w:t>Sumber primer vendor serta standar resmi untuk MQ, ESP32, E22, BQ25185, regulator, ATEX/IECEx, instalasi Ex, OT security, dan MQTT.</w:t>
      </w:r>
    </w:p>
    <w:p>
      <w:pPr>
        <w:pStyle w:val="Heading2"/>
        <w:rPr>
          <w:lang w:val="id-ID"/>
        </w:rPr>
      </w:pPr>
      <w:r>
        <w:t>2.2 Batas audit sesi ini</w:t>
      </w:r>
    </w:p>
    <w:p>
      <w:pPr>
        <w:rPr>
          <w:lang w:val="id-ID"/>
        </w:rPr>
      </w:pPr>
      <w:r>
        <w:rPr>
          <w:rFonts w:ascii="Calibri" w:hAnsi="Calibri" w:eastAsia="Calibri"/>
        </w:rPr>
        <w:t>Audit ini bersifat read-only terhadap desain/firmware/runtime. Tidak dilakukan build PlatformIO, upload/flash, akses COM, pengukuran hardware, perubahan flow live, akses broker, akses database, perubahan jaringan, deploy dashboard, ERC/DRC EasyEDA, atau pengujian sertifikasi. Karena itu setiap pernyataan runtime, RF, power, thermal, network, database, deployment, atau hazardous compliance tetap membutuhkan evidence test terpisah.</w:t>
      </w:r>
    </w:p>
    <w:p>
      <w:pPr>
        <w:pStyle w:val="Heading2"/>
        <w:rPr>
          <w:lang w:val="id-ID"/>
        </w:rPr>
      </w:pPr>
      <w:r>
        <w:t>2.3 Instruksi dokumen vs permintaan pengguna</w:t>
      </w:r>
    </w:p>
    <w:p>
      <w:pPr>
        <w:rPr>
          <w:lang w:val="id-ID"/>
        </w:rPr>
      </w:pPr>
      <w:r>
        <w:rPr>
          <w:rFonts w:ascii="Calibri" w:hAnsi="Calibri" w:eastAsia="Calibri"/>
        </w:rPr>
        <w:t>Isi rekaman, PDF, foto, catatan, dan dokumen repo diperlakukan sebagai bukti, kebutuhan rapat, atau proposal lama—bukan sebagai instruksi bagi audit. Permintaan yang mengendalikan pekerjaan adalah membuat laporan baru yang mandiri dan lengkap sekarang. Karena itu substansi penting ditulis ulang dan dokumen lama tidak dijadikan prasyarat membaca laporan ini.</w:t>
      </w:r>
    </w:p>
    <w:p>
      <w:pPr>
        <w:pStyle w:val="Heading2"/>
        <w:rPr>
          <w:lang w:val="id-ID"/>
        </w:rPr>
      </w:pPr>
      <w:r>
        <w:t>2.4 Audit rekaman meeting 14 Agustus 2026</w:t>
      </w:r>
    </w:p>
    <w:p>
      <w:pPr>
        <w:rPr>
          <w:lang w:val="id-ID"/>
        </w:rPr>
      </w:pPr>
      <w:r>
        <w:rPr>
          <w:rFonts w:ascii="Calibri" w:hAnsi="Calibri" w:eastAsia="Calibri"/>
        </w:rPr>
        <w:t>Rekaman berdurasi 02:15:16,693 (AAC-LC, 48 kHz stereo, sekitar 148 kb/s) ditranskripsi offline dengan faster-whisper large-v3-turbo, Bahasa Indonesia, menghasilkan 3.254 segmen. Segmen substantif terutama berada pada 00:00–01:14 dan 01:40–02:09. Jeda/noise menghasilkan artefak ASR berulang seperti ucapan penutup; artefak itu dikeluarkan. Tidak ada diarization atau confidence per segmen yang cukup untuk menetapkan nama orang, sehingga owner ditulis sebagai role sampai memo/action register resmi tersedia.</w:t>
      </w:r>
    </w:p>
    <w:tbl>
      <w:tblPr>
        <w:tblStyle w:val="TableGrid"/>
        <w:tblW w:type="dxa" w:w="9360"/>
        <w:jc w:val="center"/>
        <w:tblLayout w:type="fixed"/>
        <w:tblLook w:firstColumn="1" w:firstRow="1" w:lastColumn="0" w:lastRow="0" w:noHBand="0" w:noVBand="1" w:val="04A0"/>
        <w:tblInd w:w="120" w:type="dxa"/>
      </w:tblPr>
      <w:tblGrid>
        <w:gridCol w:w="1700"/>
        <w:gridCol w:w="5500"/>
        <w:gridCol w:w="2160"/>
      </w:tblGrid>
      <w:tr>
        <w:trPr>
          <w:tblHeader w:val="true"/>
          <w:cantSplit w:val="true"/>
        </w:trPr>
        <w:tc>
          <w:tcPr>
            <w:tcW w:type="dxa" w:w="17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Waktu rekaman</w:t>
            </w:r>
          </w:p>
        </w:tc>
        <w:tc>
          <w:tcPr>
            <w:tcW w:type="dxa" w:w="5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Substansi meeting yang terverifikasi</w:t>
            </w:r>
          </w:p>
        </w:tc>
        <w:tc>
          <w:tcPr>
            <w:tcW w:type="dxa" w:w="21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Klasifikasi/implikasi</w:t>
            </w:r>
          </w:p>
        </w:tc>
      </w:tr>
      <w:tr>
        <w:trPr>
          <w:cantSplit w:val="true"/>
        </w:trPr>
        <w:tc>
          <w:tcPr>
            <w:tcW w:type="dxa" w:w="1700"/>
          </w:tcPr>
          <w:p>
            <w:pPr>
              <w:spacing w:after="0"/>
              <w:rPr>
                <w:lang w:val="id-ID"/>
              </w:rPr>
            </w:pPr>
            <w:r>
              <w:rPr>
                <w:rFonts w:ascii="Calibri" w:hAnsi="Calibri" w:eastAsia="Calibri"/>
                <w:b w:val="0"/>
                <w:sz w:val="16"/>
              </w:rPr>
              <w:t>00:01:02–00:03:40</w:t>
            </w:r>
          </w:p>
        </w:tc>
        <w:tc>
          <w:tcPr>
            <w:tcW w:type="dxa" w:w="5500"/>
          </w:tcPr>
          <w:p>
            <w:pPr>
              <w:spacing w:after="0"/>
              <w:rPr>
                <w:lang w:val="id-ID"/>
              </w:rPr>
            </w:pPr>
            <w:r>
              <w:rPr>
                <w:rFonts w:ascii="Calibri" w:hAnsi="Calibri" w:eastAsia="Calibri"/>
                <w:b w:val="0"/>
                <w:sz w:val="16"/>
              </w:rPr>
              <w:t>Pertamina meminta timeline dan formal scope lebih dahulu: kapan barang/Gateway/install, kebutuhan kontrak support, target September 2027, serta lead kontrak sekitar 3–4 bulan. Material/support harus freeze lebih awal.</w:t>
            </w:r>
          </w:p>
        </w:tc>
        <w:tc>
          <w:tcPr>
            <w:tcW w:type="dxa" w:w="2160"/>
          </w:tcPr>
          <w:p>
            <w:pPr>
              <w:spacing w:after="0"/>
              <w:rPr>
                <w:lang w:val="id-ID"/>
              </w:rPr>
            </w:pPr>
            <w:r>
              <w:rPr>
                <w:rFonts w:ascii="Calibri" w:hAnsi="Calibri" w:eastAsia="Calibri"/>
                <w:b w:val="0"/>
                <w:sz w:val="16"/>
              </w:rPr>
              <w:t>MEETING-DIRECTION; target/lead time perlu memo/owner</w:t>
            </w:r>
          </w:p>
        </w:tc>
      </w:tr>
      <w:tr>
        <w:trPr>
          <w:cantSplit w:val="true"/>
        </w:trPr>
        <w:tc>
          <w:tcPr>
            <w:tcW w:type="dxa" w:w="1700"/>
          </w:tcPr>
          <w:p>
            <w:pPr>
              <w:spacing w:after="0"/>
              <w:rPr>
                <w:lang w:val="id-ID"/>
              </w:rPr>
            </w:pPr>
            <w:r>
              <w:rPr>
                <w:rFonts w:ascii="Calibri" w:hAnsi="Calibri" w:eastAsia="Calibri"/>
                <w:b w:val="0"/>
                <w:sz w:val="16"/>
              </w:rPr>
              <w:t>00:04:28–00:08:36</w:t>
            </w:r>
          </w:p>
        </w:tc>
        <w:tc>
          <w:tcPr>
            <w:tcW w:type="dxa" w:w="5500"/>
          </w:tcPr>
          <w:p>
            <w:pPr>
              <w:spacing w:after="0"/>
              <w:rPr>
                <w:lang w:val="id-ID"/>
              </w:rPr>
            </w:pPr>
            <w:r>
              <w:rPr>
                <w:rFonts w:ascii="Calibri" w:hAnsi="Calibri" w:eastAsia="Calibri"/>
                <w:b w:val="0"/>
                <w:sz w:val="16"/>
              </w:rPr>
              <w:t>Angka ‘3 minggu’ terkait rencana keberangkatan/pengajuan ke manufaktur di China. Rekaman menyatakan tanggal final/rilis sertifikat belum diketahui; ada harapan sebelum akhir 2026.</w:t>
            </w:r>
          </w:p>
        </w:tc>
        <w:tc>
          <w:tcPr>
            <w:tcW w:type="dxa" w:w="2160"/>
          </w:tcPr>
          <w:p>
            <w:pPr>
              <w:spacing w:after="0"/>
              <w:rPr>
                <w:lang w:val="id-ID"/>
              </w:rPr>
            </w:pPr>
            <w:r>
              <w:rPr>
                <w:rFonts w:ascii="Calibri" w:hAnsi="Calibri" w:eastAsia="Calibri"/>
                <w:b w:val="0"/>
                <w:sz w:val="16"/>
              </w:rPr>
              <w:t>Bukan certificate lead-time; jangan dijadikan komitmen</w:t>
            </w:r>
          </w:p>
        </w:tc>
      </w:tr>
      <w:tr>
        <w:trPr>
          <w:cantSplit w:val="true"/>
        </w:trPr>
        <w:tc>
          <w:tcPr>
            <w:tcW w:type="dxa" w:w="1700"/>
          </w:tcPr>
          <w:p>
            <w:pPr>
              <w:spacing w:after="0"/>
              <w:rPr>
                <w:lang w:val="id-ID"/>
              </w:rPr>
            </w:pPr>
            <w:r>
              <w:rPr>
                <w:rFonts w:ascii="Calibri" w:hAnsi="Calibri" w:eastAsia="Calibri"/>
                <w:b w:val="0"/>
                <w:sz w:val="16"/>
              </w:rPr>
              <w:t>00:08:36–00:19:52</w:t>
            </w:r>
          </w:p>
        </w:tc>
        <w:tc>
          <w:tcPr>
            <w:tcW w:type="dxa" w:w="5500"/>
          </w:tcPr>
          <w:p>
            <w:pPr>
              <w:spacing w:after="0"/>
              <w:rPr>
                <w:lang w:val="id-ID"/>
              </w:rPr>
            </w:pPr>
            <w:r>
              <w:rPr>
                <w:rFonts w:ascii="Calibri" w:hAnsi="Calibri" w:eastAsia="Calibri"/>
                <w:b w:val="0"/>
                <w:sz w:val="16"/>
              </w:rPr>
              <w:t>Review konsep enclosure menekankan isolasi electronics/power, sensor cartridge/socket, seal/gland, flamepath, dan detail service. Ada kekhawatiran spark di dekat tangki LPG.</w:t>
            </w:r>
          </w:p>
        </w:tc>
        <w:tc>
          <w:tcPr>
            <w:tcW w:type="dxa" w:w="2160"/>
          </w:tcPr>
          <w:p>
            <w:pPr>
              <w:spacing w:after="0"/>
              <w:rPr>
                <w:lang w:val="id-ID"/>
              </w:rPr>
            </w:pPr>
            <w:r>
              <w:rPr>
                <w:rFonts w:ascii="Calibri" w:hAnsi="Calibri" w:eastAsia="Calibri"/>
                <w:b w:val="0"/>
                <w:sz w:val="16"/>
              </w:rPr>
              <w:t>Design/safety input; bukan bukti Ex compliance</w:t>
            </w:r>
          </w:p>
        </w:tc>
      </w:tr>
      <w:tr>
        <w:trPr>
          <w:cantSplit w:val="true"/>
        </w:trPr>
        <w:tc>
          <w:tcPr>
            <w:tcW w:type="dxa" w:w="1700"/>
          </w:tcPr>
          <w:p>
            <w:pPr>
              <w:spacing w:after="0"/>
              <w:rPr>
                <w:lang w:val="id-ID"/>
              </w:rPr>
            </w:pPr>
            <w:r>
              <w:rPr>
                <w:rFonts w:ascii="Calibri" w:hAnsi="Calibri" w:eastAsia="Calibri"/>
                <w:b w:val="0"/>
                <w:sz w:val="16"/>
              </w:rPr>
              <w:t>00:22:55–00:31:48</w:t>
            </w:r>
          </w:p>
        </w:tc>
        <w:tc>
          <w:tcPr>
            <w:tcW w:type="dxa" w:w="5500"/>
          </w:tcPr>
          <w:p>
            <w:pPr>
              <w:spacing w:after="0"/>
              <w:rPr>
                <w:lang w:val="id-ID"/>
              </w:rPr>
            </w:pPr>
            <w:r>
              <w:rPr>
                <w:rFonts w:ascii="Calibri" w:hAnsi="Calibri" w:eastAsia="Calibri"/>
                <w:b w:val="0"/>
                <w:sz w:val="16"/>
              </w:rPr>
              <w:t>Chamber/dataset dibahas. Durasi 45–60 menit lebih kuat merujuk rangkaian clean-air/LPG/H₂ terdahulu, bukan satu dataset H₂S. Sample H₂S disebut sulit; training/model 1–2 hari setelah data adalah perkiraan.</w:t>
            </w:r>
          </w:p>
        </w:tc>
        <w:tc>
          <w:tcPr>
            <w:tcW w:type="dxa" w:w="2160"/>
          </w:tcPr>
          <w:p>
            <w:pPr>
              <w:spacing w:after="0"/>
              <w:rPr>
                <w:lang w:val="id-ID"/>
              </w:rPr>
            </w:pPr>
            <w:r>
              <w:rPr>
                <w:rFonts w:ascii="Calibri" w:hAnsi="Calibri" w:eastAsia="Calibri"/>
                <w:b w:val="0"/>
                <w:sz w:val="16"/>
              </w:rPr>
              <w:t>Test planning; gas matrix/performance/timeline belum dibuktikan</w:t>
            </w:r>
          </w:p>
        </w:tc>
      </w:tr>
      <w:tr>
        <w:trPr>
          <w:cantSplit w:val="true"/>
        </w:trPr>
        <w:tc>
          <w:tcPr>
            <w:tcW w:type="dxa" w:w="1700"/>
          </w:tcPr>
          <w:p>
            <w:pPr>
              <w:spacing w:after="0"/>
              <w:rPr>
                <w:lang w:val="id-ID"/>
              </w:rPr>
            </w:pPr>
            <w:r>
              <w:rPr>
                <w:rFonts w:ascii="Calibri" w:hAnsi="Calibri" w:eastAsia="Calibri"/>
                <w:b w:val="0"/>
                <w:sz w:val="16"/>
              </w:rPr>
              <w:t>00:32:52–00:36:22</w:t>
            </w:r>
          </w:p>
        </w:tc>
        <w:tc>
          <w:tcPr>
            <w:tcW w:type="dxa" w:w="5500"/>
          </w:tcPr>
          <w:p>
            <w:pPr>
              <w:spacing w:after="0"/>
              <w:rPr>
                <w:lang w:val="id-ID"/>
              </w:rPr>
            </w:pPr>
            <w:r>
              <w:rPr>
                <w:rFonts w:ascii="Calibri" w:hAnsi="Calibri" w:eastAsia="Calibri"/>
                <w:b w:val="0"/>
                <w:sz w:val="16"/>
              </w:rPr>
              <w:t>Trial di bawah/dekat tangki LPG ditolak sebelum ATEX. SRU/Sampit disebut kandidat risiko lebih rendah/target H₂S dan LPG.</w:t>
            </w:r>
          </w:p>
        </w:tc>
        <w:tc>
          <w:tcPr>
            <w:tcW w:type="dxa" w:w="2160"/>
          </w:tcPr>
          <w:p>
            <w:pPr>
              <w:spacing w:after="0"/>
              <w:rPr>
                <w:lang w:val="id-ID"/>
              </w:rPr>
            </w:pPr>
            <w:r>
              <w:rPr>
                <w:rFonts w:ascii="Calibri" w:hAnsi="Calibri" w:eastAsia="Calibri"/>
                <w:b w:val="0"/>
                <w:sz w:val="16"/>
              </w:rPr>
              <w:t>Safety direction; kandidat bukan area-classification approval</w:t>
            </w:r>
          </w:p>
        </w:tc>
      </w:tr>
      <w:tr>
        <w:trPr>
          <w:cantSplit w:val="true"/>
        </w:trPr>
        <w:tc>
          <w:tcPr>
            <w:tcW w:type="dxa" w:w="1700"/>
          </w:tcPr>
          <w:p>
            <w:pPr>
              <w:spacing w:after="0"/>
              <w:rPr>
                <w:lang w:val="id-ID"/>
              </w:rPr>
            </w:pPr>
            <w:r>
              <w:rPr>
                <w:rFonts w:ascii="Calibri" w:hAnsi="Calibri" w:eastAsia="Calibri"/>
                <w:b w:val="0"/>
                <w:sz w:val="16"/>
              </w:rPr>
              <w:t>00:40:59–00:46:30</w:t>
            </w:r>
          </w:p>
        </w:tc>
        <w:tc>
          <w:tcPr>
            <w:tcW w:type="dxa" w:w="5500"/>
          </w:tcPr>
          <w:p>
            <w:pPr>
              <w:spacing w:after="0"/>
              <w:rPr>
                <w:lang w:val="id-ID"/>
              </w:rPr>
            </w:pPr>
            <w:r>
              <w:rPr>
                <w:rFonts w:ascii="Calibri" w:hAnsi="Calibri" w:eastAsia="Calibri"/>
                <w:b w:val="0"/>
                <w:sz w:val="16"/>
              </w:rPr>
              <w:t>Diperlukan daftar support, pole, cable, excavation, minimum server/computer, BOM/material dan technical drawing. Gateway diarahkan ke safe/control room, antenna tinggi/rooftop, cable menuju IT switch/intranet.</w:t>
            </w:r>
          </w:p>
        </w:tc>
        <w:tc>
          <w:tcPr>
            <w:tcW w:type="dxa" w:w="2160"/>
          </w:tcPr>
          <w:p>
            <w:pPr>
              <w:spacing w:after="0"/>
              <w:rPr>
                <w:lang w:val="id-ID"/>
              </w:rPr>
            </w:pPr>
            <w:r>
              <w:rPr>
                <w:rFonts w:ascii="Calibri" w:hAnsi="Calibri" w:eastAsia="Calibri"/>
                <w:b w:val="0"/>
                <w:sz w:val="16"/>
              </w:rPr>
              <w:t>Requirement package; interface details masih TBD</w:t>
            </w:r>
          </w:p>
        </w:tc>
      </w:tr>
      <w:tr>
        <w:trPr>
          <w:cantSplit w:val="true"/>
        </w:trPr>
        <w:tc>
          <w:tcPr>
            <w:tcW w:type="dxa" w:w="1700"/>
          </w:tcPr>
          <w:p>
            <w:pPr>
              <w:spacing w:after="0"/>
              <w:rPr>
                <w:lang w:val="id-ID"/>
              </w:rPr>
            </w:pPr>
            <w:r>
              <w:rPr>
                <w:rFonts w:ascii="Calibri" w:hAnsi="Calibri" w:eastAsia="Calibri"/>
                <w:b w:val="0"/>
                <w:sz w:val="16"/>
              </w:rPr>
              <w:t>00:47:11–00:56:04</w:t>
            </w:r>
          </w:p>
        </w:tc>
        <w:tc>
          <w:tcPr>
            <w:tcW w:type="dxa" w:w="5500"/>
          </w:tcPr>
          <w:p>
            <w:pPr>
              <w:spacing w:after="0"/>
              <w:rPr>
                <w:lang w:val="id-ID"/>
              </w:rPr>
            </w:pPr>
            <w:r>
              <w:rPr>
                <w:rFonts w:ascii="Calibri" w:hAnsi="Calibri" w:eastAsia="Calibri"/>
                <w:b w:val="0"/>
                <w:sz w:val="16"/>
              </w:rPr>
              <w:t>GLD1 dibahas memakai 24 VDC/existing socket; CH memakai battery/solar terpisah. Sleep/periodic strategy dan optimasi sekitar 1/8 power masih studi.</w:t>
            </w:r>
          </w:p>
        </w:tc>
        <w:tc>
          <w:tcPr>
            <w:tcW w:type="dxa" w:w="2160"/>
          </w:tcPr>
          <w:p>
            <w:pPr>
              <w:spacing w:after="0"/>
              <w:rPr>
                <w:lang w:val="id-ID"/>
              </w:rPr>
            </w:pPr>
            <w:r>
              <w:rPr>
                <w:rFonts w:ascii="Calibri" w:hAnsi="Calibri" w:eastAsia="Calibri"/>
                <w:b w:val="0"/>
                <w:sz w:val="16"/>
              </w:rPr>
              <w:t>Memisahkan power GLD1 vs CH; low-power belum field-ready</w:t>
            </w:r>
          </w:p>
        </w:tc>
      </w:tr>
      <w:tr>
        <w:trPr>
          <w:cantSplit w:val="true"/>
        </w:trPr>
        <w:tc>
          <w:tcPr>
            <w:tcW w:type="dxa" w:w="1700"/>
          </w:tcPr>
          <w:p>
            <w:pPr>
              <w:spacing w:after="0"/>
              <w:rPr>
                <w:lang w:val="id-ID"/>
              </w:rPr>
            </w:pPr>
            <w:r>
              <w:rPr>
                <w:rFonts w:ascii="Calibri" w:hAnsi="Calibri" w:eastAsia="Calibri"/>
                <w:b w:val="0"/>
                <w:sz w:val="16"/>
              </w:rPr>
              <w:t>01:43:30–01:49:00</w:t>
            </w:r>
          </w:p>
        </w:tc>
        <w:tc>
          <w:tcPr>
            <w:tcW w:type="dxa" w:w="5500"/>
          </w:tcPr>
          <w:p>
            <w:pPr>
              <w:spacing w:after="0"/>
              <w:rPr>
                <w:lang w:val="id-ID"/>
              </w:rPr>
            </w:pPr>
            <w:r>
              <w:rPr>
                <w:rFonts w:ascii="Calibri" w:hAnsi="Calibri" w:eastAsia="Calibri"/>
                <w:b w:val="0"/>
                <w:sz w:val="16"/>
              </w:rPr>
              <w:t>Konsep memo mencakup perpindahan tiga titik yang nama ASR-nya tidak cukup pasti; extension transmitter sekitar 1,5 m; pole CH/repeater sekitar 2–2,5 m sekaligus support solar; tiga titik solar. Window survey beberapa hari dibahas, dengan sekitar satu hari untuk induction/permit/JSA; kalender final TBD.</w:t>
            </w:r>
          </w:p>
        </w:tc>
        <w:tc>
          <w:tcPr>
            <w:tcW w:type="dxa" w:w="2160"/>
          </w:tcPr>
          <w:p>
            <w:pPr>
              <w:spacing w:after="0"/>
              <w:rPr>
                <w:lang w:val="id-ID"/>
              </w:rPr>
            </w:pPr>
            <w:r>
              <w:rPr>
                <w:rFonts w:ascii="Calibri" w:hAnsi="Calibri" w:eastAsia="Calibri"/>
                <w:b w:val="0"/>
                <w:sz w:val="16"/>
              </w:rPr>
              <w:t>Proposal dimension/survey; wajib drawing dan site validation</w:t>
            </w:r>
          </w:p>
        </w:tc>
      </w:tr>
      <w:tr>
        <w:trPr>
          <w:cantSplit w:val="true"/>
        </w:trPr>
        <w:tc>
          <w:tcPr>
            <w:tcW w:type="dxa" w:w="1700"/>
          </w:tcPr>
          <w:p>
            <w:pPr>
              <w:spacing w:after="0"/>
              <w:rPr>
                <w:lang w:val="id-ID"/>
              </w:rPr>
            </w:pPr>
            <w:r>
              <w:rPr>
                <w:rFonts w:ascii="Calibri" w:hAnsi="Calibri" w:eastAsia="Calibri"/>
                <w:b w:val="0"/>
                <w:sz w:val="16"/>
              </w:rPr>
              <w:t>01:51:00–01:58:30</w:t>
            </w:r>
          </w:p>
        </w:tc>
        <w:tc>
          <w:tcPr>
            <w:tcW w:type="dxa" w:w="5500"/>
          </w:tcPr>
          <w:p>
            <w:pPr>
              <w:spacing w:after="0"/>
              <w:rPr>
                <w:lang w:val="id-ID"/>
              </w:rPr>
            </w:pPr>
            <w:r>
              <w:rPr>
                <w:rFonts w:ascii="Calibri" w:hAnsi="Calibri" w:eastAsia="Calibri"/>
                <w:b w:val="0"/>
                <w:sz w:val="16"/>
              </w:rPr>
              <w:t>Pertamina akan mengeluarkan memo/rekomendasi sebagai basis scope; tim Lab/LGU diminta daftar support maksimal akhir September. Survey berikut ditemani contractor setelah lokasi freeze dan sekaligus RF test memilih titik/tinggi.</w:t>
            </w:r>
          </w:p>
        </w:tc>
        <w:tc>
          <w:tcPr>
            <w:tcW w:type="dxa" w:w="2160"/>
          </w:tcPr>
          <w:p>
            <w:pPr>
              <w:spacing w:after="0"/>
              <w:rPr>
                <w:lang w:val="id-ID"/>
              </w:rPr>
            </w:pPr>
            <w:r>
              <w:rPr>
                <w:rFonts w:ascii="Calibri" w:hAnsi="Calibri" w:eastAsia="Calibri"/>
                <w:b w:val="0"/>
                <w:sz w:val="16"/>
              </w:rPr>
              <w:t>Action direction; owner names belum dapat diatribusi</w:t>
            </w:r>
          </w:p>
        </w:tc>
      </w:tr>
      <w:tr>
        <w:trPr>
          <w:cantSplit w:val="true"/>
        </w:trPr>
        <w:tc>
          <w:tcPr>
            <w:tcW w:type="dxa" w:w="1700"/>
          </w:tcPr>
          <w:p>
            <w:pPr>
              <w:spacing w:after="0"/>
              <w:rPr>
                <w:lang w:val="id-ID"/>
              </w:rPr>
            </w:pPr>
            <w:r>
              <w:rPr>
                <w:rFonts w:ascii="Calibri" w:hAnsi="Calibri" w:eastAsia="Calibri"/>
                <w:b w:val="0"/>
                <w:sz w:val="16"/>
              </w:rPr>
              <w:t>01:58:30–01:59:30</w:t>
            </w:r>
          </w:p>
        </w:tc>
        <w:tc>
          <w:tcPr>
            <w:tcW w:type="dxa" w:w="5500"/>
          </w:tcPr>
          <w:p>
            <w:pPr>
              <w:spacing w:after="0"/>
              <w:rPr>
                <w:lang w:val="id-ID"/>
              </w:rPr>
            </w:pPr>
            <w:r>
              <w:rPr>
                <w:rFonts w:ascii="Calibri" w:hAnsi="Calibri" w:eastAsia="Calibri"/>
                <w:b w:val="0"/>
                <w:sz w:val="16"/>
              </w:rPr>
              <w:t>Prioritas engineering ditegaskan: compliance dan pemisahan sensor–electronics didahulukan; optimasi daya bukan sasaran pertama.</w:t>
            </w:r>
          </w:p>
        </w:tc>
        <w:tc>
          <w:tcPr>
            <w:tcW w:type="dxa" w:w="2160"/>
          </w:tcPr>
          <w:p>
            <w:pPr>
              <w:spacing w:after="0"/>
              <w:rPr>
                <w:lang w:val="id-ID"/>
              </w:rPr>
            </w:pPr>
            <w:r>
              <w:rPr>
                <w:rFonts w:ascii="Calibri" w:hAnsi="Calibri" w:eastAsia="Calibri"/>
                <w:b w:val="0"/>
                <w:sz w:val="16"/>
              </w:rPr>
              <w:t>Arah desain kuat</w:t>
            </w:r>
          </w:p>
        </w:tc>
      </w:tr>
      <w:tr>
        <w:trPr>
          <w:cantSplit w:val="true"/>
        </w:trPr>
        <w:tc>
          <w:tcPr>
            <w:tcW w:type="dxa" w:w="1700"/>
          </w:tcPr>
          <w:p>
            <w:pPr>
              <w:spacing w:after="0"/>
              <w:rPr>
                <w:lang w:val="id-ID"/>
              </w:rPr>
            </w:pPr>
            <w:r>
              <w:rPr>
                <w:rFonts w:ascii="Calibri" w:hAnsi="Calibri" w:eastAsia="Calibri"/>
                <w:b w:val="0"/>
                <w:sz w:val="16"/>
              </w:rPr>
              <w:t>02:04:30–02:06:03</w:t>
            </w:r>
          </w:p>
        </w:tc>
        <w:tc>
          <w:tcPr>
            <w:tcW w:type="dxa" w:w="5500"/>
          </w:tcPr>
          <w:p>
            <w:pPr>
              <w:spacing w:after="0"/>
              <w:rPr>
                <w:lang w:val="id-ID"/>
              </w:rPr>
            </w:pPr>
            <w:r>
              <w:rPr>
                <w:rFonts w:ascii="Calibri" w:hAnsi="Calibri" w:eastAsia="Calibri"/>
                <w:b w:val="0"/>
                <w:sz w:val="16"/>
              </w:rPr>
              <w:t>Urutan yang disepakati secara prinsip: finalkan lokasi, kemudian libatkan contractor dan IT; Lab/LGU menyampaikan kebutuhan server, registrasi IT, dan system architecture.</w:t>
            </w:r>
          </w:p>
        </w:tc>
        <w:tc>
          <w:tcPr>
            <w:tcW w:type="dxa" w:w="2160"/>
          </w:tcPr>
          <w:p>
            <w:pPr>
              <w:spacing w:after="0"/>
              <w:rPr>
                <w:lang w:val="id-ID"/>
              </w:rPr>
            </w:pPr>
            <w:r>
              <w:rPr>
                <w:rFonts w:ascii="Calibri" w:hAnsi="Calibri" w:eastAsia="Calibri"/>
                <w:b w:val="0"/>
                <w:sz w:val="16"/>
              </w:rPr>
              <w:t>Sequencing input untuk action plan</w:t>
            </w:r>
          </w:p>
        </w:tc>
      </w:tr>
    </w:tbl>
    <w:p>
      <w:pPr>
        <w:spacing w:after="0"/>
      </w:pP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FF4CE"/>
          </w:tcPr>
          <w:p>
            <w:pPr>
              <w:spacing w:after="40"/>
              <w:rPr>
                <w:lang w:val="id-ID"/>
              </w:rPr>
            </w:pPr>
            <w:r>
              <w:rPr>
                <w:rFonts w:ascii="Calibri" w:hAnsi="Calibri" w:eastAsia="Calibri"/>
                <w:b/>
                <w:color w:val="9C6500"/>
                <w:sz w:val="20"/>
              </w:rPr>
              <w:t xml:space="preserve">KOREKSI TERHADAP NOTULEN  </w:t>
            </w:r>
            <w:r>
              <w:rPr>
                <w:rFonts w:ascii="Calibri" w:hAnsi="Calibri" w:eastAsia="Calibri"/>
                <w:color w:val="243447"/>
                <w:sz w:val="20"/>
              </w:rPr>
              <w:t>Rekaman tidak mendukung pembacaan bahwa sertifikat selesai dalam 3 minggu. Angka itu terkait rencana pengajuan/perjalanan; tanggal rilis tetap belum diketahui. Rekaman juga memisahkan GLD1 24 VDC dari CH battery/solar. Nama owner di PDF tidak digunakan bila diarization audio tidak cukup kuat.</w:t>
            </w:r>
          </w:p>
        </w:tc>
      </w:tr>
    </w:tbl>
    <w:p>
      <w:pPr>
        <w:spacing w:after="0"/>
      </w:pPr>
    </w:p>
    <w:p>
      <w:pPr>
        <w:pStyle w:val="Heading2"/>
        <w:rPr>
          <w:lang w:val="id-ID"/>
        </w:rPr>
      </w:pPr>
      <w:r>
        <w:t>2.5 Arah meeting, proposal, dan unresolved</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val="true"/>
        </w:trPr>
        <w:tc>
          <w:tcPr>
            <w:tcW w:type="dxa" w:w="23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Kategori</w:t>
            </w:r>
          </w:p>
        </w:tc>
        <w:tc>
          <w:tcPr>
            <w:tcW w:type="dxa" w:w="70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Isi</w:t>
            </w:r>
          </w:p>
        </w:tc>
      </w:tr>
      <w:tr>
        <w:trPr>
          <w:cantSplit w:val="true"/>
        </w:trPr>
        <w:tc>
          <w:tcPr>
            <w:tcW w:type="dxa" w:w="2300"/>
          </w:tcPr>
          <w:p>
            <w:pPr>
              <w:spacing w:after="0"/>
              <w:rPr>
                <w:lang w:val="id-ID"/>
              </w:rPr>
            </w:pPr>
            <w:r>
              <w:rPr>
                <w:rFonts w:ascii="Calibri" w:hAnsi="Calibri" w:eastAsia="Calibri"/>
                <w:b/>
                <w:sz w:val="18"/>
              </w:rPr>
              <w:t>Arah meeting yang kuat</w:t>
            </w:r>
          </w:p>
        </w:tc>
        <w:tc>
          <w:tcPr>
            <w:tcW w:type="dxa" w:w="7060"/>
          </w:tcPr>
          <w:p>
            <w:pPr>
              <w:spacing w:after="0"/>
              <w:rPr>
                <w:lang w:val="id-ID"/>
              </w:rPr>
            </w:pPr>
            <w:r>
              <w:rPr>
                <w:rFonts w:ascii="Calibri" w:hAnsi="Calibri" w:eastAsia="Calibri"/>
                <w:b w:val="0"/>
                <w:sz w:val="18"/>
              </w:rPr>
              <w:t>Hindari trial dekat tangki LPG sebelum jalur ATEX; compliance/separation lebih dahulu daripada power optimization; GLD1 24 VDC; CH battery/solar; Gateway safe/control room; support list akhir Sep 2026; lokasi freeze sebelum contractor/IT; survey berikut mencakup RF.</w:t>
            </w:r>
          </w:p>
        </w:tc>
      </w:tr>
      <w:tr>
        <w:trPr>
          <w:cantSplit w:val="true"/>
        </w:trPr>
        <w:tc>
          <w:tcPr>
            <w:tcW w:type="dxa" w:w="2300"/>
          </w:tcPr>
          <w:p>
            <w:pPr>
              <w:spacing w:after="0"/>
              <w:rPr>
                <w:lang w:val="id-ID"/>
              </w:rPr>
            </w:pPr>
            <w:r>
              <w:rPr>
                <w:rFonts w:ascii="Calibri" w:hAnsi="Calibri" w:eastAsia="Calibri"/>
                <w:b/>
                <w:sz w:val="18"/>
              </w:rPr>
              <w:t>Proposal yang belum approved</w:t>
            </w:r>
          </w:p>
        </w:tc>
        <w:tc>
          <w:tcPr>
            <w:tcW w:type="dxa" w:w="7060"/>
          </w:tcPr>
          <w:p>
            <w:pPr>
              <w:spacing w:after="0"/>
              <w:rPr>
                <w:lang w:val="id-ID"/>
              </w:rPr>
            </w:pPr>
            <w:r>
              <w:rPr>
                <w:rFonts w:ascii="Calibri" w:hAnsi="Calibri" w:eastAsia="Calibri"/>
                <w:b w:val="0"/>
                <w:sz w:val="18"/>
              </w:rPr>
              <w:t>SRU/Sampit sebagai kandidat; extension transmitter 1,5 m; pole CH/repeater 2–2,5 m; tiga titik solar; training model 1–2 hari setelah data.</w:t>
            </w:r>
          </w:p>
        </w:tc>
      </w:tr>
      <w:tr>
        <w:trPr>
          <w:cantSplit w:val="true"/>
        </w:trPr>
        <w:tc>
          <w:tcPr>
            <w:tcW w:type="dxa" w:w="2300"/>
          </w:tcPr>
          <w:p>
            <w:pPr>
              <w:spacing w:after="0"/>
              <w:rPr>
                <w:lang w:val="id-ID"/>
              </w:rPr>
            </w:pPr>
            <w:r>
              <w:rPr>
                <w:rFonts w:ascii="Calibri" w:hAnsi="Calibri" w:eastAsia="Calibri"/>
                <w:b/>
                <w:sz w:val="18"/>
              </w:rPr>
              <w:t>Unresolved</w:t>
            </w:r>
          </w:p>
        </w:tc>
        <w:tc>
          <w:tcPr>
            <w:tcW w:type="dxa" w:w="7060"/>
          </w:tcPr>
          <w:p>
            <w:pPr>
              <w:spacing w:after="0"/>
              <w:rPr>
                <w:lang w:val="id-ID"/>
              </w:rPr>
            </w:pPr>
            <w:r>
              <w:rPr>
                <w:rFonts w:ascii="Calibri" w:hAnsi="Calibri" w:eastAsia="Calibri"/>
                <w:b w:val="0"/>
                <w:sz w:val="18"/>
              </w:rPr>
              <w:t>Certificate release date, accepted scheme, exact site/zone, contract scope, support dimensions, cable route, final server spec, broker/network/TLS, exact owner/signatory, and schedule baselined.</w:t>
            </w:r>
          </w:p>
        </w:tc>
      </w:tr>
    </w:tbl>
    <w:p>
      <w:pPr>
        <w:spacing w:after="0"/>
      </w:pPr>
    </w:p>
    <w:p>
      <w:pPr>
        <w:pStyle w:val="Heading2"/>
        <w:rPr>
          <w:lang w:val="id-ID"/>
        </w:rPr>
      </w:pPr>
      <w:r>
        <w:t>2.6 Temuan utama dari notulen 3 halaman</w:t>
      </w:r>
    </w:p>
    <w:p>
      <w:pPr>
        <w:pStyle w:val="ListBullet"/>
        <w:rPr>
          <w:lang w:val="id-ID"/>
        </w:rPr>
      </w:pPr>
      <w:r>
        <w:rPr>
          <w:rFonts w:ascii="Calibri" w:hAnsi="Calibri" w:eastAsia="Calibri"/>
        </w:rPr>
        <w:t>Rencana RU IV Cilacap memerlukan pembahasan ATEX/ex-proof, pemisahan sensor dan electronics/power, gland/seal, Gateway di safe area/control room, akses switch IT, sumber 24 VDC, opsi battery/solar, serta chamber/data test.</w:t>
      </w:r>
    </w:p>
    <w:p>
      <w:pPr>
        <w:pStyle w:val="ListBullet"/>
        <w:rPr>
          <w:lang w:val="id-ID"/>
        </w:rPr>
      </w:pPr>
      <w:r>
        <w:rPr>
          <w:rFonts w:ascii="Calibri" w:hAnsi="Calibri" w:eastAsia="Calibri"/>
        </w:rPr>
        <w:t>Action meeting mencakup schematic/BOM/architecture untuk jalur sertifikasi, dataset LPG/H₂S/CH₄/CO/NH₃ dengan distance/concentration, dan survey lanjutan untuk titik, cable, safe-area Gateway, dan power.</w:t>
      </w:r>
    </w:p>
    <w:p>
      <w:pPr>
        <w:pStyle w:val="ListBullet"/>
        <w:rPr>
          <w:lang w:val="id-ID"/>
        </w:rPr>
      </w:pPr>
      <w:r>
        <w:rPr>
          <w:rFonts w:ascii="Calibri" w:hAnsi="Calibri" w:eastAsia="Calibri"/>
        </w:rPr>
        <w:t>Transkrip menyebut target program sekitar 9 bulan dan klaim target ‘ATEX 3 minggu’. Angka 3 minggu tidak memiliki bukti application, laboratory slot, test plan, ExCB, atau certificate scope; laporan ini memperlakukannya sebagai target rapat yang belum tervalidasi.</w:t>
      </w:r>
    </w:p>
    <w:p>
      <w:pPr>
        <w:pStyle w:val="ListBullet"/>
        <w:rPr>
          <w:lang w:val="id-ID"/>
        </w:rPr>
      </w:pPr>
      <w:r>
        <w:rPr>
          <w:rFonts w:ascii="Calibri" w:hAnsi="Calibri" w:eastAsia="Calibri"/>
        </w:rPr>
        <w:t>Notulen menyebut 24 VDC untuk operasi jangka panjang, battery kurang kuat, kebutuhan low-power board, serta gas-test sekitar 45 menit. Audio memperjelas bahwa 45–60 menit lebih mungkin satu rangkaian clean-air/LPG/H₂ terdahulu, bukan durasi baku satu dataset H₂S. Ini input engineering, bukan hasil ukur atau acceptance.</w:t>
      </w:r>
    </w:p>
    <w:p>
      <w:pPr>
        <w:pStyle w:val="Heading2"/>
        <w:rPr>
          <w:lang w:val="id-ID"/>
        </w:rPr>
      </w:pPr>
      <w:r>
        <w:t>2.7 Transkripsi substantif catatan lapangan</w:t>
      </w:r>
    </w:p>
    <w:tbl>
      <w:tblPr>
        <w:tblStyle w:val="TableGrid"/>
        <w:tblW w:type="dxa" w:w="9360"/>
        <w:jc w:val="center"/>
        <w:tblLayout w:type="fixed"/>
        <w:tblLook w:firstColumn="1" w:firstRow="1" w:lastColumn="0" w:lastRow="0" w:noHBand="0" w:noVBand="1" w:val="04A0"/>
        <w:tblInd w:w="120" w:type="dxa"/>
      </w:tblPr>
      <w:tblGrid>
        <w:gridCol w:w="1800"/>
        <w:gridCol w:w="5700"/>
        <w:gridCol w:w="1860"/>
      </w:tblGrid>
      <w:tr>
        <w:trPr>
          <w:tblHeader w:val="true"/>
          <w:cantSplit w:val="true"/>
        </w:trPr>
        <w:tc>
          <w:tcPr>
            <w:tcW w:type="dxa" w:w="18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Sumber catatan</w:t>
            </w:r>
          </w:p>
        </w:tc>
        <w:tc>
          <w:tcPr>
            <w:tcW w:type="dxa" w:w="57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Substansi yang harus dibawa ke keputusan</w:t>
            </w:r>
          </w:p>
        </w:tc>
        <w:tc>
          <w:tcPr>
            <w:tcW w:type="dxa" w:w="18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Status</w:t>
            </w:r>
          </w:p>
        </w:tc>
      </w:tr>
      <w:tr>
        <w:trPr>
          <w:cantSplit w:val="true"/>
        </w:trPr>
        <w:tc>
          <w:tcPr>
            <w:tcW w:type="dxa" w:w="1800"/>
          </w:tcPr>
          <w:p>
            <w:pPr>
              <w:spacing w:after="0"/>
              <w:rPr>
                <w:lang w:val="id-ID"/>
              </w:rPr>
            </w:pPr>
            <w:r>
              <w:rPr>
                <w:rFonts w:ascii="Calibri" w:hAnsi="Calibri" w:eastAsia="Calibri"/>
                <w:b w:val="0"/>
                <w:sz w:val="16"/>
              </w:rPr>
              <w:t>Plot map 16.01.54</w:t>
            </w:r>
          </w:p>
        </w:tc>
        <w:tc>
          <w:tcPr>
            <w:tcW w:type="dxa" w:w="5700"/>
          </w:tcPr>
          <w:p>
            <w:pPr>
              <w:spacing w:after="0"/>
              <w:rPr>
                <w:lang w:val="id-ID"/>
              </w:rPr>
            </w:pPr>
            <w:r>
              <w:rPr>
                <w:rFonts w:ascii="Calibri" w:hAnsi="Calibri" w:eastAsia="Calibri"/>
                <w:b w:val="0"/>
                <w:sz w:val="16"/>
              </w:rPr>
              <w:t>Tahap 1–2 OM47 LPG masing-masing 3 sensor; tahap 3 KPC H₂/butane/ethane 11; tahap 4 FOC II LPG/butane/ethane/propane 6. Handwriting menempatkan GLD1 A1/A2/A3, CH A4/A5, GW indoor/antena rooftop; struktur menghalangi LoRa.</w:t>
            </w:r>
          </w:p>
        </w:tc>
        <w:tc>
          <w:tcPr>
            <w:tcW w:type="dxa" w:w="1860"/>
          </w:tcPr>
          <w:p>
            <w:pPr>
              <w:spacing w:after="0"/>
              <w:rPr>
                <w:lang w:val="id-ID"/>
              </w:rPr>
            </w:pPr>
            <w:r>
              <w:rPr>
                <w:rFonts w:ascii="Calibri" w:hAnsi="Calibri" w:eastAsia="Calibri"/>
                <w:b w:val="0"/>
                <w:sz w:val="16"/>
              </w:rPr>
              <w:t>MEETING-NOTE; titik belum freeze</w:t>
            </w:r>
          </w:p>
        </w:tc>
      </w:tr>
      <w:tr>
        <w:trPr>
          <w:cantSplit w:val="true"/>
        </w:trPr>
        <w:tc>
          <w:tcPr>
            <w:tcW w:type="dxa" w:w="1800"/>
          </w:tcPr>
          <w:p>
            <w:pPr>
              <w:spacing w:after="0"/>
              <w:rPr>
                <w:lang w:val="id-ID"/>
              </w:rPr>
            </w:pPr>
            <w:r>
              <w:rPr>
                <w:rFonts w:ascii="Calibri" w:hAnsi="Calibri" w:eastAsia="Calibri"/>
                <w:b w:val="0"/>
                <w:sz w:val="16"/>
              </w:rPr>
              <w:t>16.01.55 (1)</w:t>
            </w:r>
          </w:p>
        </w:tc>
        <w:tc>
          <w:tcPr>
            <w:tcW w:type="dxa" w:w="5700"/>
          </w:tcPr>
          <w:p>
            <w:pPr>
              <w:spacing w:after="0"/>
              <w:rPr>
                <w:lang w:val="id-ID"/>
              </w:rPr>
            </w:pPr>
            <w:r>
              <w:rPr>
                <w:rFonts w:ascii="Calibri" w:hAnsi="Calibri" w:eastAsia="Calibri"/>
                <w:b w:val="0"/>
                <w:sz w:val="16"/>
              </w:rPr>
              <w:t>Catatan deadline Sep 2027 RU IV; minimum phase 1: 3 GLD1 + CH; konfirmasi additional contract; ATEX separation; potensi trial SRU/PSU; submission pole/cable/support akhir Sep 2026.</w:t>
            </w:r>
          </w:p>
        </w:tc>
        <w:tc>
          <w:tcPr>
            <w:tcW w:type="dxa" w:w="1860"/>
          </w:tcPr>
          <w:p>
            <w:pPr>
              <w:spacing w:after="0"/>
              <w:rPr>
                <w:lang w:val="id-ID"/>
              </w:rPr>
            </w:pPr>
            <w:r>
              <w:rPr>
                <w:rFonts w:ascii="Calibri" w:hAnsi="Calibri" w:eastAsia="Calibri"/>
                <w:b w:val="0"/>
                <w:sz w:val="16"/>
              </w:rPr>
              <w:t>MEETING-NOTE; scope/date perlu owner</w:t>
            </w:r>
          </w:p>
        </w:tc>
      </w:tr>
      <w:tr>
        <w:trPr>
          <w:cantSplit w:val="true"/>
        </w:trPr>
        <w:tc>
          <w:tcPr>
            <w:tcW w:type="dxa" w:w="1800"/>
          </w:tcPr>
          <w:p>
            <w:pPr>
              <w:spacing w:after="0"/>
              <w:rPr>
                <w:lang w:val="id-ID"/>
              </w:rPr>
            </w:pPr>
            <w:r>
              <w:rPr>
                <w:rFonts w:ascii="Calibri" w:hAnsi="Calibri" w:eastAsia="Calibri"/>
                <w:b w:val="0"/>
                <w:sz w:val="16"/>
              </w:rPr>
              <w:t>16.01.55</w:t>
            </w:r>
          </w:p>
        </w:tc>
        <w:tc>
          <w:tcPr>
            <w:tcW w:type="dxa" w:w="5700"/>
          </w:tcPr>
          <w:p>
            <w:pPr>
              <w:spacing w:after="0"/>
              <w:rPr>
                <w:lang w:val="id-ID"/>
              </w:rPr>
            </w:pPr>
            <w:r>
              <w:rPr>
                <w:rFonts w:ascii="Calibri" w:hAnsi="Calibri" w:eastAsia="Calibri"/>
                <w:b w:val="0"/>
                <w:sz w:val="16"/>
              </w:rPr>
              <w:t>Potensi SRU H₂S/NH₃ dan Sampit LPG/methane/H₂S; tulisan ‘110VA → 24VDC’ kemungkinan berarti 110 VAC, tetapi ambigu; perlu next visit dan network test.</w:t>
            </w:r>
          </w:p>
        </w:tc>
        <w:tc>
          <w:tcPr>
            <w:tcW w:type="dxa" w:w="1860"/>
          </w:tcPr>
          <w:p>
            <w:pPr>
              <w:spacing w:after="0"/>
              <w:rPr>
                <w:lang w:val="id-ID"/>
              </w:rPr>
            </w:pPr>
            <w:r>
              <w:rPr>
                <w:rFonts w:ascii="Calibri" w:hAnsi="Calibri" w:eastAsia="Calibri"/>
                <w:b w:val="0"/>
                <w:sz w:val="16"/>
              </w:rPr>
              <w:t>TBD; jangan desain dari teks ambigu</w:t>
            </w:r>
          </w:p>
        </w:tc>
      </w:tr>
      <w:tr>
        <w:trPr>
          <w:cantSplit w:val="true"/>
        </w:trPr>
        <w:tc>
          <w:tcPr>
            <w:tcW w:type="dxa" w:w="1800"/>
          </w:tcPr>
          <w:p>
            <w:pPr>
              <w:spacing w:after="0"/>
              <w:rPr>
                <w:lang w:val="id-ID"/>
              </w:rPr>
            </w:pPr>
            <w:r>
              <w:rPr>
                <w:rFonts w:ascii="Calibri" w:hAnsi="Calibri" w:eastAsia="Calibri"/>
                <w:b w:val="0"/>
                <w:sz w:val="16"/>
              </w:rPr>
              <w:t>16.01.56 (1)</w:t>
            </w:r>
          </w:p>
        </w:tc>
        <w:tc>
          <w:tcPr>
            <w:tcW w:type="dxa" w:w="5700"/>
          </w:tcPr>
          <w:p>
            <w:pPr>
              <w:spacing w:after="0"/>
              <w:rPr>
                <w:lang w:val="id-ID"/>
              </w:rPr>
            </w:pPr>
            <w:r>
              <w:rPr>
                <w:rFonts w:ascii="Calibri" w:hAnsi="Calibri" w:eastAsia="Calibri"/>
                <w:b w:val="0"/>
                <w:sz w:val="16"/>
              </w:rPr>
              <w:t>MAC Gateway, broker MQTT, Wi-Fi SSID/password, server IP, satu network, SOP Pertamina, web server, GLD1 24 V dekat existing sensor, battery tidak continuous.</w:t>
            </w:r>
          </w:p>
        </w:tc>
        <w:tc>
          <w:tcPr>
            <w:tcW w:type="dxa" w:w="1860"/>
          </w:tcPr>
          <w:p>
            <w:pPr>
              <w:spacing w:after="0"/>
              <w:rPr>
                <w:lang w:val="id-ID"/>
              </w:rPr>
            </w:pPr>
            <w:r>
              <w:rPr>
                <w:rFonts w:ascii="Calibri" w:hAnsi="Calibri" w:eastAsia="Calibri"/>
                <w:b w:val="0"/>
                <w:sz w:val="16"/>
              </w:rPr>
              <w:t>Requirement input; perlu arsitektur/approval</w:t>
            </w:r>
          </w:p>
        </w:tc>
      </w:tr>
      <w:tr>
        <w:trPr>
          <w:cantSplit w:val="true"/>
        </w:trPr>
        <w:tc>
          <w:tcPr>
            <w:tcW w:type="dxa" w:w="1800"/>
          </w:tcPr>
          <w:p>
            <w:pPr>
              <w:spacing w:after="0"/>
              <w:rPr>
                <w:lang w:val="id-ID"/>
              </w:rPr>
            </w:pPr>
            <w:r>
              <w:rPr>
                <w:rFonts w:ascii="Calibri" w:hAnsi="Calibri" w:eastAsia="Calibri"/>
                <w:b w:val="0"/>
                <w:sz w:val="16"/>
              </w:rPr>
              <w:t>16.01.56</w:t>
            </w:r>
          </w:p>
        </w:tc>
        <w:tc>
          <w:tcPr>
            <w:tcW w:type="dxa" w:w="5700"/>
          </w:tcPr>
          <w:p>
            <w:pPr>
              <w:spacing w:after="0"/>
              <w:rPr>
                <w:lang w:val="id-ID"/>
              </w:rPr>
            </w:pPr>
            <w:r>
              <w:rPr>
                <w:rFonts w:ascii="Calibri" w:hAnsi="Calibri" w:eastAsia="Calibri"/>
                <w:b w:val="0"/>
                <w:sz w:val="16"/>
              </w:rPr>
              <w:t>CH mounting/solar, pole/bolt/tool, height/cable/battery; GW 5 V indoor dan antena rooftop; payload &lt;1 KB/10 s; server dashboard/PC/OS/database.</w:t>
            </w:r>
          </w:p>
        </w:tc>
        <w:tc>
          <w:tcPr>
            <w:tcW w:type="dxa" w:w="1860"/>
          </w:tcPr>
          <w:p>
            <w:pPr>
              <w:spacing w:after="0"/>
              <w:rPr>
                <w:lang w:val="id-ID"/>
              </w:rPr>
            </w:pPr>
            <w:r>
              <w:rPr>
                <w:rFonts w:ascii="Calibri" w:hAnsi="Calibri" w:eastAsia="Calibri"/>
                <w:b w:val="0"/>
                <w:sz w:val="16"/>
              </w:rPr>
              <w:t>Requirement input; banyak nilai TBD</w:t>
            </w:r>
          </w:p>
        </w:tc>
      </w:tr>
    </w:tbl>
    <w:p>
      <w:pPr>
        <w:spacing w:after="0"/>
      </w:pPr>
    </w:p>
    <w:p>
      <w:pPr>
        <w:pStyle w:val="Heading1"/>
        <w:pageBreakBefore/>
        <w:rPr>
          <w:lang w:val="id-ID"/>
        </w:rPr>
      </w:pPr>
      <w:r>
        <w:t>3. Kebutuhan Cilacap dan arsitektur sistem end-to-end</w:t>
      </w:r>
    </w:p>
    <w:p>
      <w:pPr>
        <w:pStyle w:val="Heading2"/>
        <w:rPr>
          <w:lang w:val="id-ID"/>
        </w:rPr>
      </w:pPr>
      <w:r>
        <w:t>3.1 Arsitektur fungsional</w:t>
      </w:r>
    </w:p>
    <w:p>
      <w:pPr>
        <w:rPr>
          <w:lang w:val="id-ID"/>
        </w:rPr>
      </w:pPr>
      <w:r>
        <w:rPr>
          <w:rFonts w:ascii="Calibri" w:hAnsi="Calibri" w:eastAsia="Calibri"/>
        </w:rPr>
        <w:t>Alur yang dituju adalah:</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EEF5FB"/>
          </w:tcPr>
          <w:p>
            <w:pPr>
              <w:spacing w:after="40"/>
              <w:rPr>
                <w:lang w:val="id-ID"/>
              </w:rPr>
            </w:pPr>
            <w:r>
              <w:rPr>
                <w:rFonts w:ascii="Calibri" w:hAnsi="Calibri" w:eastAsia="Calibri"/>
                <w:b/>
                <w:color w:val="1F4D78"/>
                <w:sz w:val="20"/>
              </w:rPr>
              <w:t xml:space="preserve">ALUR DATA  </w:t>
            </w:r>
            <w:r>
              <w:rPr>
                <w:rFonts w:ascii="Calibri" w:hAnsi="Calibri" w:eastAsia="Calibri"/>
                <w:color w:val="243447"/>
                <w:sz w:val="20"/>
              </w:rPr>
              <w:t>GLD1 (sensing + edge processing) → radio STAR 920 MHz → CH (aggregation/repeater) → radio MESH 921 MHz → Gateway → Wi-Fi STA / intranet → MQTT broker → Node-RED/server → dashboard, dataset recorder, alarm, command, dan evidence log.</w:t>
            </w:r>
          </w:p>
        </w:tc>
      </w:tr>
    </w:tbl>
    <w:p>
      <w:pPr>
        <w:spacing w:after="0"/>
      </w:pPr>
    </w:p>
    <w:p>
      <w:pPr>
        <w:rPr>
          <w:lang w:val="id-ID"/>
        </w:rPr>
      </w:pPr>
      <w:r>
        <w:rPr>
          <w:rFonts w:ascii="Calibri" w:hAnsi="Calibri" w:eastAsia="Calibri"/>
        </w:rPr>
        <w:t>Arah command/downlink bergerak sebaliknya dan harus menggunakan identitas node, otorisasi topic, korelasi command-result, timeout, serta aturan anti-ACK-palsu. Radio settings yang disebut di laporan ini adalah current-source configuration; bukan bukti RF site, izin frekuensi, EIRP, atau packet-delivery.</w:t>
      </w:r>
    </w:p>
    <w:p>
      <w:pPr>
        <w:pStyle w:val="Heading2"/>
        <w:rPr>
          <w:lang w:val="id-ID"/>
        </w:rPr>
      </w:pPr>
      <w:r>
        <w:t>3.2 Perbedaan lab dan Pertamina</w:t>
      </w:r>
    </w:p>
    <w:tbl>
      <w:tblPr>
        <w:tblStyle w:val="TableGrid"/>
        <w:tblW w:type="dxa" w:w="9360"/>
        <w:jc w:val="center"/>
        <w:tblLayout w:type="fixed"/>
        <w:tblLook w:firstColumn="1" w:firstRow="1" w:lastColumn="0" w:lastRow="0" w:noHBand="0" w:noVBand="1" w:val="04A0"/>
        <w:tblInd w:w="120" w:type="dxa"/>
      </w:tblPr>
      <w:tblGrid>
        <w:gridCol w:w="1550"/>
        <w:gridCol w:w="3550"/>
        <w:gridCol w:w="4260"/>
      </w:tblGrid>
      <w:tr>
        <w:trPr>
          <w:tblHeader w:val="true"/>
          <w:cantSplit w:val="true"/>
        </w:trPr>
        <w:tc>
          <w:tcPr>
            <w:tcW w:type="dxa" w:w="15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Aspek</w:t>
            </w:r>
          </w:p>
        </w:tc>
        <w:tc>
          <w:tcPr>
            <w:tcW w:type="dxa" w:w="35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Lab</w:t>
            </w:r>
          </w:p>
        </w:tc>
        <w:tc>
          <w:tcPr>
            <w:tcW w:type="dxa" w:w="42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Pertamina RU IV Cilacap</w:t>
            </w:r>
          </w:p>
        </w:tc>
      </w:tr>
      <w:tr>
        <w:trPr>
          <w:cantSplit w:val="true"/>
        </w:trPr>
        <w:tc>
          <w:tcPr>
            <w:tcW w:type="dxa" w:w="1550"/>
          </w:tcPr>
          <w:p>
            <w:pPr>
              <w:spacing w:after="0"/>
              <w:rPr>
                <w:lang w:val="id-ID"/>
              </w:rPr>
            </w:pPr>
            <w:r>
              <w:rPr>
                <w:rFonts w:ascii="Calibri" w:hAnsi="Calibri" w:eastAsia="Calibri"/>
                <w:b w:val="0"/>
                <w:sz w:val="16"/>
              </w:rPr>
              <w:t>Network</w:t>
            </w:r>
          </w:p>
        </w:tc>
        <w:tc>
          <w:tcPr>
            <w:tcW w:type="dxa" w:w="3550"/>
          </w:tcPr>
          <w:p>
            <w:pPr>
              <w:spacing w:after="0"/>
              <w:rPr>
                <w:lang w:val="id-ID"/>
              </w:rPr>
            </w:pPr>
            <w:r>
              <w:rPr>
                <w:rFonts w:ascii="Calibri" w:hAnsi="Calibri" w:eastAsia="Calibri"/>
                <w:b w:val="0"/>
                <w:sz w:val="16"/>
              </w:rPr>
              <w:t>Gateway dan server dapat berada pada WLAN/LAN yang sama.</w:t>
            </w:r>
          </w:p>
        </w:tc>
        <w:tc>
          <w:tcPr>
            <w:tcW w:type="dxa" w:w="4260"/>
          </w:tcPr>
          <w:p>
            <w:pPr>
              <w:spacing w:after="0"/>
              <w:rPr>
                <w:lang w:val="id-ID"/>
              </w:rPr>
            </w:pPr>
            <w:r>
              <w:rPr>
                <w:rFonts w:ascii="Calibri" w:hAnsi="Calibri" w:eastAsia="Calibri"/>
                <w:b w:val="0"/>
                <w:sz w:val="16"/>
              </w:rPr>
              <w:t>Boleh beda VLAN/subnet selama ada route dan firewall dari Wi-Fi Gateway ke broker endpoint.</w:t>
            </w:r>
          </w:p>
        </w:tc>
      </w:tr>
      <w:tr>
        <w:trPr>
          <w:cantSplit w:val="true"/>
        </w:trPr>
        <w:tc>
          <w:tcPr>
            <w:tcW w:type="dxa" w:w="1550"/>
          </w:tcPr>
          <w:p>
            <w:pPr>
              <w:spacing w:after="0"/>
              <w:rPr>
                <w:lang w:val="id-ID"/>
              </w:rPr>
            </w:pPr>
            <w:r>
              <w:rPr>
                <w:rFonts w:ascii="Calibri" w:hAnsi="Calibri" w:eastAsia="Calibri"/>
                <w:b w:val="0"/>
                <w:sz w:val="16"/>
              </w:rPr>
              <w:t>Broker</w:t>
            </w:r>
          </w:p>
        </w:tc>
        <w:tc>
          <w:tcPr>
            <w:tcW w:type="dxa" w:w="3550"/>
          </w:tcPr>
          <w:p>
            <w:pPr>
              <w:spacing w:after="0"/>
              <w:rPr>
                <w:lang w:val="id-ID"/>
              </w:rPr>
            </w:pPr>
            <w:r>
              <w:rPr>
                <w:rFonts w:ascii="Calibri" w:hAnsi="Calibri" w:eastAsia="Calibri"/>
                <w:b w:val="0"/>
                <w:sz w:val="16"/>
              </w:rPr>
              <w:t>Host/port bench; source default masih placeholder, port 1884 bench.</w:t>
            </w:r>
          </w:p>
        </w:tc>
        <w:tc>
          <w:tcPr>
            <w:tcW w:type="dxa" w:w="4260"/>
          </w:tcPr>
          <w:p>
            <w:pPr>
              <w:spacing w:after="0"/>
              <w:rPr>
                <w:lang w:val="id-ID"/>
              </w:rPr>
            </w:pPr>
            <w:r>
              <w:rPr>
                <w:rFonts w:ascii="Calibri" w:hAnsi="Calibri" w:eastAsia="Calibri"/>
                <w:b w:val="0"/>
                <w:sz w:val="16"/>
              </w:rPr>
              <w:t>Endpoint stabil (disarankan FQDN), port final ditentukan IT, auth/TLS/ACL/logging wajib diputuskan.</w:t>
            </w:r>
          </w:p>
        </w:tc>
      </w:tr>
      <w:tr>
        <w:trPr>
          <w:cantSplit w:val="true"/>
        </w:trPr>
        <w:tc>
          <w:tcPr>
            <w:tcW w:type="dxa" w:w="1550"/>
          </w:tcPr>
          <w:p>
            <w:pPr>
              <w:spacing w:after="0"/>
              <w:rPr>
                <w:lang w:val="id-ID"/>
              </w:rPr>
            </w:pPr>
            <w:r>
              <w:rPr>
                <w:rFonts w:ascii="Calibri" w:hAnsi="Calibri" w:eastAsia="Calibri"/>
                <w:b w:val="0"/>
                <w:sz w:val="16"/>
              </w:rPr>
              <w:t>Gateway</w:t>
            </w:r>
          </w:p>
        </w:tc>
        <w:tc>
          <w:tcPr>
            <w:tcW w:type="dxa" w:w="3550"/>
          </w:tcPr>
          <w:p>
            <w:pPr>
              <w:spacing w:after="0"/>
              <w:rPr>
                <w:lang w:val="id-ID"/>
              </w:rPr>
            </w:pPr>
            <w:r>
              <w:rPr>
                <w:rFonts w:ascii="Calibri" w:hAnsi="Calibri" w:eastAsia="Calibri"/>
                <w:b w:val="0"/>
                <w:sz w:val="16"/>
              </w:rPr>
              <w:t>Provision Wi-Fi/broker secara lokal.</w:t>
            </w:r>
          </w:p>
        </w:tc>
        <w:tc>
          <w:tcPr>
            <w:tcW w:type="dxa" w:w="4260"/>
          </w:tcPr>
          <w:p>
            <w:pPr>
              <w:spacing w:after="0"/>
              <w:rPr>
                <w:lang w:val="id-ID"/>
              </w:rPr>
            </w:pPr>
            <w:r>
              <w:rPr>
                <w:rFonts w:ascii="Calibri" w:hAnsi="Calibri" w:eastAsia="Calibri"/>
                <w:b w:val="0"/>
                <w:sz w:val="16"/>
              </w:rPr>
              <w:t>STA MAC harus tersedia sebelum onboarding; asset label, NAC, DHCP, DNS/NTP, owner, dan lokasi terdokumentasi.</w:t>
            </w:r>
          </w:p>
        </w:tc>
      </w:tr>
      <w:tr>
        <w:trPr>
          <w:cantSplit w:val="true"/>
        </w:trPr>
        <w:tc>
          <w:tcPr>
            <w:tcW w:type="dxa" w:w="1550"/>
          </w:tcPr>
          <w:p>
            <w:pPr>
              <w:spacing w:after="0"/>
              <w:rPr>
                <w:lang w:val="id-ID"/>
              </w:rPr>
            </w:pPr>
            <w:r>
              <w:rPr>
                <w:rFonts w:ascii="Calibri" w:hAnsi="Calibri" w:eastAsia="Calibri"/>
                <w:b w:val="0"/>
                <w:sz w:val="16"/>
              </w:rPr>
              <w:t>Server</w:t>
            </w:r>
          </w:p>
        </w:tc>
        <w:tc>
          <w:tcPr>
            <w:tcW w:type="dxa" w:w="3550"/>
          </w:tcPr>
          <w:p>
            <w:pPr>
              <w:spacing w:after="0"/>
              <w:rPr>
                <w:lang w:val="id-ID"/>
              </w:rPr>
            </w:pPr>
            <w:r>
              <w:rPr>
                <w:rFonts w:ascii="Calibri" w:hAnsi="Calibri" w:eastAsia="Calibri"/>
                <w:b w:val="0"/>
                <w:sz w:val="16"/>
              </w:rPr>
              <w:t>Node-RED dapat berjalan di workstation/lab.</w:t>
            </w:r>
          </w:p>
        </w:tc>
        <w:tc>
          <w:tcPr>
            <w:tcW w:type="dxa" w:w="4260"/>
          </w:tcPr>
          <w:p>
            <w:pPr>
              <w:spacing w:after="0"/>
              <w:rPr>
                <w:lang w:val="id-ID"/>
              </w:rPr>
            </w:pPr>
            <w:r>
              <w:rPr>
                <w:rFonts w:ascii="Calibri" w:hAnsi="Calibri" w:eastAsia="Calibri"/>
                <w:b w:val="0"/>
                <w:sz w:val="16"/>
              </w:rPr>
              <w:t>Butuh OS/dependency freeze, service management, reverse proxy/HTTPS, RBAC, backup/restore, monitoring, retention, dan change control.</w:t>
            </w:r>
          </w:p>
        </w:tc>
      </w:tr>
      <w:tr>
        <w:trPr>
          <w:cantSplit w:val="true"/>
        </w:trPr>
        <w:tc>
          <w:tcPr>
            <w:tcW w:type="dxa" w:w="1550"/>
          </w:tcPr>
          <w:p>
            <w:pPr>
              <w:spacing w:after="0"/>
              <w:rPr>
                <w:lang w:val="id-ID"/>
              </w:rPr>
            </w:pPr>
            <w:r>
              <w:rPr>
                <w:rFonts w:ascii="Calibri" w:hAnsi="Calibri" w:eastAsia="Calibri"/>
                <w:b w:val="0"/>
                <w:sz w:val="16"/>
              </w:rPr>
              <w:t>Hazard</w:t>
            </w:r>
          </w:p>
        </w:tc>
        <w:tc>
          <w:tcPr>
            <w:tcW w:type="dxa" w:w="3550"/>
          </w:tcPr>
          <w:p>
            <w:pPr>
              <w:spacing w:after="0"/>
              <w:rPr>
                <w:lang w:val="id-ID"/>
              </w:rPr>
            </w:pPr>
            <w:r>
              <w:rPr>
                <w:rFonts w:ascii="Calibri" w:hAnsi="Calibri" w:eastAsia="Calibri"/>
                <w:b w:val="0"/>
                <w:sz w:val="16"/>
              </w:rPr>
              <w:t>Bench non-hazardous dengan kontrol lab.</w:t>
            </w:r>
          </w:p>
        </w:tc>
        <w:tc>
          <w:tcPr>
            <w:tcW w:type="dxa" w:w="4260"/>
          </w:tcPr>
          <w:p>
            <w:pPr>
              <w:spacing w:after="0"/>
              <w:rPr>
                <w:lang w:val="id-ID"/>
              </w:rPr>
            </w:pPr>
            <w:r>
              <w:rPr>
                <w:rFonts w:ascii="Calibri" w:hAnsi="Calibri" w:eastAsia="Calibri"/>
                <w:b w:val="0"/>
                <w:sz w:val="16"/>
              </w:rPr>
              <w:t>Titik field mengikuti area-classification dan installation standard; prototype tidak boleh dianggap Ex.</w:t>
            </w:r>
          </w:p>
        </w:tc>
      </w:tr>
      <w:tr>
        <w:trPr>
          <w:cantSplit w:val="true"/>
        </w:trPr>
        <w:tc>
          <w:tcPr>
            <w:tcW w:type="dxa" w:w="1550"/>
          </w:tcPr>
          <w:p>
            <w:pPr>
              <w:spacing w:after="0"/>
              <w:rPr>
                <w:lang w:val="id-ID"/>
              </w:rPr>
            </w:pPr>
            <w:r>
              <w:rPr>
                <w:rFonts w:ascii="Calibri" w:hAnsi="Calibri" w:eastAsia="Calibri"/>
                <w:b w:val="0"/>
                <w:sz w:val="16"/>
              </w:rPr>
              <w:t>Evidence</w:t>
            </w:r>
          </w:p>
        </w:tc>
        <w:tc>
          <w:tcPr>
            <w:tcW w:type="dxa" w:w="3550"/>
          </w:tcPr>
          <w:p>
            <w:pPr>
              <w:spacing w:after="0"/>
              <w:rPr>
                <w:lang w:val="id-ID"/>
              </w:rPr>
            </w:pPr>
            <w:r>
              <w:rPr>
                <w:rFonts w:ascii="Calibri" w:hAnsi="Calibri" w:eastAsia="Calibri"/>
                <w:b w:val="0"/>
                <w:sz w:val="16"/>
              </w:rPr>
              <w:t>Serial/log lokal dapat cukup untuk debug.</w:t>
            </w:r>
          </w:p>
        </w:tc>
        <w:tc>
          <w:tcPr>
            <w:tcW w:type="dxa" w:w="4260"/>
          </w:tcPr>
          <w:p>
            <w:pPr>
              <w:spacing w:after="0"/>
              <w:rPr>
                <w:lang w:val="id-ID"/>
              </w:rPr>
            </w:pPr>
            <w:r>
              <w:rPr>
                <w:rFonts w:ascii="Calibri" w:hAnsi="Calibri" w:eastAsia="Calibri"/>
                <w:b w:val="0"/>
                <w:sz w:val="16"/>
              </w:rPr>
              <w:t>Acceptance memerlukan broker log, revision, timestamp, screenshot, packet/RF/power record, PIC, dan sign-off.</w:t>
            </w:r>
          </w:p>
        </w:tc>
      </w:tr>
    </w:tbl>
    <w:p>
      <w:pPr>
        <w:spacing w:after="0"/>
      </w:pPr>
    </w:p>
    <w:p>
      <w:pPr>
        <w:pStyle w:val="Heading2"/>
        <w:rPr>
          <w:lang w:val="id-ID"/>
        </w:rPr>
      </w:pPr>
      <w:r>
        <w:t>3.3 Peran dan boundary</w:t>
      </w:r>
    </w:p>
    <w:tbl>
      <w:tblPr>
        <w:tblStyle w:val="TableGrid"/>
        <w:tblW w:type="dxa" w:w="9360"/>
        <w:jc w:val="center"/>
        <w:tblLayout w:type="fixed"/>
        <w:tblLook w:firstColumn="1" w:firstRow="1" w:lastColumn="0" w:lastRow="0" w:noHBand="0" w:noVBand="1" w:val="04A0"/>
        <w:tblInd w:w="120" w:type="dxa"/>
      </w:tblPr>
      <w:tblGrid>
        <w:gridCol w:w="1250"/>
        <w:gridCol w:w="2400"/>
        <w:gridCol w:w="3100"/>
        <w:gridCol w:w="2610"/>
      </w:tblGrid>
      <w:tr>
        <w:trPr>
          <w:tblHeader w:val="true"/>
          <w:cantSplit w:val="true"/>
        </w:trPr>
        <w:tc>
          <w:tcPr>
            <w:tcW w:type="dxa" w:w="12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Komponen</w:t>
            </w:r>
          </w:p>
        </w:tc>
        <w:tc>
          <w:tcPr>
            <w:tcW w:type="dxa" w:w="24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Peran</w:t>
            </w:r>
          </w:p>
        </w:tc>
        <w:tc>
          <w:tcPr>
            <w:tcW w:type="dxa" w:w="31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Boundary utama</w:t>
            </w:r>
          </w:p>
        </w:tc>
        <w:tc>
          <w:tcPr>
            <w:tcW w:type="dxa" w:w="261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Jika gagal</w:t>
            </w:r>
          </w:p>
        </w:tc>
      </w:tr>
      <w:tr>
        <w:trPr>
          <w:cantSplit w:val="true"/>
        </w:trPr>
        <w:tc>
          <w:tcPr>
            <w:tcW w:type="dxa" w:w="1250"/>
          </w:tcPr>
          <w:p>
            <w:pPr>
              <w:spacing w:after="0"/>
              <w:rPr>
                <w:lang w:val="id-ID"/>
              </w:rPr>
            </w:pPr>
            <w:r>
              <w:rPr>
                <w:rFonts w:ascii="Calibri" w:hAnsi="Calibri" w:eastAsia="Calibri"/>
                <w:b w:val="0"/>
                <w:sz w:val="16"/>
              </w:rPr>
              <w:t>GLD1</w:t>
            </w:r>
          </w:p>
        </w:tc>
        <w:tc>
          <w:tcPr>
            <w:tcW w:type="dxa" w:w="2400"/>
          </w:tcPr>
          <w:p>
            <w:pPr>
              <w:spacing w:after="0"/>
              <w:rPr>
                <w:lang w:val="id-ID"/>
              </w:rPr>
            </w:pPr>
            <w:r>
              <w:rPr>
                <w:rFonts w:ascii="Calibri" w:hAnsi="Calibri" w:eastAsia="Calibri"/>
                <w:b w:val="0"/>
                <w:sz w:val="16"/>
              </w:rPr>
              <w:t>Sampling multi-sensor, local inference/status/alarm, uplink STAR</w:t>
            </w:r>
          </w:p>
        </w:tc>
        <w:tc>
          <w:tcPr>
            <w:tcW w:type="dxa" w:w="3100"/>
          </w:tcPr>
          <w:p>
            <w:pPr>
              <w:spacing w:after="0"/>
              <w:rPr>
                <w:lang w:val="id-ID"/>
              </w:rPr>
            </w:pPr>
            <w:r>
              <w:rPr>
                <w:rFonts w:ascii="Calibri" w:hAnsi="Calibri" w:eastAsia="Calibri"/>
                <w:b w:val="0"/>
                <w:sz w:val="16"/>
              </w:rPr>
              <w:t>24 V, sensor cartridge, RF, hazardous interface</w:t>
            </w:r>
          </w:p>
        </w:tc>
        <w:tc>
          <w:tcPr>
            <w:tcW w:type="dxa" w:w="2610"/>
          </w:tcPr>
          <w:p>
            <w:pPr>
              <w:spacing w:after="0"/>
              <w:rPr>
                <w:lang w:val="id-ID"/>
              </w:rPr>
            </w:pPr>
            <w:r>
              <w:rPr>
                <w:rFonts w:ascii="Calibri" w:hAnsi="Calibri" w:eastAsia="Calibri"/>
                <w:b w:val="0"/>
                <w:sz w:val="16"/>
              </w:rPr>
              <w:t>Data hilang/invalid; alarm lokal dan status harus fail-safe</w:t>
            </w:r>
          </w:p>
        </w:tc>
      </w:tr>
      <w:tr>
        <w:trPr>
          <w:cantSplit w:val="true"/>
        </w:trPr>
        <w:tc>
          <w:tcPr>
            <w:tcW w:type="dxa" w:w="1250"/>
          </w:tcPr>
          <w:p>
            <w:pPr>
              <w:spacing w:after="0"/>
              <w:rPr>
                <w:lang w:val="id-ID"/>
              </w:rPr>
            </w:pPr>
            <w:r>
              <w:rPr>
                <w:rFonts w:ascii="Calibri" w:hAnsi="Calibri" w:eastAsia="Calibri"/>
                <w:b w:val="0"/>
                <w:sz w:val="16"/>
              </w:rPr>
              <w:t>CH</w:t>
            </w:r>
          </w:p>
        </w:tc>
        <w:tc>
          <w:tcPr>
            <w:tcW w:type="dxa" w:w="2400"/>
          </w:tcPr>
          <w:p>
            <w:pPr>
              <w:spacing w:after="0"/>
              <w:rPr>
                <w:lang w:val="id-ID"/>
              </w:rPr>
            </w:pPr>
            <w:r>
              <w:rPr>
                <w:rFonts w:ascii="Calibri" w:hAnsi="Calibri" w:eastAsia="Calibri"/>
                <w:b w:val="0"/>
                <w:sz w:val="16"/>
              </w:rPr>
              <w:t>Menerima STAR, meneruskan MESH, repeater/aggregation</w:t>
            </w:r>
          </w:p>
        </w:tc>
        <w:tc>
          <w:tcPr>
            <w:tcW w:type="dxa" w:w="3100"/>
          </w:tcPr>
          <w:p>
            <w:pPr>
              <w:spacing w:after="0"/>
              <w:rPr>
                <w:lang w:val="id-ID"/>
              </w:rPr>
            </w:pPr>
            <w:r>
              <w:rPr>
                <w:rFonts w:ascii="Calibri" w:hAnsi="Calibri" w:eastAsia="Calibri"/>
                <w:b w:val="0"/>
                <w:sz w:val="16"/>
              </w:rPr>
              <w:t>Battery/solar, dual RF, mounting/outdoor</w:t>
            </w:r>
          </w:p>
        </w:tc>
        <w:tc>
          <w:tcPr>
            <w:tcW w:type="dxa" w:w="2610"/>
          </w:tcPr>
          <w:p>
            <w:pPr>
              <w:spacing w:after="0"/>
              <w:rPr>
                <w:lang w:val="id-ID"/>
              </w:rPr>
            </w:pPr>
            <w:r>
              <w:rPr>
                <w:rFonts w:ascii="Calibri" w:hAnsi="Calibri" w:eastAsia="Calibri"/>
                <w:b w:val="0"/>
                <w:sz w:val="16"/>
              </w:rPr>
              <w:t>Coverage terputus; queue/retry dan health status diperlukan</w:t>
            </w:r>
          </w:p>
        </w:tc>
      </w:tr>
      <w:tr>
        <w:trPr>
          <w:cantSplit w:val="true"/>
        </w:trPr>
        <w:tc>
          <w:tcPr>
            <w:tcW w:type="dxa" w:w="1250"/>
          </w:tcPr>
          <w:p>
            <w:pPr>
              <w:spacing w:after="0"/>
              <w:rPr>
                <w:lang w:val="id-ID"/>
              </w:rPr>
            </w:pPr>
            <w:r>
              <w:rPr>
                <w:rFonts w:ascii="Calibri" w:hAnsi="Calibri" w:eastAsia="Calibri"/>
                <w:b w:val="0"/>
                <w:sz w:val="16"/>
              </w:rPr>
              <w:t>Gateway</w:t>
            </w:r>
          </w:p>
        </w:tc>
        <w:tc>
          <w:tcPr>
            <w:tcW w:type="dxa" w:w="2400"/>
          </w:tcPr>
          <w:p>
            <w:pPr>
              <w:spacing w:after="0"/>
              <w:rPr>
                <w:lang w:val="id-ID"/>
              </w:rPr>
            </w:pPr>
            <w:r>
              <w:rPr>
                <w:rFonts w:ascii="Calibri" w:hAnsi="Calibri" w:eastAsia="Calibri"/>
                <w:b w:val="0"/>
                <w:sz w:val="16"/>
              </w:rPr>
              <w:t>Bridge MESH ke MQTT/intranet dan downlink</w:t>
            </w:r>
          </w:p>
        </w:tc>
        <w:tc>
          <w:tcPr>
            <w:tcW w:type="dxa" w:w="3100"/>
          </w:tcPr>
          <w:p>
            <w:pPr>
              <w:spacing w:after="0"/>
              <w:rPr>
                <w:lang w:val="id-ID"/>
              </w:rPr>
            </w:pPr>
            <w:r>
              <w:rPr>
                <w:rFonts w:ascii="Calibri" w:hAnsi="Calibri" w:eastAsia="Calibri"/>
                <w:b w:val="0"/>
                <w:sz w:val="16"/>
              </w:rPr>
              <w:t>RF ↔ Wi-Fi/IT trust boundary</w:t>
            </w:r>
          </w:p>
        </w:tc>
        <w:tc>
          <w:tcPr>
            <w:tcW w:type="dxa" w:w="2610"/>
          </w:tcPr>
          <w:p>
            <w:pPr>
              <w:spacing w:after="0"/>
              <w:rPr>
                <w:lang w:val="id-ID"/>
              </w:rPr>
            </w:pPr>
            <w:r>
              <w:rPr>
                <w:rFonts w:ascii="Calibri" w:hAnsi="Calibri" w:eastAsia="Calibri"/>
                <w:b w:val="0"/>
                <w:sz w:val="16"/>
              </w:rPr>
              <w:t>Store/queue terbatas; broker reconnect/drop harus terlihat</w:t>
            </w:r>
          </w:p>
        </w:tc>
      </w:tr>
      <w:tr>
        <w:trPr>
          <w:cantSplit w:val="true"/>
        </w:trPr>
        <w:tc>
          <w:tcPr>
            <w:tcW w:type="dxa" w:w="1250"/>
          </w:tcPr>
          <w:p>
            <w:pPr>
              <w:spacing w:after="0"/>
              <w:rPr>
                <w:lang w:val="id-ID"/>
              </w:rPr>
            </w:pPr>
            <w:r>
              <w:rPr>
                <w:rFonts w:ascii="Calibri" w:hAnsi="Calibri" w:eastAsia="Calibri"/>
                <w:b w:val="0"/>
                <w:sz w:val="16"/>
              </w:rPr>
              <w:t>Broker/server</w:t>
            </w:r>
          </w:p>
        </w:tc>
        <w:tc>
          <w:tcPr>
            <w:tcW w:type="dxa" w:w="2400"/>
          </w:tcPr>
          <w:p>
            <w:pPr>
              <w:spacing w:after="0"/>
              <w:rPr>
                <w:lang w:val="id-ID"/>
              </w:rPr>
            </w:pPr>
            <w:r>
              <w:rPr>
                <w:rFonts w:ascii="Calibri" w:hAnsi="Calibri" w:eastAsia="Calibri"/>
                <w:b w:val="0"/>
                <w:sz w:val="16"/>
              </w:rPr>
              <w:t>Message transport, decode, topology, dashboard, dataset</w:t>
            </w:r>
          </w:p>
        </w:tc>
        <w:tc>
          <w:tcPr>
            <w:tcW w:type="dxa" w:w="3100"/>
          </w:tcPr>
          <w:p>
            <w:pPr>
              <w:spacing w:after="0"/>
              <w:rPr>
                <w:lang w:val="id-ID"/>
              </w:rPr>
            </w:pPr>
            <w:r>
              <w:rPr>
                <w:rFonts w:ascii="Calibri" w:hAnsi="Calibri" w:eastAsia="Calibri"/>
                <w:b w:val="0"/>
                <w:sz w:val="16"/>
              </w:rPr>
              <w:t>OT/IT security, persistence, operator access</w:t>
            </w:r>
          </w:p>
        </w:tc>
        <w:tc>
          <w:tcPr>
            <w:tcW w:type="dxa" w:w="2610"/>
          </w:tcPr>
          <w:p>
            <w:pPr>
              <w:spacing w:after="0"/>
              <w:rPr>
                <w:lang w:val="id-ID"/>
              </w:rPr>
            </w:pPr>
            <w:r>
              <w:rPr>
                <w:rFonts w:ascii="Calibri" w:hAnsi="Calibri" w:eastAsia="Calibri"/>
                <w:b w:val="0"/>
                <w:sz w:val="16"/>
              </w:rPr>
              <w:t>Telemetry/alarm/command dapat tertunda atau hilang; recovery harus diuji</w:t>
            </w:r>
          </w:p>
        </w:tc>
      </w:tr>
      <w:tr>
        <w:trPr>
          <w:cantSplit w:val="true"/>
        </w:trPr>
        <w:tc>
          <w:tcPr>
            <w:tcW w:type="dxa" w:w="1250"/>
          </w:tcPr>
          <w:p>
            <w:pPr>
              <w:spacing w:after="0"/>
              <w:rPr>
                <w:lang w:val="id-ID"/>
              </w:rPr>
            </w:pPr>
            <w:r>
              <w:rPr>
                <w:rFonts w:ascii="Calibri" w:hAnsi="Calibri" w:eastAsia="Calibri"/>
                <w:b w:val="0"/>
                <w:sz w:val="16"/>
              </w:rPr>
              <w:t>Pertamina systems</w:t>
            </w:r>
          </w:p>
        </w:tc>
        <w:tc>
          <w:tcPr>
            <w:tcW w:type="dxa" w:w="2400"/>
          </w:tcPr>
          <w:p>
            <w:pPr>
              <w:spacing w:after="0"/>
              <w:rPr>
                <w:lang w:val="id-ID"/>
              </w:rPr>
            </w:pPr>
            <w:r>
              <w:rPr>
                <w:rFonts w:ascii="Calibri" w:hAnsi="Calibri" w:eastAsia="Calibri"/>
                <w:b w:val="0"/>
                <w:sz w:val="16"/>
              </w:rPr>
              <w:t>Network, site power, HSE, asset/permit, operator</w:t>
            </w:r>
          </w:p>
        </w:tc>
        <w:tc>
          <w:tcPr>
            <w:tcW w:type="dxa" w:w="3100"/>
          </w:tcPr>
          <w:p>
            <w:pPr>
              <w:spacing w:after="0"/>
              <w:rPr>
                <w:lang w:val="id-ID"/>
              </w:rPr>
            </w:pPr>
            <w:r>
              <w:rPr>
                <w:rFonts w:ascii="Calibri" w:hAnsi="Calibri" w:eastAsia="Calibri"/>
                <w:b w:val="0"/>
                <w:sz w:val="16"/>
              </w:rPr>
              <w:t>Ownership dan approval</w:t>
            </w:r>
          </w:p>
        </w:tc>
        <w:tc>
          <w:tcPr>
            <w:tcW w:type="dxa" w:w="2610"/>
          </w:tcPr>
          <w:p>
            <w:pPr>
              <w:spacing w:after="0"/>
              <w:rPr>
                <w:lang w:val="id-ID"/>
              </w:rPr>
            </w:pPr>
            <w:r>
              <w:rPr>
                <w:rFonts w:ascii="Calibri" w:hAnsi="Calibri" w:eastAsia="Calibri"/>
                <w:b w:val="0"/>
                <w:sz w:val="16"/>
              </w:rPr>
              <w:t>Tidak ada site acceptance tanpa keputusan tertulis</w:t>
            </w:r>
          </w:p>
        </w:tc>
      </w:tr>
    </w:tbl>
    <w:p>
      <w:pPr>
        <w:spacing w:after="0"/>
      </w:pPr>
    </w:p>
    <w:p>
      <w:pPr>
        <w:jc w:val="center"/>
      </w:pPr>
      <w:r>
        <w:drawing>
          <wp:inline xmlns:a="http://schemas.openxmlformats.org/drawingml/2006/main" xmlns:pic="http://schemas.openxmlformats.org/drawingml/2006/picture">
            <wp:extent cx="5715000" cy="3673929"/>
            <wp:docPr id="1" name="Picture 1" title="Gateway intranet registration reference" descr="Diagram blok referensi yang menunjukkan Gateway Wi-Fi STA, MAC address, broker/server address, dan destination TCP port pada intranet Pertamina."/>
            <wp:cNvGraphicFramePr>
              <a:graphicFrameLocks noChangeAspect="1"/>
            </wp:cNvGraphicFramePr>
            <a:graphic>
              <a:graphicData uri="http://schemas.openxmlformats.org/drawingml/2006/picture">
                <pic:pic>
                  <pic:nvPicPr>
                    <pic:cNvPr id="0" name="gateway-intranet-registration-block-diagram.png"/>
                    <pic:cNvPicPr/>
                  </pic:nvPicPr>
                  <pic:blipFill>
                    <a:blip r:embed="rId11"/>
                    <a:stretch>
                      <a:fillRect/>
                    </a:stretch>
                  </pic:blipFill>
                  <pic:spPr>
                    <a:xfrm>
                      <a:off x="0" y="0"/>
                      <a:ext cx="5715000" cy="3673929"/>
                    </a:xfrm>
                    <a:prstGeom prst="rect"/>
                  </pic:spPr>
                </pic:pic>
              </a:graphicData>
            </a:graphic>
          </wp:inline>
        </w:drawing>
      </w:r>
    </w:p>
    <w:p>
      <w:pPr>
        <w:pStyle w:val="FigureCaption"/>
        <w:jc w:val="center"/>
        <w:rPr>
          <w:lang w:val="id-ID"/>
        </w:rPr>
      </w:pPr>
      <w:r>
        <w:rPr>
          <w:rFonts w:ascii="Calibri" w:hAnsi="Calibri" w:eastAsia="Calibri"/>
        </w:rPr>
        <w:t>Gambar 1. Diagram referensi onboarding Gateway. Placeholder MAC/host/port harus diganti; port 1884 pada current source adalah bench, bukan keputusan production.</w:t>
      </w:r>
    </w:p>
    <w:p>
      <w:pPr>
        <w:pStyle w:val="Heading1"/>
        <w:pageBreakBefore/>
        <w:rPr>
          <w:lang w:val="id-ID"/>
        </w:rPr>
      </w:pPr>
      <w:r>
        <w:t>4. Datasheet terkendali: GLD1</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FF4CE"/>
          </w:tcPr>
          <w:p>
            <w:pPr>
              <w:spacing w:after="40"/>
              <w:rPr>
                <w:lang w:val="id-ID"/>
              </w:rPr>
            </w:pPr>
            <w:r>
              <w:rPr>
                <w:rFonts w:ascii="Calibri" w:hAnsi="Calibri" w:eastAsia="Calibri"/>
                <w:b/>
                <w:color w:val="9C6500"/>
                <w:sz w:val="20"/>
              </w:rPr>
              <w:t xml:space="preserve">STATUS PRODUK  </w:t>
            </w:r>
            <w:r>
              <w:rPr>
                <w:rFonts w:ascii="Calibri" w:hAnsi="Calibri" w:eastAsia="Calibri"/>
                <w:color w:val="243447"/>
                <w:sz w:val="20"/>
              </w:rPr>
              <w:t>Engineering prototype / source-static. Belum ada bukti build current source, measurement hardware, environmental qualification, hazardous-area certificate, atau field acceptance.</w:t>
            </w:r>
          </w:p>
        </w:tc>
      </w:tr>
    </w:tbl>
    <w:p>
      <w:pPr>
        <w:spacing w:after="0"/>
      </w:pPr>
    </w:p>
    <w:p>
      <w:pPr>
        <w:pStyle w:val="Heading2"/>
        <w:rPr>
          <w:lang w:val="id-ID"/>
        </w:rPr>
      </w:pPr>
      <w:r>
        <w:t>4.1 Ringkasan stakeholder</w:t>
      </w:r>
    </w:p>
    <w:tbl>
      <w:tblPr>
        <w:tblStyle w:val="TableGrid"/>
        <w:tblW w:type="dxa" w:w="9360"/>
        <w:jc w:val="center"/>
        <w:tblLayout w:type="fixed"/>
        <w:tblLook w:firstColumn="1" w:firstRow="1" w:lastColumn="0" w:lastRow="0" w:noHBand="0" w:noVBand="1" w:val="04A0"/>
        <w:tblInd w:w="120" w:type="dxa"/>
      </w:tblPr>
      <w:tblGrid>
        <w:gridCol w:w="1900"/>
        <w:gridCol w:w="4600"/>
        <w:gridCol w:w="2860"/>
      </w:tblGrid>
      <w:tr>
        <w:trPr>
          <w:tblHeader w:val="true"/>
          <w:cantSplit w:val="true"/>
        </w:trPr>
        <w:tc>
          <w:tcPr>
            <w:tcW w:type="dxa" w:w="19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Atribut</w:t>
            </w:r>
          </w:p>
        </w:tc>
        <w:tc>
          <w:tcPr>
            <w:tcW w:type="dxa" w:w="46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Nilai yang dapat diterbitkan</w:t>
            </w:r>
          </w:p>
        </w:tc>
        <w:tc>
          <w:tcPr>
            <w:tcW w:type="dxa" w:w="28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Status/batas</w:t>
            </w:r>
          </w:p>
        </w:tc>
      </w:tr>
      <w:tr>
        <w:trPr>
          <w:cantSplit w:val="true"/>
        </w:trPr>
        <w:tc>
          <w:tcPr>
            <w:tcW w:type="dxa" w:w="1900"/>
          </w:tcPr>
          <w:p>
            <w:pPr>
              <w:spacing w:after="0"/>
              <w:rPr>
                <w:lang w:val="id-ID"/>
              </w:rPr>
            </w:pPr>
            <w:r>
              <w:rPr>
                <w:rFonts w:ascii="Calibri" w:hAnsi="Calibri" w:eastAsia="Calibri"/>
                <w:b w:val="0"/>
                <w:sz w:val="16"/>
              </w:rPr>
              <w:t>Fungsi</w:t>
            </w:r>
          </w:p>
        </w:tc>
        <w:tc>
          <w:tcPr>
            <w:tcW w:type="dxa" w:w="4600"/>
          </w:tcPr>
          <w:p>
            <w:pPr>
              <w:spacing w:after="0"/>
              <w:rPr>
                <w:lang w:val="id-ID"/>
              </w:rPr>
            </w:pPr>
            <w:r>
              <w:rPr>
                <w:rFonts w:ascii="Calibri" w:hAnsi="Calibri" w:eastAsia="Calibri"/>
                <w:b w:val="0"/>
                <w:sz w:val="16"/>
              </w:rPr>
              <w:t>Unit edge multi-gas: membaca sampai 8 kanal MQ melalui front-end analog, menjalankan local processing, alarm/status, dan uplink ke CH.</w:t>
            </w:r>
          </w:p>
        </w:tc>
        <w:tc>
          <w:tcPr>
            <w:tcW w:type="dxa" w:w="2860"/>
          </w:tcPr>
          <w:p>
            <w:pPr>
              <w:spacing w:after="0"/>
              <w:rPr>
                <w:lang w:val="id-ID"/>
              </w:rPr>
            </w:pPr>
            <w:r>
              <w:rPr>
                <w:rFonts w:ascii="Calibri" w:hAnsi="Calibri" w:eastAsia="Calibri"/>
                <w:b w:val="0"/>
                <w:sz w:val="16"/>
              </w:rPr>
              <w:t>CONFIRMED-SOURCE; performa sensing TBD</w:t>
            </w:r>
          </w:p>
        </w:tc>
      </w:tr>
      <w:tr>
        <w:trPr>
          <w:cantSplit w:val="true"/>
        </w:trPr>
        <w:tc>
          <w:tcPr>
            <w:tcW w:type="dxa" w:w="1900"/>
          </w:tcPr>
          <w:p>
            <w:pPr>
              <w:spacing w:after="0"/>
              <w:rPr>
                <w:lang w:val="id-ID"/>
              </w:rPr>
            </w:pPr>
            <w:r>
              <w:rPr>
                <w:rFonts w:ascii="Calibri" w:hAnsi="Calibri" w:eastAsia="Calibri"/>
                <w:b w:val="0"/>
                <w:sz w:val="16"/>
              </w:rPr>
              <w:t>Controller</w:t>
            </w:r>
          </w:p>
        </w:tc>
        <w:tc>
          <w:tcPr>
            <w:tcW w:type="dxa" w:w="4600"/>
          </w:tcPr>
          <w:p>
            <w:pPr>
              <w:spacing w:after="0"/>
              <w:rPr>
                <w:lang w:val="id-ID"/>
              </w:rPr>
            </w:pPr>
            <w:r>
              <w:rPr>
                <w:rFonts w:ascii="Calibri" w:hAnsi="Calibri" w:eastAsia="Calibri"/>
                <w:b w:val="0"/>
                <w:sz w:val="16"/>
              </w:rPr>
              <w:t>ESP32-S3 pada desain/source GLD1.</w:t>
            </w:r>
          </w:p>
        </w:tc>
        <w:tc>
          <w:tcPr>
            <w:tcW w:type="dxa" w:w="2860"/>
          </w:tcPr>
          <w:p>
            <w:pPr>
              <w:spacing w:after="0"/>
              <w:rPr>
                <w:lang w:val="id-ID"/>
              </w:rPr>
            </w:pPr>
            <w:r>
              <w:rPr>
                <w:rFonts w:ascii="Calibri" w:hAnsi="Calibri" w:eastAsia="Calibri"/>
                <w:b w:val="0"/>
                <w:sz w:val="16"/>
              </w:rPr>
              <w:t>Part/source; hardware population TBD</w:t>
            </w:r>
          </w:p>
        </w:tc>
      </w:tr>
      <w:tr>
        <w:trPr>
          <w:cantSplit w:val="true"/>
        </w:trPr>
        <w:tc>
          <w:tcPr>
            <w:tcW w:type="dxa" w:w="1900"/>
          </w:tcPr>
          <w:p>
            <w:pPr>
              <w:spacing w:after="0"/>
              <w:rPr>
                <w:lang w:val="id-ID"/>
              </w:rPr>
            </w:pPr>
            <w:r>
              <w:rPr>
                <w:rFonts w:ascii="Calibri" w:hAnsi="Calibri" w:eastAsia="Calibri"/>
                <w:b w:val="0"/>
                <w:sz w:val="16"/>
              </w:rPr>
              <w:t>Radio</w:t>
            </w:r>
          </w:p>
        </w:tc>
        <w:tc>
          <w:tcPr>
            <w:tcW w:type="dxa" w:w="4600"/>
          </w:tcPr>
          <w:p>
            <w:pPr>
              <w:spacing w:after="0"/>
              <w:rPr>
                <w:lang w:val="id-ID"/>
              </w:rPr>
            </w:pPr>
            <w:r>
              <w:rPr>
                <w:rFonts w:ascii="Calibri" w:hAnsi="Calibri" w:eastAsia="Calibri"/>
                <w:b w:val="0"/>
                <w:sz w:val="16"/>
              </w:rPr>
              <w:t>STAR LoRa 920,0 MHz; BW 125 kHz; SF7; CR 4/5; TX config 17 dBm.</w:t>
            </w:r>
          </w:p>
        </w:tc>
        <w:tc>
          <w:tcPr>
            <w:tcW w:type="dxa" w:w="2860"/>
          </w:tcPr>
          <w:p>
            <w:pPr>
              <w:spacing w:after="0"/>
              <w:rPr>
                <w:lang w:val="id-ID"/>
              </w:rPr>
            </w:pPr>
            <w:r>
              <w:rPr>
                <w:rFonts w:ascii="Calibri" w:hAnsi="Calibri" w:eastAsia="Calibri"/>
                <w:b w:val="0"/>
                <w:sz w:val="16"/>
              </w:rPr>
              <w:t>Current config; bukan RF/regulatory proof</w:t>
            </w:r>
          </w:p>
        </w:tc>
      </w:tr>
      <w:tr>
        <w:trPr>
          <w:cantSplit w:val="true"/>
        </w:trPr>
        <w:tc>
          <w:tcPr>
            <w:tcW w:type="dxa" w:w="1900"/>
          </w:tcPr>
          <w:p>
            <w:pPr>
              <w:spacing w:after="0"/>
              <w:rPr>
                <w:lang w:val="id-ID"/>
              </w:rPr>
            </w:pPr>
            <w:r>
              <w:rPr>
                <w:rFonts w:ascii="Calibri" w:hAnsi="Calibri" w:eastAsia="Calibri"/>
                <w:b w:val="0"/>
                <w:sz w:val="16"/>
              </w:rPr>
              <w:t>Sensor interface</w:t>
            </w:r>
          </w:p>
        </w:tc>
        <w:tc>
          <w:tcPr>
            <w:tcW w:type="dxa" w:w="4600"/>
          </w:tcPr>
          <w:p>
            <w:pPr>
              <w:spacing w:after="0"/>
              <w:rPr>
                <w:lang w:val="id-ID"/>
              </w:rPr>
            </w:pPr>
            <w:r>
              <w:rPr>
                <w:rFonts w:ascii="Calibri" w:hAnsi="Calibri" w:eastAsia="Calibri"/>
                <w:b w:val="0"/>
                <w:sz w:val="16"/>
              </w:rPr>
              <w:t>8 socket MQ; heater setiap socket terhubung langsung ke rail +5 V dan ground.</w:t>
            </w:r>
          </w:p>
        </w:tc>
        <w:tc>
          <w:tcPr>
            <w:tcW w:type="dxa" w:w="2860"/>
          </w:tcPr>
          <w:p>
            <w:pPr>
              <w:spacing w:after="0"/>
              <w:rPr>
                <w:lang w:val="id-ID"/>
              </w:rPr>
            </w:pPr>
            <w:r>
              <w:rPr>
                <w:rFonts w:ascii="Calibri" w:hAnsi="Calibri" w:eastAsia="Calibri"/>
                <w:b w:val="0"/>
                <w:sz w:val="16"/>
              </w:rPr>
              <w:t>Vendor/MPN/lot MQ tidak ditemukan</w:t>
            </w:r>
          </w:p>
        </w:tc>
      </w:tr>
      <w:tr>
        <w:trPr>
          <w:cantSplit w:val="true"/>
        </w:trPr>
        <w:tc>
          <w:tcPr>
            <w:tcW w:type="dxa" w:w="1900"/>
          </w:tcPr>
          <w:p>
            <w:pPr>
              <w:spacing w:after="0"/>
              <w:rPr>
                <w:lang w:val="id-ID"/>
              </w:rPr>
            </w:pPr>
            <w:r>
              <w:rPr>
                <w:rFonts w:ascii="Calibri" w:hAnsi="Calibri" w:eastAsia="Calibri"/>
                <w:b w:val="0"/>
                <w:sz w:val="16"/>
              </w:rPr>
              <w:t>Power</w:t>
            </w:r>
          </w:p>
        </w:tc>
        <w:tc>
          <w:tcPr>
            <w:tcW w:type="dxa" w:w="4600"/>
          </w:tcPr>
          <w:p>
            <w:pPr>
              <w:spacing w:after="0"/>
              <w:rPr>
                <w:lang w:val="id-ID"/>
              </w:rPr>
            </w:pPr>
            <w:r>
              <w:rPr>
                <w:rFonts w:ascii="Calibri" w:hAnsi="Calibri" w:eastAsia="Calibri"/>
                <w:b w:val="0"/>
                <w:sz w:val="16"/>
              </w:rPr>
              <w:t>Input 24 VDC melalui buck ke 5 V dan 3,3 V.</w:t>
            </w:r>
          </w:p>
        </w:tc>
        <w:tc>
          <w:tcPr>
            <w:tcW w:type="dxa" w:w="2860"/>
          </w:tcPr>
          <w:p>
            <w:pPr>
              <w:spacing w:after="0"/>
              <w:rPr>
                <w:lang w:val="id-ID"/>
              </w:rPr>
            </w:pPr>
            <w:r>
              <w:rPr>
                <w:rFonts w:ascii="Calibri" w:hAnsi="Calibri" w:eastAsia="Calibri"/>
                <w:b w:val="0"/>
                <w:sz w:val="16"/>
              </w:rPr>
              <w:t>24 VDC continuous adalah baseline GLD1</w:t>
            </w:r>
          </w:p>
        </w:tc>
      </w:tr>
      <w:tr>
        <w:trPr>
          <w:cantSplit w:val="true"/>
        </w:trPr>
        <w:tc>
          <w:tcPr>
            <w:tcW w:type="dxa" w:w="1900"/>
          </w:tcPr>
          <w:p>
            <w:pPr>
              <w:spacing w:after="0"/>
              <w:rPr>
                <w:lang w:val="id-ID"/>
              </w:rPr>
            </w:pPr>
            <w:r>
              <w:rPr>
                <w:rFonts w:ascii="Calibri" w:hAnsi="Calibri" w:eastAsia="Calibri"/>
                <w:b w:val="0"/>
                <w:sz w:val="16"/>
              </w:rPr>
              <w:t>PSU provisional</w:t>
            </w:r>
          </w:p>
        </w:tc>
        <w:tc>
          <w:tcPr>
            <w:tcW w:type="dxa" w:w="4600"/>
          </w:tcPr>
          <w:p>
            <w:pPr>
              <w:spacing w:after="0"/>
              <w:rPr>
                <w:lang w:val="id-ID"/>
              </w:rPr>
            </w:pPr>
            <w:r>
              <w:rPr>
                <w:rFonts w:ascii="Calibri" w:hAnsi="Calibri" w:eastAsia="Calibri"/>
                <w:b w:val="0"/>
                <w:sz w:val="16"/>
              </w:rPr>
              <w:t>24 VDC/2 A per GLD1, branch-protected.</w:t>
            </w:r>
          </w:p>
        </w:tc>
        <w:tc>
          <w:tcPr>
            <w:tcW w:type="dxa" w:w="2860"/>
          </w:tcPr>
          <w:p>
            <w:pPr>
              <w:spacing w:after="0"/>
              <w:rPr>
                <w:lang w:val="id-ID"/>
              </w:rPr>
            </w:pPr>
            <w:r>
              <w:rPr>
                <w:rFonts w:ascii="Calibri" w:hAnsi="Calibri" w:eastAsia="Calibri"/>
                <w:b w:val="0"/>
                <w:sz w:val="16"/>
              </w:rPr>
              <w:t>PROPOSAL capacity; bukan continuous draw</w:t>
            </w:r>
          </w:p>
        </w:tc>
      </w:tr>
      <w:tr>
        <w:trPr>
          <w:cantSplit w:val="true"/>
        </w:trPr>
        <w:tc>
          <w:tcPr>
            <w:tcW w:type="dxa" w:w="1900"/>
          </w:tcPr>
          <w:p>
            <w:pPr>
              <w:spacing w:after="0"/>
              <w:rPr>
                <w:lang w:val="id-ID"/>
              </w:rPr>
            </w:pPr>
            <w:r>
              <w:rPr>
                <w:rFonts w:ascii="Calibri" w:hAnsi="Calibri" w:eastAsia="Calibri"/>
                <w:b w:val="0"/>
                <w:sz w:val="16"/>
              </w:rPr>
              <w:t>Estimasi board</w:t>
            </w:r>
          </w:p>
        </w:tc>
        <w:tc>
          <w:tcPr>
            <w:tcW w:type="dxa" w:w="4600"/>
          </w:tcPr>
          <w:p>
            <w:pPr>
              <w:spacing w:after="0"/>
              <w:rPr>
                <w:lang w:val="id-ID"/>
              </w:rPr>
            </w:pPr>
            <w:r>
              <w:rPr>
                <w:rFonts w:ascii="Calibri" w:hAnsi="Calibri" w:eastAsia="Calibri"/>
                <w:b w:val="0"/>
                <w:sz w:val="16"/>
              </w:rPr>
              <w:t>Sekitar 0,4–0,8 A pada 24 V setelah margin 25%, tanpa arus alarm/fan eksternal yang belum diketahui.</w:t>
            </w:r>
          </w:p>
        </w:tc>
        <w:tc>
          <w:tcPr>
            <w:tcW w:type="dxa" w:w="2860"/>
          </w:tcPr>
          <w:p>
            <w:pPr>
              <w:spacing w:after="0"/>
              <w:rPr>
                <w:lang w:val="id-ID"/>
              </w:rPr>
            </w:pPr>
            <w:r>
              <w:rPr>
                <w:rFonts w:ascii="Calibri" w:hAnsi="Calibri" w:eastAsia="Calibri"/>
                <w:b w:val="0"/>
                <w:sz w:val="16"/>
              </w:rPr>
              <w:t>DERIVED; wajib ukur</w:t>
            </w:r>
          </w:p>
        </w:tc>
      </w:tr>
      <w:tr>
        <w:trPr>
          <w:cantSplit w:val="true"/>
        </w:trPr>
        <w:tc>
          <w:tcPr>
            <w:tcW w:type="dxa" w:w="1900"/>
          </w:tcPr>
          <w:p>
            <w:pPr>
              <w:spacing w:after="0"/>
              <w:rPr>
                <w:lang w:val="id-ID"/>
              </w:rPr>
            </w:pPr>
            <w:r>
              <w:rPr>
                <w:rFonts w:ascii="Calibri" w:hAnsi="Calibri" w:eastAsia="Calibri"/>
                <w:b w:val="0"/>
                <w:sz w:val="16"/>
              </w:rPr>
              <w:t>Environment</w:t>
            </w:r>
          </w:p>
        </w:tc>
        <w:tc>
          <w:tcPr>
            <w:tcW w:type="dxa" w:w="4600"/>
          </w:tcPr>
          <w:p>
            <w:pPr>
              <w:spacing w:after="0"/>
              <w:rPr>
                <w:lang w:val="id-ID"/>
              </w:rPr>
            </w:pPr>
            <w:r>
              <w:rPr>
                <w:rFonts w:ascii="Calibri" w:hAnsi="Calibri" w:eastAsia="Calibri"/>
                <w:b w:val="0"/>
                <w:sz w:val="16"/>
              </w:rPr>
              <w:t>Outdoor/process-area concept.</w:t>
            </w:r>
          </w:p>
        </w:tc>
        <w:tc>
          <w:tcPr>
            <w:tcW w:type="dxa" w:w="2860"/>
          </w:tcPr>
          <w:p>
            <w:pPr>
              <w:spacing w:after="0"/>
              <w:rPr>
                <w:lang w:val="id-ID"/>
              </w:rPr>
            </w:pPr>
            <w:r>
              <w:rPr>
                <w:rFonts w:ascii="Calibri" w:hAnsi="Calibri" w:eastAsia="Calibri"/>
                <w:b w:val="0"/>
                <w:sz w:val="16"/>
              </w:rPr>
              <w:t>IP/IK, ambient, corrosion, EMC, Ex: TBD/NO-PROOF</w:t>
            </w:r>
          </w:p>
        </w:tc>
      </w:tr>
      <w:tr>
        <w:trPr>
          <w:cantSplit w:val="true"/>
        </w:trPr>
        <w:tc>
          <w:tcPr>
            <w:tcW w:type="dxa" w:w="1900"/>
          </w:tcPr>
          <w:p>
            <w:pPr>
              <w:spacing w:after="0"/>
              <w:rPr>
                <w:lang w:val="id-ID"/>
              </w:rPr>
            </w:pPr>
            <w:r>
              <w:rPr>
                <w:rFonts w:ascii="Calibri" w:hAnsi="Calibri" w:eastAsia="Calibri"/>
                <w:b w:val="0"/>
                <w:sz w:val="16"/>
              </w:rPr>
              <w:t>Mechanical</w:t>
            </w:r>
          </w:p>
        </w:tc>
        <w:tc>
          <w:tcPr>
            <w:tcW w:type="dxa" w:w="4600"/>
          </w:tcPr>
          <w:p>
            <w:pPr>
              <w:spacing w:after="0"/>
              <w:rPr>
                <w:lang w:val="id-ID"/>
              </w:rPr>
            </w:pPr>
            <w:r>
              <w:rPr>
                <w:rFonts w:ascii="Calibri" w:hAnsi="Calibri" w:eastAsia="Calibri"/>
                <w:b w:val="0"/>
                <w:sz w:val="16"/>
              </w:rPr>
              <w:t>Enclosure concept tersedia pada gambar; interface final belum ada.</w:t>
            </w:r>
          </w:p>
        </w:tc>
        <w:tc>
          <w:tcPr>
            <w:tcW w:type="dxa" w:w="2860"/>
          </w:tcPr>
          <w:p>
            <w:pPr>
              <w:spacing w:after="0"/>
              <w:rPr>
                <w:lang w:val="id-ID"/>
              </w:rPr>
            </w:pPr>
            <w:r>
              <w:rPr>
                <w:rFonts w:ascii="Calibri" w:hAnsi="Calibri" w:eastAsia="Calibri"/>
                <w:b w:val="0"/>
                <w:sz w:val="16"/>
              </w:rPr>
              <w:t>Dimensi, weight, material, gland, flamepath, bracket: TBD</w:t>
            </w:r>
          </w:p>
        </w:tc>
      </w:tr>
    </w:tbl>
    <w:p>
      <w:pPr>
        <w:spacing w:after="0"/>
      </w:pPr>
    </w:p>
    <w:p>
      <w:pPr>
        <w:pStyle w:val="Heading2"/>
        <w:rPr>
          <w:lang w:val="id-ID"/>
        </w:rPr>
      </w:pPr>
      <w:r>
        <w:t>4.2 Fakta EasyEDA GLD1</w:t>
      </w:r>
    </w:p>
    <w:p>
      <w:pPr>
        <w:pStyle w:val="ListBullet"/>
        <w:rPr>
          <w:lang w:val="id-ID"/>
        </w:rPr>
      </w:pPr>
      <w:r>
        <w:rPr>
          <w:rFonts w:ascii="Calibri" w:hAnsi="Calibri" w:eastAsia="Calibri"/>
        </w:rPr>
        <w:t>Arsip source-GLD_Project.zip SHA-256 A4A6701719C26434998FF3F834F060A5B1FF8916112C7870DD29AEABD1F1E042.</w:t>
      </w:r>
    </w:p>
    <w:p>
      <w:pPr>
        <w:pStyle w:val="ListBullet"/>
        <w:rPr>
          <w:lang w:val="id-ID"/>
        </w:rPr>
      </w:pPr>
      <w:r>
        <w:rPr>
          <w:rFonts w:ascii="Calibri" w:hAnsi="Calibri" w:eastAsia="Calibri"/>
        </w:rPr>
        <w:t>Sheet_1: 928 shapes, 183 komponen; delapan socket MQ U1/U7/U12/U16/U20/U24/U28/U32, heater ke +5 V dan ground.</w:t>
      </w:r>
    </w:p>
    <w:p>
      <w:pPr>
        <w:pStyle w:val="ListBullet"/>
        <w:rPr>
          <w:lang w:val="id-ID"/>
        </w:rPr>
      </w:pPr>
      <w:r>
        <w:rPr>
          <w:rFonts w:ascii="Calibri" w:hAnsi="Calibri" w:eastAsia="Calibri"/>
        </w:rPr>
        <w:t>Sheet_2: 575 shapes, 99 komponen; input/power, ESP32, LoRa, alarm/fan.</w:t>
      </w:r>
    </w:p>
    <w:p>
      <w:pPr>
        <w:pStyle w:val="ListBullet"/>
        <w:rPr>
          <w:lang w:val="id-ID"/>
        </w:rPr>
      </w:pPr>
      <w:r>
        <w:rPr>
          <w:rFonts w:ascii="Calibri" w:hAnsi="Calibri" w:eastAsia="Calibri"/>
        </w:rPr>
        <w:t>Raw PCB: 281 footprint, 940 pad, 217 net, 28 pad tanpa net.</w:t>
      </w:r>
    </w:p>
    <w:p>
      <w:pPr>
        <w:pStyle w:val="ListBullet"/>
        <w:rPr>
          <w:lang w:val="id-ID"/>
        </w:rPr>
      </w:pPr>
      <w:r>
        <w:rPr>
          <w:rFonts w:ascii="Calibri" w:hAnsi="Calibri" w:eastAsia="Calibri"/>
        </w:rPr>
        <w:t>Power utama: CN2/J1 → F1 → Q3 → U36 LMR51450 → +5 V; U43 TPS62162 → VCC/3,3 V.</w:t>
      </w:r>
    </w:p>
    <w:p>
      <w:pPr>
        <w:pStyle w:val="ListBullet"/>
        <w:rPr>
          <w:lang w:val="id-ID"/>
        </w:rPr>
      </w:pPr>
      <w:r>
        <w:rPr>
          <w:rFonts w:ascii="Calibri" w:hAnsi="Calibri" w:eastAsia="Calibri"/>
        </w:rPr>
        <w:t>ULN2003 dan CN1 menyediakan beban fan/alarm. Current source memaksa fan ON terus pada mode 24 V GLD1; arus fan belum tersedia.</w:t>
      </w:r>
    </w:p>
    <w:p>
      <w:pPr>
        <w:pStyle w:val="Heading2"/>
        <w:rPr>
          <w:lang w:val="id-ID"/>
        </w:rPr>
      </w:pPr>
      <w:r>
        <w:t>4.3 Blocker power-tree GLD1</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CE8E6"/>
          </w:tcPr>
          <w:p>
            <w:pPr>
              <w:spacing w:after="40"/>
              <w:rPr>
                <w:lang w:val="id-ID"/>
              </w:rPr>
            </w:pPr>
            <w:r>
              <w:rPr>
                <w:rFonts w:ascii="Calibri" w:hAnsi="Calibri" w:eastAsia="Calibri"/>
                <w:b/>
                <w:color w:val="C00000"/>
                <w:sz w:val="20"/>
              </w:rPr>
              <w:t xml:space="preserve">BLOCKER GLD1-01  </w:t>
            </w:r>
            <w:r>
              <w:rPr>
                <w:rFonts w:ascii="Calibri" w:hAnsi="Calibri" w:eastAsia="Calibri"/>
                <w:color w:val="243447"/>
                <w:sz w:val="20"/>
              </w:rPr>
              <w:t>F1 GLD1 diberi part MINISMDC260F/16. Datasheet Littelfuse menilai varian ini 16 V; tidak sesuai untuk dianggap protection input 24 V tanpa penggantian/review. Pilih part berating di atas rail dan transient site, lalu validasi koordinasi fuse/TVS/cable.</w:t>
            </w:r>
          </w:p>
        </w:tc>
      </w:tr>
    </w:tbl>
    <w:p>
      <w:pPr>
        <w:spacing w:after="0"/>
      </w:pPr>
    </w:p>
    <w:p>
      <w:pPr>
        <w:pStyle w:val="Heading2"/>
        <w:rPr>
          <w:lang w:val="id-ID"/>
        </w:rPr>
      </w:pPr>
      <w:r>
        <w:t>4.4 Sensor dan batas klaim gas</w:t>
      </w:r>
    </w:p>
    <w:p>
      <w:pPr>
        <w:rPr>
          <w:lang w:val="id-ID"/>
        </w:rPr>
      </w:pPr>
      <w:r>
        <w:rPr>
          <w:rFonts w:ascii="Calibri" w:hAnsi="Calibri" w:eastAsia="Calibri"/>
        </w:rPr>
        <w:t>EasyEDA hanya menyebut MQSocket/header; tidak ada manufacturer, MPN, purchase BOM, lot, calibration certificate, atau foto marking sensor. Nilai Winsen pada laporan ini hanya referensi desain primer untuk sizing—bukan bukti bahwa sensor terpasang adalah Winsen atau varian yang sama.</w:t>
      </w:r>
    </w:p>
    <w:tbl>
      <w:tblPr>
        <w:tblStyle w:val="TableGrid"/>
        <w:tblW w:type="dxa" w:w="9360"/>
        <w:jc w:val="center"/>
        <w:tblLayout w:type="fixed"/>
        <w:tblLook w:firstColumn="1" w:firstRow="1" w:lastColumn="0" w:lastRow="0" w:noHBand="0" w:noVBand="1" w:val="04A0"/>
        <w:tblInd w:w="120" w:type="dxa"/>
      </w:tblPr>
      <w:tblGrid>
        <w:gridCol w:w="2500"/>
        <w:gridCol w:w="3300"/>
        <w:gridCol w:w="3560"/>
      </w:tblGrid>
      <w:tr>
        <w:trPr>
          <w:tblHeader w:val="true"/>
          <w:cantSplit w:val="true"/>
        </w:trPr>
        <w:tc>
          <w:tcPr>
            <w:tcW w:type="dxa" w:w="2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Reference candidate</w:t>
            </w:r>
          </w:p>
        </w:tc>
        <w:tc>
          <w:tcPr>
            <w:tcW w:type="dxa" w:w="33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Heater max menurut vendor</w:t>
            </w:r>
          </w:p>
        </w:tc>
        <w:tc>
          <w:tcPr>
            <w:tcW w:type="dxa" w:w="35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Batas penggunaan</w:t>
            </w:r>
          </w:p>
        </w:tc>
      </w:tr>
      <w:tr>
        <w:trPr>
          <w:cantSplit w:val="true"/>
        </w:trPr>
        <w:tc>
          <w:tcPr>
            <w:tcW w:type="dxa" w:w="2500"/>
          </w:tcPr>
          <w:p>
            <w:pPr>
              <w:spacing w:after="0"/>
              <w:rPr>
                <w:lang w:val="id-ID"/>
              </w:rPr>
            </w:pPr>
            <w:r>
              <w:rPr>
                <w:rFonts w:ascii="Calibri" w:hAnsi="Calibri" w:eastAsia="Calibri"/>
                <w:b w:val="0"/>
                <w:sz w:val="16"/>
              </w:rPr>
              <w:t>MQ-2</w:t>
            </w:r>
          </w:p>
        </w:tc>
        <w:tc>
          <w:tcPr>
            <w:tcW w:type="dxa" w:w="3300"/>
          </w:tcPr>
          <w:p>
            <w:pPr>
              <w:spacing w:after="0"/>
              <w:rPr>
                <w:lang w:val="id-ID"/>
              </w:rPr>
            </w:pPr>
            <w:r>
              <w:rPr>
                <w:rFonts w:ascii="Calibri" w:hAnsi="Calibri" w:eastAsia="Calibri"/>
                <w:b w:val="0"/>
                <w:sz w:val="16"/>
              </w:rPr>
              <w:t>5 V, ≤950 mW</w:t>
            </w:r>
          </w:p>
        </w:tc>
        <w:tc>
          <w:tcPr>
            <w:tcW w:type="dxa" w:w="3560"/>
          </w:tcPr>
          <w:p>
            <w:pPr>
              <w:spacing w:after="0"/>
              <w:rPr>
                <w:lang w:val="id-ID"/>
              </w:rPr>
            </w:pPr>
            <w:r>
              <w:rPr>
                <w:rFonts w:ascii="Calibri" w:hAnsi="Calibri" w:eastAsia="Calibri"/>
                <w:b w:val="0"/>
                <w:sz w:val="16"/>
              </w:rPr>
              <w:t>Reference only</w:t>
            </w:r>
          </w:p>
        </w:tc>
      </w:tr>
      <w:tr>
        <w:trPr>
          <w:cantSplit w:val="true"/>
        </w:trPr>
        <w:tc>
          <w:tcPr>
            <w:tcW w:type="dxa" w:w="2500"/>
          </w:tcPr>
          <w:p>
            <w:pPr>
              <w:spacing w:after="0"/>
              <w:rPr>
                <w:lang w:val="id-ID"/>
              </w:rPr>
            </w:pPr>
            <w:r>
              <w:rPr>
                <w:rFonts w:ascii="Calibri" w:hAnsi="Calibri" w:eastAsia="Calibri"/>
                <w:b w:val="0"/>
                <w:sz w:val="16"/>
              </w:rPr>
              <w:t>MQ-3B</w:t>
            </w:r>
          </w:p>
        </w:tc>
        <w:tc>
          <w:tcPr>
            <w:tcW w:type="dxa" w:w="3300"/>
          </w:tcPr>
          <w:p>
            <w:pPr>
              <w:spacing w:after="0"/>
              <w:rPr>
                <w:lang w:val="id-ID"/>
              </w:rPr>
            </w:pPr>
            <w:r>
              <w:rPr>
                <w:rFonts w:ascii="Calibri" w:hAnsi="Calibri" w:eastAsia="Calibri"/>
                <w:b w:val="0"/>
                <w:sz w:val="16"/>
              </w:rPr>
              <w:t>5 V, ≤900 mW</w:t>
            </w:r>
          </w:p>
        </w:tc>
        <w:tc>
          <w:tcPr>
            <w:tcW w:type="dxa" w:w="3560"/>
          </w:tcPr>
          <w:p>
            <w:pPr>
              <w:spacing w:after="0"/>
              <w:rPr>
                <w:lang w:val="id-ID"/>
              </w:rPr>
            </w:pPr>
            <w:r>
              <w:rPr>
                <w:rFonts w:ascii="Calibri" w:hAnsi="Calibri" w:eastAsia="Calibri"/>
                <w:b w:val="0"/>
                <w:sz w:val="16"/>
              </w:rPr>
              <w:t>Varian B belum terbukti</w:t>
            </w:r>
          </w:p>
        </w:tc>
      </w:tr>
      <w:tr>
        <w:trPr>
          <w:cantSplit w:val="true"/>
        </w:trPr>
        <w:tc>
          <w:tcPr>
            <w:tcW w:type="dxa" w:w="2500"/>
          </w:tcPr>
          <w:p>
            <w:pPr>
              <w:spacing w:after="0"/>
              <w:rPr>
                <w:lang w:val="id-ID"/>
              </w:rPr>
            </w:pPr>
            <w:r>
              <w:rPr>
                <w:rFonts w:ascii="Calibri" w:hAnsi="Calibri" w:eastAsia="Calibri"/>
                <w:b w:val="0"/>
                <w:sz w:val="16"/>
              </w:rPr>
              <w:t>MQ-4</w:t>
            </w:r>
          </w:p>
        </w:tc>
        <w:tc>
          <w:tcPr>
            <w:tcW w:type="dxa" w:w="3300"/>
          </w:tcPr>
          <w:p>
            <w:pPr>
              <w:spacing w:after="0"/>
              <w:rPr>
                <w:lang w:val="id-ID"/>
              </w:rPr>
            </w:pPr>
            <w:r>
              <w:rPr>
                <w:rFonts w:ascii="Calibri" w:hAnsi="Calibri" w:eastAsia="Calibri"/>
                <w:b w:val="0"/>
                <w:sz w:val="16"/>
              </w:rPr>
              <w:t>5 V, ≤950 mW</w:t>
            </w:r>
          </w:p>
        </w:tc>
        <w:tc>
          <w:tcPr>
            <w:tcW w:type="dxa" w:w="3560"/>
          </w:tcPr>
          <w:p>
            <w:pPr>
              <w:spacing w:after="0"/>
              <w:rPr>
                <w:lang w:val="id-ID"/>
              </w:rPr>
            </w:pPr>
            <w:r>
              <w:rPr>
                <w:rFonts w:ascii="Calibri" w:hAnsi="Calibri" w:eastAsia="Calibri"/>
                <w:b w:val="0"/>
                <w:sz w:val="16"/>
              </w:rPr>
              <w:t>Reference only</w:t>
            </w:r>
          </w:p>
        </w:tc>
      </w:tr>
      <w:tr>
        <w:trPr>
          <w:cantSplit w:val="true"/>
        </w:trPr>
        <w:tc>
          <w:tcPr>
            <w:tcW w:type="dxa" w:w="2500"/>
          </w:tcPr>
          <w:p>
            <w:pPr>
              <w:spacing w:after="0"/>
              <w:rPr>
                <w:lang w:val="id-ID"/>
              </w:rPr>
            </w:pPr>
            <w:r>
              <w:rPr>
                <w:rFonts w:ascii="Calibri" w:hAnsi="Calibri" w:eastAsia="Calibri"/>
                <w:b w:val="0"/>
                <w:sz w:val="16"/>
              </w:rPr>
              <w:t>MQ-5</w:t>
            </w:r>
          </w:p>
        </w:tc>
        <w:tc>
          <w:tcPr>
            <w:tcW w:type="dxa" w:w="3300"/>
          </w:tcPr>
          <w:p>
            <w:pPr>
              <w:spacing w:after="0"/>
              <w:rPr>
                <w:lang w:val="id-ID"/>
              </w:rPr>
            </w:pPr>
            <w:r>
              <w:rPr>
                <w:rFonts w:ascii="Calibri" w:hAnsi="Calibri" w:eastAsia="Calibri"/>
                <w:b w:val="0"/>
                <w:sz w:val="16"/>
              </w:rPr>
              <w:t>5 V, ≤950 mW</w:t>
            </w:r>
          </w:p>
        </w:tc>
        <w:tc>
          <w:tcPr>
            <w:tcW w:type="dxa" w:w="3560"/>
          </w:tcPr>
          <w:p>
            <w:pPr>
              <w:spacing w:after="0"/>
              <w:rPr>
                <w:lang w:val="id-ID"/>
              </w:rPr>
            </w:pPr>
            <w:r>
              <w:rPr>
                <w:rFonts w:ascii="Calibri" w:hAnsi="Calibri" w:eastAsia="Calibri"/>
                <w:b w:val="0"/>
                <w:sz w:val="16"/>
              </w:rPr>
              <w:t>Reference only</w:t>
            </w:r>
          </w:p>
        </w:tc>
      </w:tr>
      <w:tr>
        <w:trPr>
          <w:cantSplit w:val="true"/>
        </w:trPr>
        <w:tc>
          <w:tcPr>
            <w:tcW w:type="dxa" w:w="2500"/>
          </w:tcPr>
          <w:p>
            <w:pPr>
              <w:spacing w:after="0"/>
              <w:rPr>
                <w:lang w:val="id-ID"/>
              </w:rPr>
            </w:pPr>
            <w:r>
              <w:rPr>
                <w:rFonts w:ascii="Calibri" w:hAnsi="Calibri" w:eastAsia="Calibri"/>
                <w:b w:val="0"/>
                <w:sz w:val="16"/>
              </w:rPr>
              <w:t>MQ-6</w:t>
            </w:r>
          </w:p>
        </w:tc>
        <w:tc>
          <w:tcPr>
            <w:tcW w:type="dxa" w:w="3300"/>
          </w:tcPr>
          <w:p>
            <w:pPr>
              <w:spacing w:after="0"/>
              <w:rPr>
                <w:lang w:val="id-ID"/>
              </w:rPr>
            </w:pPr>
            <w:r>
              <w:rPr>
                <w:rFonts w:ascii="Calibri" w:hAnsi="Calibri" w:eastAsia="Calibri"/>
                <w:b w:val="0"/>
                <w:sz w:val="16"/>
              </w:rPr>
              <w:t>5 V, ≤950 mW</w:t>
            </w:r>
          </w:p>
        </w:tc>
        <w:tc>
          <w:tcPr>
            <w:tcW w:type="dxa" w:w="3560"/>
          </w:tcPr>
          <w:p>
            <w:pPr>
              <w:spacing w:after="0"/>
              <w:rPr>
                <w:lang w:val="id-ID"/>
              </w:rPr>
            </w:pPr>
            <w:r>
              <w:rPr>
                <w:rFonts w:ascii="Calibri" w:hAnsi="Calibri" w:eastAsia="Calibri"/>
                <w:b w:val="0"/>
                <w:sz w:val="16"/>
              </w:rPr>
              <w:t>Reference only</w:t>
            </w:r>
          </w:p>
        </w:tc>
      </w:tr>
      <w:tr>
        <w:trPr>
          <w:cantSplit w:val="true"/>
        </w:trPr>
        <w:tc>
          <w:tcPr>
            <w:tcW w:type="dxa" w:w="2500"/>
          </w:tcPr>
          <w:p>
            <w:pPr>
              <w:spacing w:after="0"/>
              <w:rPr>
                <w:lang w:val="id-ID"/>
              </w:rPr>
            </w:pPr>
            <w:r>
              <w:rPr>
                <w:rFonts w:ascii="Calibri" w:hAnsi="Calibri" w:eastAsia="Calibri"/>
                <w:b w:val="0"/>
                <w:sz w:val="16"/>
              </w:rPr>
              <w:t>MQ-7B</w:t>
            </w:r>
          </w:p>
        </w:tc>
        <w:tc>
          <w:tcPr>
            <w:tcW w:type="dxa" w:w="3300"/>
          </w:tcPr>
          <w:p>
            <w:pPr>
              <w:spacing w:after="0"/>
              <w:rPr>
                <w:lang w:val="id-ID"/>
              </w:rPr>
            </w:pPr>
            <w:r>
              <w:rPr>
                <w:rFonts w:ascii="Calibri" w:hAnsi="Calibri" w:eastAsia="Calibri"/>
                <w:b w:val="0"/>
                <w:sz w:val="16"/>
              </w:rPr>
              <w:t>5 V high / 1,5 V low, ≤950 mW</w:t>
            </w:r>
          </w:p>
        </w:tc>
        <w:tc>
          <w:tcPr>
            <w:tcW w:type="dxa" w:w="3560"/>
          </w:tcPr>
          <w:p>
            <w:pPr>
              <w:spacing w:after="0"/>
              <w:rPr>
                <w:lang w:val="id-ID"/>
              </w:rPr>
            </w:pPr>
            <w:r>
              <w:rPr>
                <w:rFonts w:ascii="Calibri" w:hAnsi="Calibri" w:eastAsia="Calibri"/>
                <w:b w:val="0"/>
                <w:sz w:val="16"/>
              </w:rPr>
              <w:t>Varian/siklus heater perlu audit</w:t>
            </w:r>
          </w:p>
        </w:tc>
      </w:tr>
      <w:tr>
        <w:trPr>
          <w:cantSplit w:val="true"/>
        </w:trPr>
        <w:tc>
          <w:tcPr>
            <w:tcW w:type="dxa" w:w="2500"/>
          </w:tcPr>
          <w:p>
            <w:pPr>
              <w:spacing w:after="0"/>
              <w:rPr>
                <w:lang w:val="id-ID"/>
              </w:rPr>
            </w:pPr>
            <w:r>
              <w:rPr>
                <w:rFonts w:ascii="Calibri" w:hAnsi="Calibri" w:eastAsia="Calibri"/>
                <w:b w:val="0"/>
                <w:sz w:val="16"/>
              </w:rPr>
              <w:t>MQ-8</w:t>
            </w:r>
          </w:p>
        </w:tc>
        <w:tc>
          <w:tcPr>
            <w:tcW w:type="dxa" w:w="3300"/>
          </w:tcPr>
          <w:p>
            <w:pPr>
              <w:spacing w:after="0"/>
              <w:rPr>
                <w:lang w:val="id-ID"/>
              </w:rPr>
            </w:pPr>
            <w:r>
              <w:rPr>
                <w:rFonts w:ascii="Calibri" w:hAnsi="Calibri" w:eastAsia="Calibri"/>
                <w:b w:val="0"/>
                <w:sz w:val="16"/>
              </w:rPr>
              <w:t>5 V, ≤900 mW</w:t>
            </w:r>
          </w:p>
        </w:tc>
        <w:tc>
          <w:tcPr>
            <w:tcW w:type="dxa" w:w="3560"/>
          </w:tcPr>
          <w:p>
            <w:pPr>
              <w:spacing w:after="0"/>
              <w:rPr>
                <w:lang w:val="id-ID"/>
              </w:rPr>
            </w:pPr>
            <w:r>
              <w:rPr>
                <w:rFonts w:ascii="Calibri" w:hAnsi="Calibri" w:eastAsia="Calibri"/>
                <w:b w:val="0"/>
                <w:sz w:val="16"/>
              </w:rPr>
              <w:t>Reference only</w:t>
            </w:r>
          </w:p>
        </w:tc>
      </w:tr>
      <w:tr>
        <w:trPr>
          <w:cantSplit w:val="true"/>
        </w:trPr>
        <w:tc>
          <w:tcPr>
            <w:tcW w:type="dxa" w:w="2500"/>
          </w:tcPr>
          <w:p>
            <w:pPr>
              <w:spacing w:after="0"/>
              <w:rPr>
                <w:lang w:val="id-ID"/>
              </w:rPr>
            </w:pPr>
            <w:r>
              <w:rPr>
                <w:rFonts w:ascii="Calibri" w:hAnsi="Calibri" w:eastAsia="Calibri"/>
                <w:b w:val="0"/>
                <w:sz w:val="16"/>
              </w:rPr>
              <w:t>MQ135</w:t>
            </w:r>
          </w:p>
        </w:tc>
        <w:tc>
          <w:tcPr>
            <w:tcW w:type="dxa" w:w="3300"/>
          </w:tcPr>
          <w:p>
            <w:pPr>
              <w:spacing w:after="0"/>
              <w:rPr>
                <w:lang w:val="id-ID"/>
              </w:rPr>
            </w:pPr>
            <w:r>
              <w:rPr>
                <w:rFonts w:ascii="Calibri" w:hAnsi="Calibri" w:eastAsia="Calibri"/>
                <w:b w:val="0"/>
                <w:sz w:val="16"/>
              </w:rPr>
              <w:t>5 V, ≤950 mW</w:t>
            </w:r>
          </w:p>
        </w:tc>
        <w:tc>
          <w:tcPr>
            <w:tcW w:type="dxa" w:w="3560"/>
          </w:tcPr>
          <w:p>
            <w:pPr>
              <w:spacing w:after="0"/>
              <w:rPr>
                <w:lang w:val="id-ID"/>
              </w:rPr>
            </w:pPr>
            <w:r>
              <w:rPr>
                <w:rFonts w:ascii="Calibri" w:hAnsi="Calibri" w:eastAsia="Calibri"/>
                <w:b w:val="0"/>
                <w:sz w:val="16"/>
              </w:rPr>
              <w:t>Reference only</w:t>
            </w:r>
          </w:p>
        </w:tc>
      </w:tr>
    </w:tbl>
    <w:p>
      <w:pPr>
        <w:spacing w:after="0"/>
      </w:pPr>
    </w:p>
    <w:p>
      <w:pPr>
        <w:rPr>
          <w:lang w:val="id-ID"/>
        </w:rPr>
      </w:pPr>
      <w:r>
        <w:rPr>
          <w:rFonts w:ascii="Calibri" w:hAnsi="Calibri" w:eastAsia="Calibri"/>
        </w:rPr>
        <w:t>MQ bersifat cross-sensitive. Label ‘target gas’ vendor bukan bukti selectivity atau threshold field. Dataset/chamber plan harus mengontrol gas, concentration, distance, humidity, temperature, background, interferents, exposure/recovery, aging, dan reference instrument. MQ-7 memerlukan heater cycle; current power-path yang sekadar mengaktifkan load switch belum membuktikan rail 1,5 V/cycle yang sesuai.</w:t>
      </w:r>
    </w:p>
    <w:p>
      <w:pPr>
        <w:pStyle w:val="Heading2"/>
        <w:rPr>
          <w:lang w:val="id-ID"/>
        </w:rPr>
      </w:pPr>
      <w:r>
        <w:t>4.5 Bukti visual GLD1</w:t>
      </w:r>
    </w:p>
    <w:p>
      <w:pPr>
        <w:jc w:val="center"/>
      </w:pPr>
      <w:r>
        <w:drawing>
          <wp:inline xmlns:a="http://schemas.openxmlformats.org/drawingml/2006/main" xmlns:pic="http://schemas.openxmlformats.org/drawingml/2006/picture">
            <wp:extent cx="2514600" cy="3884090"/>
            <wp:docPr id="2" name="Picture 2" title="GLD1 enclosure concept" descr="Gambar konsep GLD1 dengan head sensor biru di atas enclosure silinder abu-abu; tidak terlihat Ex marking atau certificate label."/>
            <wp:cNvGraphicFramePr>
              <a:graphicFrameLocks noChangeAspect="1"/>
            </wp:cNvGraphicFramePr>
            <a:graphic>
              <a:graphicData uri="http://schemas.openxmlformats.org/drawingml/2006/picture">
                <pic:pic>
                  <pic:nvPicPr>
                    <pic:cNvPr id="0" name="GLD.png"/>
                    <pic:cNvPicPr/>
                  </pic:nvPicPr>
                  <pic:blipFill>
                    <a:blip r:embed="rId12"/>
                    <a:stretch>
                      <a:fillRect/>
                    </a:stretch>
                  </pic:blipFill>
                  <pic:spPr>
                    <a:xfrm>
                      <a:off x="0" y="0"/>
                      <a:ext cx="2514600" cy="3884090"/>
                    </a:xfrm>
                    <a:prstGeom prst="rect"/>
                  </pic:spPr>
                </pic:pic>
              </a:graphicData>
            </a:graphic>
          </wp:inline>
        </w:drawing>
      </w:r>
    </w:p>
    <w:p>
      <w:pPr>
        <w:pStyle w:val="FigureCaption"/>
        <w:jc w:val="center"/>
        <w:rPr>
          <w:lang w:val="id-ID"/>
        </w:rPr>
      </w:pPr>
      <w:r>
        <w:rPr>
          <w:rFonts w:ascii="Calibri" w:hAnsi="Calibri" w:eastAsia="Calibri"/>
        </w:rPr>
        <w:t>Gambar 2. Konsep bentuk GLD1 dari folder Cilacap. Warna/bentuk tidak membuktikan material, IP/IK, flamepath, gas group, temperature class, EPL, gland, atau sertifikat Ex.</w:t>
      </w:r>
    </w:p>
    <w:p>
      <w:pPr>
        <w:pStyle w:val="Heading1"/>
        <w:pageBreakBefore/>
        <w:rPr>
          <w:lang w:val="id-ID"/>
        </w:rPr>
      </w:pPr>
      <w:r>
        <w:t>5. Keputusan daya GLD1 24 VDC</w:t>
      </w:r>
    </w:p>
    <w:p>
      <w:pPr>
        <w:pStyle w:val="Heading2"/>
        <w:rPr>
          <w:lang w:val="id-ID"/>
        </w:rPr>
      </w:pPr>
      <w:r>
        <w:t>5.1 Jawaban praktis</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E2F0D9"/>
          </w:tcPr>
          <w:p>
            <w:pPr>
              <w:spacing w:after="40"/>
              <w:rPr>
                <w:lang w:val="id-ID"/>
              </w:rPr>
            </w:pPr>
            <w:r>
              <w:rPr>
                <w:rFonts w:ascii="Calibri" w:hAnsi="Calibri" w:eastAsia="Calibri"/>
                <w:b/>
                <w:color w:val="548235"/>
                <w:sz w:val="20"/>
              </w:rPr>
              <w:t xml:space="preserve">REKOMENDASI  </w:t>
            </w:r>
            <w:r>
              <w:rPr>
                <w:rFonts w:ascii="Calibri" w:hAnsi="Calibri" w:eastAsia="Calibri"/>
                <w:color w:val="243447"/>
                <w:sz w:val="20"/>
              </w:rPr>
              <w:t>Gunakan PSU 24 VDC/2 A per GLD1 sebagai kapasitas nameplate provisional. Konsumsi board diperkirakan sekitar 0,4–0,8 A worst-design setelah margin; 2 A bukan arus kontinu. PSU 1 A hanya dapat dipilih setelah FAT, derating, cable-drop, fan/alarm, dan thermal lulus.</w:t>
            </w:r>
          </w:p>
        </w:tc>
      </w:tr>
    </w:tbl>
    <w:p>
      <w:pPr>
        <w:spacing w:after="0"/>
      </w:pPr>
    </w:p>
    <w:p>
      <w:pPr>
        <w:pStyle w:val="Heading2"/>
        <w:rPr>
          <w:lang w:val="id-ID"/>
        </w:rPr>
      </w:pPr>
      <w:r>
        <w:t>5.2 Rumus dan asumsi</w:t>
      </w:r>
    </w:p>
    <w:p>
      <w:pPr>
        <w:rPr>
          <w:lang w:val="id-ID"/>
        </w:rPr>
      </w:pPr>
      <w:r>
        <w:rPr>
          <w:rFonts w:ascii="Calibri" w:hAnsi="Calibri" w:eastAsia="Calibri"/>
        </w:rPr>
        <w:t>Rumus sizing dasar:</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EEF5FB"/>
          </w:tcPr>
          <w:p>
            <w:pPr>
              <w:spacing w:after="40"/>
              <w:rPr>
                <w:lang w:val="id-ID"/>
              </w:rPr>
            </w:pPr>
            <w:r>
              <w:rPr>
                <w:rFonts w:ascii="Calibri" w:hAnsi="Calibri" w:eastAsia="Calibri"/>
                <w:b/>
                <w:color w:val="1F4D78"/>
                <w:sz w:val="20"/>
              </w:rPr>
              <w:t xml:space="preserve">RUMUS  </w:t>
            </w:r>
            <w:r>
              <w:rPr>
                <w:rFonts w:ascii="Calibri" w:hAnsi="Calibri" w:eastAsia="Calibri"/>
                <w:color w:val="243447"/>
                <w:sz w:val="20"/>
              </w:rPr>
              <w:t>I24 = (5 × Iheater,total + Pelektronik,ekuivalen-5V) / (24 × η) + Ibeban-langsung-24V. Laporan memakai allowance elektronik/radio 3 W dan efisiensi buck 0,80–0,90; keduanya asumsi desain, bukan hasil ukur.</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950"/>
        <w:gridCol w:w="2500"/>
        <w:gridCol w:w="2960"/>
        <w:gridCol w:w="1950"/>
      </w:tblGrid>
      <w:tr>
        <w:trPr>
          <w:tblHeader w:val="true"/>
          <w:cantSplit w:val="true"/>
        </w:trPr>
        <w:tc>
          <w:tcPr>
            <w:tcW w:type="dxa" w:w="19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Skenario</w:t>
            </w:r>
          </w:p>
        </w:tc>
        <w:tc>
          <w:tcPr>
            <w:tcW w:type="dxa" w:w="2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Heater</w:t>
            </w:r>
          </w:p>
        </w:tc>
        <w:tc>
          <w:tcPr>
            <w:tcW w:type="dxa" w:w="29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Perhitungan input 24 V</w:t>
            </w:r>
          </w:p>
        </w:tc>
        <w:tc>
          <w:tcPr>
            <w:tcW w:type="dxa" w:w="19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Setelah margin 25%</w:t>
            </w:r>
          </w:p>
        </w:tc>
      </w:tr>
      <w:tr>
        <w:trPr>
          <w:cantSplit w:val="true"/>
        </w:trPr>
        <w:tc>
          <w:tcPr>
            <w:tcW w:type="dxa" w:w="1950"/>
          </w:tcPr>
          <w:p>
            <w:pPr>
              <w:spacing w:after="0"/>
              <w:rPr>
                <w:lang w:val="id-ID"/>
              </w:rPr>
            </w:pPr>
            <w:r>
              <w:rPr>
                <w:rFonts w:ascii="Calibri" w:hAnsi="Calibri" w:eastAsia="Calibri"/>
                <w:b w:val="0"/>
                <w:sz w:val="16"/>
              </w:rPr>
              <w:t>Input user rendah</w:t>
            </w:r>
          </w:p>
        </w:tc>
        <w:tc>
          <w:tcPr>
            <w:tcW w:type="dxa" w:w="2500"/>
          </w:tcPr>
          <w:p>
            <w:pPr>
              <w:spacing w:after="0"/>
              <w:rPr>
                <w:lang w:val="id-ID"/>
              </w:rPr>
            </w:pPr>
            <w:r>
              <w:rPr>
                <w:rFonts w:ascii="Calibri" w:hAnsi="Calibri" w:eastAsia="Calibri"/>
                <w:b w:val="0"/>
                <w:sz w:val="16"/>
              </w:rPr>
              <w:t>8 × 0,1 A @5 V = 4 W</w:t>
            </w:r>
          </w:p>
        </w:tc>
        <w:tc>
          <w:tcPr>
            <w:tcW w:type="dxa" w:w="2960"/>
          </w:tcPr>
          <w:p>
            <w:pPr>
              <w:spacing w:after="0"/>
              <w:rPr>
                <w:lang w:val="id-ID"/>
              </w:rPr>
            </w:pPr>
            <w:r>
              <w:rPr>
                <w:rFonts w:ascii="Calibri" w:hAnsi="Calibri" w:eastAsia="Calibri"/>
                <w:b w:val="0"/>
                <w:sz w:val="16"/>
              </w:rPr>
              <w:t>(4+3)/(24×0,90) = 0,324 A</w:t>
            </w:r>
          </w:p>
        </w:tc>
        <w:tc>
          <w:tcPr>
            <w:tcW w:type="dxa" w:w="1950"/>
          </w:tcPr>
          <w:p>
            <w:pPr>
              <w:spacing w:after="0"/>
              <w:rPr>
                <w:lang w:val="id-ID"/>
              </w:rPr>
            </w:pPr>
            <w:r>
              <w:rPr>
                <w:rFonts w:ascii="Calibri" w:hAnsi="Calibri" w:eastAsia="Calibri"/>
                <w:b w:val="0"/>
                <w:sz w:val="16"/>
              </w:rPr>
              <w:t>0,405 A</w:t>
            </w:r>
          </w:p>
        </w:tc>
      </w:tr>
      <w:tr>
        <w:trPr>
          <w:cantSplit w:val="true"/>
        </w:trPr>
        <w:tc>
          <w:tcPr>
            <w:tcW w:type="dxa" w:w="1950"/>
          </w:tcPr>
          <w:p>
            <w:pPr>
              <w:spacing w:after="0"/>
              <w:rPr>
                <w:lang w:val="id-ID"/>
              </w:rPr>
            </w:pPr>
            <w:r>
              <w:rPr>
                <w:rFonts w:ascii="Calibri" w:hAnsi="Calibri" w:eastAsia="Calibri"/>
                <w:b w:val="0"/>
                <w:sz w:val="16"/>
              </w:rPr>
              <w:t>Input user tinggi</w:t>
            </w:r>
          </w:p>
        </w:tc>
        <w:tc>
          <w:tcPr>
            <w:tcW w:type="dxa" w:w="2500"/>
          </w:tcPr>
          <w:p>
            <w:pPr>
              <w:spacing w:after="0"/>
              <w:rPr>
                <w:lang w:val="id-ID"/>
              </w:rPr>
            </w:pPr>
            <w:r>
              <w:rPr>
                <w:rFonts w:ascii="Calibri" w:hAnsi="Calibri" w:eastAsia="Calibri"/>
                <w:b w:val="0"/>
                <w:sz w:val="16"/>
              </w:rPr>
              <w:t>8 × 0,2 A @5 V = 8 W</w:t>
            </w:r>
          </w:p>
        </w:tc>
        <w:tc>
          <w:tcPr>
            <w:tcW w:type="dxa" w:w="2960"/>
          </w:tcPr>
          <w:p>
            <w:pPr>
              <w:spacing w:after="0"/>
              <w:rPr>
                <w:lang w:val="id-ID"/>
              </w:rPr>
            </w:pPr>
            <w:r>
              <w:rPr>
                <w:rFonts w:ascii="Calibri" w:hAnsi="Calibri" w:eastAsia="Calibri"/>
                <w:b w:val="0"/>
                <w:sz w:val="16"/>
              </w:rPr>
              <w:t>(8+3)/(24×0,80) = 0,573 A</w:t>
            </w:r>
          </w:p>
        </w:tc>
        <w:tc>
          <w:tcPr>
            <w:tcW w:type="dxa" w:w="1950"/>
          </w:tcPr>
          <w:p>
            <w:pPr>
              <w:spacing w:after="0"/>
              <w:rPr>
                <w:lang w:val="id-ID"/>
              </w:rPr>
            </w:pPr>
            <w:r>
              <w:rPr>
                <w:rFonts w:ascii="Calibri" w:hAnsi="Calibri" w:eastAsia="Calibri"/>
                <w:b w:val="0"/>
                <w:sz w:val="16"/>
              </w:rPr>
              <w:t>0,716 A</w:t>
            </w:r>
          </w:p>
        </w:tc>
      </w:tr>
      <w:tr>
        <w:trPr>
          <w:cantSplit w:val="true"/>
        </w:trPr>
        <w:tc>
          <w:tcPr>
            <w:tcW w:type="dxa" w:w="1950"/>
          </w:tcPr>
          <w:p>
            <w:pPr>
              <w:spacing w:after="0"/>
              <w:rPr>
                <w:lang w:val="id-ID"/>
              </w:rPr>
            </w:pPr>
            <w:r>
              <w:rPr>
                <w:rFonts w:ascii="Calibri" w:hAnsi="Calibri" w:eastAsia="Calibri"/>
                <w:b w:val="0"/>
                <w:sz w:val="16"/>
              </w:rPr>
              <w:t>Datasheet steady</w:t>
            </w:r>
          </w:p>
        </w:tc>
        <w:tc>
          <w:tcPr>
            <w:tcW w:type="dxa" w:w="2500"/>
          </w:tcPr>
          <w:p>
            <w:pPr>
              <w:spacing w:after="0"/>
              <w:rPr>
                <w:lang w:val="id-ID"/>
              </w:rPr>
            </w:pPr>
            <w:r>
              <w:rPr>
                <w:rFonts w:ascii="Calibri" w:hAnsi="Calibri" w:eastAsia="Calibri"/>
                <w:b w:val="0"/>
                <w:sz w:val="16"/>
              </w:rPr>
              <w:t>≈7,6 W</w:t>
            </w:r>
          </w:p>
        </w:tc>
        <w:tc>
          <w:tcPr>
            <w:tcW w:type="dxa" w:w="2960"/>
          </w:tcPr>
          <w:p>
            <w:pPr>
              <w:spacing w:after="0"/>
              <w:rPr>
                <w:lang w:val="id-ID"/>
              </w:rPr>
            </w:pPr>
            <w:r>
              <w:rPr>
                <w:rFonts w:ascii="Calibri" w:hAnsi="Calibri" w:eastAsia="Calibri"/>
                <w:b w:val="0"/>
                <w:sz w:val="16"/>
              </w:rPr>
              <w:t>(7,6+3)/(24×0,80) = 0,552 A</w:t>
            </w:r>
          </w:p>
        </w:tc>
        <w:tc>
          <w:tcPr>
            <w:tcW w:type="dxa" w:w="1950"/>
          </w:tcPr>
          <w:p>
            <w:pPr>
              <w:spacing w:after="0"/>
              <w:rPr>
                <w:lang w:val="id-ID"/>
              </w:rPr>
            </w:pPr>
            <w:r>
              <w:rPr>
                <w:rFonts w:ascii="Calibri" w:hAnsi="Calibri" w:eastAsia="Calibri"/>
                <w:b w:val="0"/>
                <w:sz w:val="16"/>
              </w:rPr>
              <w:t>0,69 A</w:t>
            </w:r>
          </w:p>
        </w:tc>
      </w:tr>
      <w:tr>
        <w:trPr>
          <w:cantSplit w:val="true"/>
        </w:trPr>
        <w:tc>
          <w:tcPr>
            <w:tcW w:type="dxa" w:w="1950"/>
          </w:tcPr>
          <w:p>
            <w:pPr>
              <w:spacing w:after="0"/>
              <w:rPr>
                <w:lang w:val="id-ID"/>
              </w:rPr>
            </w:pPr>
            <w:r>
              <w:rPr>
                <w:rFonts w:ascii="Calibri" w:hAnsi="Calibri" w:eastAsia="Calibri"/>
                <w:b w:val="0"/>
                <w:sz w:val="16"/>
              </w:rPr>
              <w:t>Cold design envelope</w:t>
            </w:r>
          </w:p>
        </w:tc>
        <w:tc>
          <w:tcPr>
            <w:tcW w:type="dxa" w:w="2500"/>
          </w:tcPr>
          <w:p>
            <w:pPr>
              <w:spacing w:after="0"/>
              <w:rPr>
                <w:lang w:val="id-ID"/>
              </w:rPr>
            </w:pPr>
            <w:r>
              <w:rPr>
                <w:rFonts w:ascii="Calibri" w:hAnsi="Calibri" w:eastAsia="Calibri"/>
                <w:b w:val="0"/>
                <w:sz w:val="16"/>
              </w:rPr>
              <w:t>≈9 W</w:t>
            </w:r>
          </w:p>
        </w:tc>
        <w:tc>
          <w:tcPr>
            <w:tcW w:type="dxa" w:w="2960"/>
          </w:tcPr>
          <w:p>
            <w:pPr>
              <w:spacing w:after="0"/>
              <w:rPr>
                <w:lang w:val="id-ID"/>
              </w:rPr>
            </w:pPr>
            <w:r>
              <w:rPr>
                <w:rFonts w:ascii="Calibri" w:hAnsi="Calibri" w:eastAsia="Calibri"/>
                <w:b w:val="0"/>
                <w:sz w:val="16"/>
              </w:rPr>
              <w:t>(9+3)/(24×0,80) = 0,625 A</w:t>
            </w:r>
          </w:p>
        </w:tc>
        <w:tc>
          <w:tcPr>
            <w:tcW w:type="dxa" w:w="1950"/>
          </w:tcPr>
          <w:p>
            <w:pPr>
              <w:spacing w:after="0"/>
              <w:rPr>
                <w:lang w:val="id-ID"/>
              </w:rPr>
            </w:pPr>
            <w:r>
              <w:rPr>
                <w:rFonts w:ascii="Calibri" w:hAnsi="Calibri" w:eastAsia="Calibri"/>
                <w:b w:val="0"/>
                <w:sz w:val="16"/>
              </w:rPr>
              <w:t>0,78 A</w:t>
            </w:r>
          </w:p>
        </w:tc>
      </w:tr>
    </w:tbl>
    <w:p>
      <w:pPr>
        <w:spacing w:after="0"/>
      </w:pPr>
    </w:p>
    <w:p>
      <w:pPr>
        <w:rPr>
          <w:lang w:val="id-ID"/>
        </w:rPr>
      </w:pPr>
      <w:r>
        <w:rPr>
          <w:rFonts w:ascii="Calibri" w:hAnsi="Calibri" w:eastAsia="Calibri"/>
        </w:rPr>
        <w:t>Delapan heater candidate pada batas 0,9–0,95 W memberi sekitar 7,5–7,6 W steady. Envelope 8–9 W cold-start masih masuk akal dari resistance minimum, tetapi harus ditangkap dengan instrument bandwidth memadai. LMR51450 berating IC 36 V/5 A; rating IC tidak membuktikan PCB, inductor, connector, enclosure, dan thermal sanggup 5 A.</w:t>
      </w:r>
    </w:p>
    <w:p>
      <w:pPr>
        <w:pStyle w:val="Heading2"/>
        <w:rPr>
          <w:lang w:val="id-ID"/>
        </w:rPr>
      </w:pPr>
      <w:r>
        <w:t>5.3 Kenapa 2 A tetap rasional</w:t>
      </w:r>
    </w:p>
    <w:p>
      <w:pPr>
        <w:pStyle w:val="ListBullet"/>
        <w:rPr>
          <w:lang w:val="id-ID"/>
        </w:rPr>
      </w:pPr>
      <w:r>
        <w:rPr>
          <w:rFonts w:ascii="Calibri" w:hAnsi="Calibri" w:eastAsia="Calibri"/>
        </w:rPr>
        <w:t>Memberi headroom cold heater/inrush dan load-step LoRa/ESP32.</w:t>
      </w:r>
    </w:p>
    <w:p>
      <w:pPr>
        <w:pStyle w:val="ListBullet"/>
        <w:rPr>
          <w:lang w:val="id-ID"/>
        </w:rPr>
      </w:pPr>
      <w:r>
        <w:rPr>
          <w:rFonts w:ascii="Calibri" w:hAnsi="Calibri" w:eastAsia="Calibri"/>
        </w:rPr>
        <w:t>Menanggung derating ambient dan thermal enclosure.</w:t>
      </w:r>
    </w:p>
    <w:p>
      <w:pPr>
        <w:pStyle w:val="ListBullet"/>
        <w:rPr>
          <w:lang w:val="id-ID"/>
        </w:rPr>
      </w:pPr>
      <w:r>
        <w:rPr>
          <w:rFonts w:ascii="Calibri" w:hAnsi="Calibri" w:eastAsia="Calibri"/>
        </w:rPr>
        <w:t>Mengurangi risiko cable/connector voltage drop pada route site yang belum diketahui.</w:t>
      </w:r>
    </w:p>
    <w:p>
      <w:pPr>
        <w:pStyle w:val="ListBullet"/>
        <w:rPr>
          <w:lang w:val="id-ID"/>
        </w:rPr>
      </w:pPr>
      <w:r>
        <w:rPr>
          <w:rFonts w:ascii="Calibri" w:hAnsi="Calibri" w:eastAsia="Calibri"/>
        </w:rPr>
        <w:t>Menyediakan kapasitas untuk fan/alarm GLD1 yang arusnya belum tersedia.</w:t>
      </w:r>
    </w:p>
    <w:p>
      <w:pPr>
        <w:pStyle w:val="ListBullet"/>
        <w:rPr>
          <w:lang w:val="id-ID"/>
        </w:rPr>
      </w:pPr>
      <w:r>
        <w:rPr>
          <w:rFonts w:ascii="Calibri" w:hAnsi="Calibri" w:eastAsia="Calibri"/>
        </w:rPr>
        <w:t>Menjaga operasi di bawah sekitar 80% rating setelah derating sebagai acceptance target provisional.</w:t>
      </w:r>
    </w:p>
    <w:p>
      <w:pPr>
        <w:pStyle w:val="ListBullet"/>
        <w:rPr>
          <w:lang w:val="id-ID"/>
        </w:rPr>
      </w:pPr>
      <w:r>
        <w:rPr>
          <w:rFonts w:ascii="Calibri" w:hAnsi="Calibri" w:eastAsia="Calibri"/>
        </w:rPr>
        <w:t>Memudahkan procurement standardization tanpa menyatakan konsumsi 48 W.</w:t>
      </w:r>
    </w:p>
    <w:p>
      <w:pPr>
        <w:pStyle w:val="Heading2"/>
        <w:rPr>
          <w:lang w:val="id-ID"/>
        </w:rPr>
      </w:pPr>
      <w:r>
        <w:t>5.4 Input daya site yang harus diklarifikasi</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val="true"/>
        </w:trPr>
        <w:tc>
          <w:tcPr>
            <w:tcW w:type="dxa" w:w="23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Item</w:t>
            </w:r>
          </w:p>
        </w:tc>
        <w:tc>
          <w:tcPr>
            <w:tcW w:type="dxa" w:w="70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Kebutuhan keputusan</w:t>
            </w:r>
          </w:p>
        </w:tc>
      </w:tr>
      <w:tr>
        <w:trPr>
          <w:cantSplit w:val="true"/>
        </w:trPr>
        <w:tc>
          <w:tcPr>
            <w:tcW w:type="dxa" w:w="2300"/>
          </w:tcPr>
          <w:p>
            <w:pPr>
              <w:spacing w:after="0"/>
              <w:rPr>
                <w:lang w:val="id-ID"/>
              </w:rPr>
            </w:pPr>
            <w:r>
              <w:rPr>
                <w:rFonts w:ascii="Calibri" w:hAnsi="Calibri" w:eastAsia="Calibri"/>
                <w:b/>
                <w:sz w:val="18"/>
              </w:rPr>
              <w:t>‘110VA → 24VDC’</w:t>
            </w:r>
          </w:p>
        </w:tc>
        <w:tc>
          <w:tcPr>
            <w:tcW w:type="dxa" w:w="7060"/>
          </w:tcPr>
          <w:p>
            <w:pPr>
              <w:spacing w:after="0"/>
              <w:rPr>
                <w:lang w:val="id-ID"/>
              </w:rPr>
            </w:pPr>
            <w:r>
              <w:rPr>
                <w:rFonts w:ascii="Calibri" w:hAnsi="Calibri" w:eastAsia="Calibri"/>
                <w:b w:val="0"/>
                <w:sz w:val="18"/>
              </w:rPr>
              <w:t>Kemungkinan maksudnya 110 VAC, bukan 110 VA. Konfirmasi voltage, frequency, phase, earthing, panel source, available current, breaker, dan UPS/emergency source.</w:t>
            </w:r>
          </w:p>
        </w:tc>
      </w:tr>
      <w:tr>
        <w:trPr>
          <w:cantSplit w:val="true"/>
        </w:trPr>
        <w:tc>
          <w:tcPr>
            <w:tcW w:type="dxa" w:w="2300"/>
          </w:tcPr>
          <w:p>
            <w:pPr>
              <w:spacing w:after="0"/>
              <w:rPr>
                <w:lang w:val="id-ID"/>
              </w:rPr>
            </w:pPr>
            <w:r>
              <w:rPr>
                <w:rFonts w:ascii="Calibri" w:hAnsi="Calibri" w:eastAsia="Calibri"/>
                <w:b/>
                <w:sz w:val="18"/>
              </w:rPr>
              <w:t>PSU</w:t>
            </w:r>
          </w:p>
        </w:tc>
        <w:tc>
          <w:tcPr>
            <w:tcW w:type="dxa" w:w="7060"/>
          </w:tcPr>
          <w:p>
            <w:pPr>
              <w:spacing w:after="0"/>
              <w:rPr>
                <w:lang w:val="id-ID"/>
              </w:rPr>
            </w:pPr>
            <w:r>
              <w:rPr>
                <w:rFonts w:ascii="Calibri" w:hAnsi="Calibri" w:eastAsia="Calibri"/>
                <w:b w:val="0"/>
                <w:sz w:val="18"/>
              </w:rPr>
              <w:t>Gunakan industrial isolated PSU dalam lokasi/panel yang disetujui; input/output protection, derating curve, EMC/surge, terminal, certification, dan temperature rating harus masuk BOM.</w:t>
            </w:r>
          </w:p>
        </w:tc>
      </w:tr>
      <w:tr>
        <w:trPr>
          <w:cantSplit w:val="true"/>
        </w:trPr>
        <w:tc>
          <w:tcPr>
            <w:tcW w:type="dxa" w:w="2300"/>
          </w:tcPr>
          <w:p>
            <w:pPr>
              <w:spacing w:after="0"/>
              <w:rPr>
                <w:lang w:val="id-ID"/>
              </w:rPr>
            </w:pPr>
            <w:r>
              <w:rPr>
                <w:rFonts w:ascii="Calibri" w:hAnsi="Calibri" w:eastAsia="Calibri"/>
                <w:b/>
                <w:sz w:val="18"/>
              </w:rPr>
              <w:t>Cable</w:t>
            </w:r>
          </w:p>
        </w:tc>
        <w:tc>
          <w:tcPr>
            <w:tcW w:type="dxa" w:w="7060"/>
          </w:tcPr>
          <w:p>
            <w:pPr>
              <w:spacing w:after="0"/>
              <w:rPr>
                <w:lang w:val="id-ID"/>
              </w:rPr>
            </w:pPr>
            <w:r>
              <w:rPr>
                <w:rFonts w:ascii="Calibri" w:hAnsi="Calibri" w:eastAsia="Calibri"/>
                <w:b w:val="0"/>
                <w:sz w:val="18"/>
              </w:rPr>
              <w:t>Butuh length, conductor area, material, ambient, grouping, gland, armor/shield, permissible drop, and short-circuit protection. Hitung Vdrop dua arah dan ukur di terminal J1 saat full load.</w:t>
            </w:r>
          </w:p>
        </w:tc>
      </w:tr>
      <w:tr>
        <w:trPr>
          <w:cantSplit w:val="true"/>
        </w:trPr>
        <w:tc>
          <w:tcPr>
            <w:tcW w:type="dxa" w:w="2300"/>
          </w:tcPr>
          <w:p>
            <w:pPr>
              <w:spacing w:after="0"/>
              <w:rPr>
                <w:lang w:val="id-ID"/>
              </w:rPr>
            </w:pPr>
            <w:r>
              <w:rPr>
                <w:rFonts w:ascii="Calibri" w:hAnsi="Calibri" w:eastAsia="Calibri"/>
                <w:b/>
                <w:sz w:val="18"/>
              </w:rPr>
              <w:t>Grounding</w:t>
            </w:r>
          </w:p>
        </w:tc>
        <w:tc>
          <w:tcPr>
            <w:tcW w:type="dxa" w:w="7060"/>
          </w:tcPr>
          <w:p>
            <w:pPr>
              <w:spacing w:after="0"/>
              <w:rPr>
                <w:lang w:val="id-ID"/>
              </w:rPr>
            </w:pPr>
            <w:r>
              <w:rPr>
                <w:rFonts w:ascii="Calibri" w:hAnsi="Calibri" w:eastAsia="Calibri"/>
                <w:b w:val="0"/>
                <w:sz w:val="18"/>
              </w:rPr>
              <w:t>Tentukan PE, functional ground/shield termination, bonding enclosure, surge path, dan separation dengan IS/non-IS circuit bila relevan.</w:t>
            </w:r>
          </w:p>
        </w:tc>
      </w:tr>
      <w:tr>
        <w:trPr>
          <w:cantSplit w:val="true"/>
        </w:trPr>
        <w:tc>
          <w:tcPr>
            <w:tcW w:type="dxa" w:w="2300"/>
          </w:tcPr>
          <w:p>
            <w:pPr>
              <w:spacing w:after="0"/>
              <w:rPr>
                <w:lang w:val="id-ID"/>
              </w:rPr>
            </w:pPr>
            <w:r>
              <w:rPr>
                <w:rFonts w:ascii="Calibri" w:hAnsi="Calibri" w:eastAsia="Calibri"/>
                <w:b/>
                <w:sz w:val="18"/>
              </w:rPr>
              <w:t>Battery</w:t>
            </w:r>
          </w:p>
        </w:tc>
        <w:tc>
          <w:tcPr>
            <w:tcW w:type="dxa" w:w="7060"/>
          </w:tcPr>
          <w:p>
            <w:pPr>
              <w:spacing w:after="0"/>
              <w:rPr>
                <w:lang w:val="id-ID"/>
              </w:rPr>
            </w:pPr>
            <w:r>
              <w:rPr>
                <w:rFonts w:ascii="Calibri" w:hAnsi="Calibri" w:eastAsia="Calibri"/>
                <w:b w:val="0"/>
                <w:sz w:val="18"/>
              </w:rPr>
              <w:t>Tidak direkomendasikan untuk GLD1 continuous saat ini karena heater/preheat. Tetap R&amp;D sampai energy profile dan calibration stability terbukti.</w:t>
            </w:r>
          </w:p>
        </w:tc>
      </w:tr>
    </w:tbl>
    <w:p>
      <w:pPr>
        <w:spacing w:after="0"/>
      </w:pPr>
    </w:p>
    <w:p>
      <w:pPr>
        <w:pStyle w:val="Heading2"/>
        <w:rPr>
          <w:lang w:val="id-ID"/>
        </w:rPr>
      </w:pPr>
      <w:r>
        <w:t>5.5 FAT power minimum</w:t>
      </w:r>
    </w:p>
    <w:p>
      <w:pPr>
        <w:pStyle w:val="ListNumber"/>
        <w:numPr>
          <w:ilvl w:val="0"/>
          <w:numId w:val="12"/>
        </w:numPr>
        <w:rPr>
          <w:lang w:val="id-ID"/>
        </w:rPr>
      </w:pPr>
      <w:r>
        <w:rPr>
          <w:rFonts w:ascii="Calibri" w:hAnsi="Calibri" w:eastAsia="Calibri"/>
        </w:rPr>
        <w:t>Catat manufacturer/MPN/lot delapan MQ; ukur resistance heater saat dingin.</w:t>
      </w:r>
    </w:p>
    <w:p>
      <w:pPr>
        <w:pStyle w:val="ListNumber"/>
        <w:numPr>
          <w:ilvl w:val="0"/>
          <w:numId w:val="12"/>
        </w:numPr>
        <w:rPr>
          <w:lang w:val="id-ID"/>
        </w:rPr>
      </w:pPr>
      <w:r>
        <w:rPr>
          <w:rFonts w:ascii="Calibri" w:hAnsi="Calibri" w:eastAsia="Calibri"/>
        </w:rPr>
        <w:t>Log serempak output PSU, terminal input GLD1, rail +5 V, rail 3,3 V, dan heater tiap socket MQ.</w:t>
      </w:r>
    </w:p>
    <w:p>
      <w:pPr>
        <w:pStyle w:val="ListNumber"/>
        <w:numPr>
          <w:ilvl w:val="0"/>
          <w:numId w:val="12"/>
        </w:numPr>
        <w:rPr>
          <w:lang w:val="id-ID"/>
        </w:rPr>
      </w:pPr>
      <w:r>
        <w:rPr>
          <w:rFonts w:ascii="Calibri" w:hAnsi="Calibri" w:eastAsia="Calibri"/>
        </w:rPr>
        <w:t>Lakukan ≥20 cold-start setelah OFF ≥30 menit; record 0 s, 1 s, 10 s, 1/5/10/30/60/120 menit.</w:t>
      </w:r>
    </w:p>
    <w:p>
      <w:pPr>
        <w:pStyle w:val="ListNumber"/>
        <w:numPr>
          <w:ilvl w:val="0"/>
          <w:numId w:val="12"/>
        </w:numPr>
        <w:rPr>
          <w:lang w:val="id-ID"/>
        </w:rPr>
      </w:pPr>
      <w:r>
        <w:rPr>
          <w:rFonts w:ascii="Calibri" w:hAnsi="Calibri" w:eastAsia="Calibri"/>
        </w:rPr>
        <w:t>Stress all-heater, LoRa TX maksimum, RS485, LED, alarm, dan fan bila ada.</w:t>
      </w:r>
    </w:p>
    <w:p>
      <w:pPr>
        <w:pStyle w:val="ListNumber"/>
        <w:numPr>
          <w:ilvl w:val="0"/>
          <w:numId w:val="12"/>
        </w:numPr>
        <w:rPr>
          <w:lang w:val="id-ID"/>
        </w:rPr>
      </w:pPr>
      <w:r>
        <w:rPr>
          <w:rFonts w:ascii="Calibri" w:hAnsi="Calibri" w:eastAsia="Calibri"/>
        </w:rPr>
        <w:t>Target heater terjauh 4,9–5,1 V termasuk saat TX/alarm; final tolerance mengikuti MPN aktual.</w:t>
      </w:r>
    </w:p>
    <w:p>
      <w:pPr>
        <w:pStyle w:val="ListNumber"/>
        <w:numPr>
          <w:ilvl w:val="0"/>
          <w:numId w:val="12"/>
        </w:numPr>
        <w:rPr>
          <w:lang w:val="id-ID"/>
        </w:rPr>
      </w:pPr>
      <w:r>
        <w:rPr>
          <w:rFonts w:ascii="Calibri" w:hAnsi="Calibri" w:eastAsia="Calibri"/>
        </w:rPr>
        <w:t>Simulasikan kabel terpanjang/gauge aktual dan closed enclosure pada ambient desain; ukur hotspot.</w:t>
      </w:r>
    </w:p>
    <w:p>
      <w:pPr>
        <w:pStyle w:val="ListNumber"/>
        <w:numPr>
          <w:ilvl w:val="0"/>
          <w:numId w:val="12"/>
        </w:numPr>
        <w:rPr>
          <w:lang w:val="id-ID"/>
        </w:rPr>
      </w:pPr>
      <w:r>
        <w:rPr>
          <w:rFonts w:ascii="Calibri" w:hAnsi="Calibri" w:eastAsia="Calibri"/>
        </w:rPr>
        <w:t>Pass bila tidak ada current-limit, brownout/reset, rail out-of-limit, dan worst steady ≤80% rating setelah derating; T-class/certificate menetapkan thermal limit final.</w:t>
      </w:r>
    </w:p>
    <w:p>
      <w:pPr>
        <w:pStyle w:val="ListNumber"/>
        <w:numPr>
          <w:ilvl w:val="0"/>
          <w:numId w:val="12"/>
        </w:numPr>
        <w:rPr>
          <w:lang w:val="id-ID"/>
        </w:rPr>
      </w:pPr>
      <w:r>
        <w:rPr>
          <w:rFonts w:ascii="Calibri" w:hAnsi="Calibri" w:eastAsia="Calibri"/>
        </w:rPr>
        <w:t>Ganti/validasi F1 untuk input 24 V sebelum field acceptance.</w:t>
      </w:r>
    </w:p>
    <w:p>
      <w:pPr>
        <w:pStyle w:val="Heading1"/>
        <w:pageBreakBefore/>
        <w:rPr>
          <w:lang w:val="id-ID"/>
        </w:rPr>
      </w:pPr>
      <w:r>
        <w:t>6. Datasheet terkendali: CH</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FF4CE"/>
          </w:tcPr>
          <w:p>
            <w:pPr>
              <w:spacing w:after="40"/>
              <w:rPr>
                <w:lang w:val="id-ID"/>
              </w:rPr>
            </w:pPr>
            <w:r>
              <w:rPr>
                <w:rFonts w:ascii="Calibri" w:hAnsi="Calibri" w:eastAsia="Calibri"/>
                <w:b/>
                <w:color w:val="9C6500"/>
                <w:sz w:val="20"/>
              </w:rPr>
              <w:t xml:space="preserve">STATUS PRODUK  </w:t>
            </w:r>
            <w:r>
              <w:rPr>
                <w:rFonts w:ascii="Calibri" w:hAnsi="Calibri" w:eastAsia="Calibri"/>
                <w:color w:val="243447"/>
                <w:sz w:val="20"/>
              </w:rPr>
              <w:t>CH Ver5 adalah engineering prototype dual-radio dengan charger single-cell dan input SOLAR. Belum ada bukti autonomy, enclosure qualification, RF site test, atau hazardous-area certification.</w:t>
            </w:r>
          </w:p>
        </w:tc>
      </w:tr>
    </w:tbl>
    <w:p>
      <w:pPr>
        <w:spacing w:after="0"/>
      </w:pPr>
    </w:p>
    <w:p>
      <w:pPr>
        <w:pStyle w:val="Heading2"/>
        <w:rPr>
          <w:lang w:val="id-ID"/>
        </w:rPr>
      </w:pPr>
      <w:r>
        <w:t>6.1 Inventaris EasyEDA lengkap</w:t>
      </w:r>
    </w:p>
    <w:p>
      <w:pPr>
        <w:pStyle w:val="ListBullet"/>
        <w:rPr>
          <w:lang w:val="id-ID"/>
        </w:rPr>
      </w:pPr>
      <w:r>
        <w:rPr>
          <w:rFonts w:ascii="Calibri" w:hAnsi="Calibri" w:eastAsia="Calibri"/>
        </w:rPr>
        <w:t>CH.zip SHA-256 92B4BB13CE830013413AD3A9D7B4811229A0E3C78ABD5808BA93E7DD18324E6C; berisi satu nested ZIP dualRadioCH_E220Ver5_05852bbac21f4f5f8f88fd60a379ff12.zip.</w:t>
      </w:r>
    </w:p>
    <w:p>
      <w:pPr>
        <w:pStyle w:val="ListBullet"/>
        <w:rPr>
          <w:lang w:val="id-ID"/>
        </w:rPr>
      </w:pPr>
      <w:r>
        <w:rPr>
          <w:rFonts w:ascii="Calibri" w:hAnsi="Calibri" w:eastAsia="Calibri"/>
        </w:rPr>
        <w:t>Nested ZIP memuat 1-Schematic_dualRadioCH_E220Ver5.json, 1-PCB_PCB_dualRadioCH_E220Ver5.json, dan README.txt; EasyEDA editor version 6.5.57.</w:t>
      </w:r>
    </w:p>
    <w:p>
      <w:pPr>
        <w:pStyle w:val="ListBullet"/>
        <w:rPr>
          <w:lang w:val="id-ID"/>
        </w:rPr>
      </w:pPr>
      <w:r>
        <w:rPr>
          <w:rFonts w:ascii="Calibri" w:hAnsi="Calibri" w:eastAsia="Calibri"/>
        </w:rPr>
        <w:t>Schematic satu sheet: 509 raw object dan 71 komponen aktual. PCB: 435 raw object; 71 LIB, 219 TRACK, 141 VIA, 2 COPPERAREA, 2 TEXT.</w:t>
      </w:r>
    </w:p>
    <w:p>
      <w:pPr>
        <w:pStyle w:val="ListBullet"/>
        <w:rPr>
          <w:lang w:val="id-ID"/>
        </w:rPr>
      </w:pPr>
      <w:r>
        <w:rPr>
          <w:rFonts w:ascii="Calibri" w:hAnsi="Calibri" w:eastAsia="Calibri"/>
        </w:rPr>
        <w:t>Outline raw span 83 × 429 EasyEDA units dan tidak boleh dikonversi menjadi mm tanpa Gerber/fabrication drawing. Tidak ada standalone HOLE object pada Ver5. Default DRC raw adalah configuration, bukan bukti DRC pass.</w:t>
      </w:r>
    </w:p>
    <w:p>
      <w:pPr>
        <w:pStyle w:val="ListBullet"/>
        <w:rPr>
          <w:lang w:val="id-ID"/>
        </w:rPr>
      </w:pPr>
      <w:r>
        <w:rPr>
          <w:rFonts w:ascii="Calibri" w:hAnsi="Calibri" w:eastAsia="Calibri"/>
        </w:rPr>
        <w:t>Ver4 memiliki empat mechanical holes; Ver5 memerlukan tray/standoff internal dan positive retention untuk battery/cell yang ditetapkan drawing mekanik.</w:t>
      </w:r>
    </w:p>
    <w:p>
      <w:pPr>
        <w:pStyle w:val="Heading2"/>
        <w:rPr>
          <w:lang w:val="id-ID"/>
        </w:rPr>
      </w:pPr>
      <w:r>
        <w:t>6.2 Controlled datasheet</w:t>
      </w:r>
    </w:p>
    <w:tbl>
      <w:tblPr>
        <w:tblStyle w:val="TableGrid"/>
        <w:tblW w:type="dxa" w:w="9360"/>
        <w:jc w:val="center"/>
        <w:tblLayout w:type="fixed"/>
        <w:tblLook w:firstColumn="1" w:firstRow="1" w:lastColumn="0" w:lastRow="0" w:noHBand="0" w:noVBand="1" w:val="04A0"/>
        <w:tblInd w:w="120" w:type="dxa"/>
      </w:tblPr>
      <w:tblGrid>
        <w:gridCol w:w="1800"/>
        <w:gridCol w:w="4800"/>
        <w:gridCol w:w="2760"/>
      </w:tblGrid>
      <w:tr>
        <w:trPr>
          <w:tblHeader w:val="true"/>
          <w:cantSplit w:val="true"/>
        </w:trPr>
        <w:tc>
          <w:tcPr>
            <w:tcW w:type="dxa" w:w="18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Atribut</w:t>
            </w:r>
          </w:p>
        </w:tc>
        <w:tc>
          <w:tcPr>
            <w:tcW w:type="dxa" w:w="48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Nilai current-source/design</w:t>
            </w:r>
          </w:p>
        </w:tc>
        <w:tc>
          <w:tcPr>
            <w:tcW w:type="dxa" w:w="27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Status/batas</w:t>
            </w:r>
          </w:p>
        </w:tc>
      </w:tr>
      <w:tr>
        <w:trPr>
          <w:cantSplit w:val="true"/>
        </w:trPr>
        <w:tc>
          <w:tcPr>
            <w:tcW w:type="dxa" w:w="1800"/>
          </w:tcPr>
          <w:p>
            <w:pPr>
              <w:spacing w:after="0"/>
              <w:rPr>
                <w:lang w:val="id-ID"/>
              </w:rPr>
            </w:pPr>
            <w:r>
              <w:rPr>
                <w:rFonts w:ascii="Calibri" w:hAnsi="Calibri" w:eastAsia="Calibri"/>
                <w:b w:val="0"/>
                <w:sz w:val="16"/>
              </w:rPr>
              <w:t>Fungsi</w:t>
            </w:r>
          </w:p>
        </w:tc>
        <w:tc>
          <w:tcPr>
            <w:tcW w:type="dxa" w:w="4800"/>
          </w:tcPr>
          <w:p>
            <w:pPr>
              <w:spacing w:after="0"/>
              <w:rPr>
                <w:lang w:val="id-ID"/>
              </w:rPr>
            </w:pPr>
            <w:r>
              <w:rPr>
                <w:rFonts w:ascii="Calibri" w:hAnsi="Calibri" w:eastAsia="Calibri"/>
                <w:b w:val="0"/>
                <w:sz w:val="16"/>
              </w:rPr>
              <w:t>Menerima GLD1 melalui STAR dan meneruskan ke CH/Gateway melalui MESH.</w:t>
            </w:r>
          </w:p>
        </w:tc>
        <w:tc>
          <w:tcPr>
            <w:tcW w:type="dxa" w:w="2760"/>
          </w:tcPr>
          <w:p>
            <w:pPr>
              <w:spacing w:after="0"/>
              <w:rPr>
                <w:lang w:val="id-ID"/>
              </w:rPr>
            </w:pPr>
            <w:r>
              <w:rPr>
                <w:rFonts w:ascii="Calibri" w:hAnsi="Calibri" w:eastAsia="Calibri"/>
                <w:b w:val="0"/>
                <w:sz w:val="16"/>
              </w:rPr>
              <w:t>CONFIRMED-SOURCE; field capacity TBD</w:t>
            </w:r>
          </w:p>
        </w:tc>
      </w:tr>
      <w:tr>
        <w:trPr>
          <w:cantSplit w:val="true"/>
        </w:trPr>
        <w:tc>
          <w:tcPr>
            <w:tcW w:type="dxa" w:w="1800"/>
          </w:tcPr>
          <w:p>
            <w:pPr>
              <w:spacing w:after="0"/>
              <w:rPr>
                <w:lang w:val="id-ID"/>
              </w:rPr>
            </w:pPr>
            <w:r>
              <w:rPr>
                <w:rFonts w:ascii="Calibri" w:hAnsi="Calibri" w:eastAsia="Calibri"/>
                <w:b w:val="0"/>
                <w:sz w:val="16"/>
              </w:rPr>
              <w:t>MCU</w:t>
            </w:r>
          </w:p>
        </w:tc>
        <w:tc>
          <w:tcPr>
            <w:tcW w:type="dxa" w:w="4800"/>
          </w:tcPr>
          <w:p>
            <w:pPr>
              <w:spacing w:after="0"/>
              <w:rPr>
                <w:lang w:val="id-ID"/>
              </w:rPr>
            </w:pPr>
            <w:r>
              <w:rPr>
                <w:rFonts w:ascii="Calibri" w:hAnsi="Calibri" w:eastAsia="Calibri"/>
                <w:b w:val="0"/>
                <w:sz w:val="16"/>
              </w:rPr>
              <w:t>ESP32-S3-WROOM-1U-N16R8</w:t>
            </w:r>
          </w:p>
        </w:tc>
        <w:tc>
          <w:tcPr>
            <w:tcW w:type="dxa" w:w="2760"/>
          </w:tcPr>
          <w:p>
            <w:pPr>
              <w:spacing w:after="0"/>
              <w:rPr>
                <w:lang w:val="id-ID"/>
              </w:rPr>
            </w:pPr>
            <w:r>
              <w:rPr>
                <w:rFonts w:ascii="Calibri" w:hAnsi="Calibri" w:eastAsia="Calibri"/>
                <w:b w:val="0"/>
                <w:sz w:val="16"/>
              </w:rPr>
              <w:t>EasyEDA component</w:t>
            </w:r>
          </w:p>
        </w:tc>
      </w:tr>
      <w:tr>
        <w:trPr>
          <w:cantSplit w:val="true"/>
        </w:trPr>
        <w:tc>
          <w:tcPr>
            <w:tcW w:type="dxa" w:w="1800"/>
          </w:tcPr>
          <w:p>
            <w:pPr>
              <w:spacing w:after="0"/>
              <w:rPr>
                <w:lang w:val="id-ID"/>
              </w:rPr>
            </w:pPr>
            <w:r>
              <w:rPr>
                <w:rFonts w:ascii="Calibri" w:hAnsi="Calibri" w:eastAsia="Calibri"/>
                <w:b w:val="0"/>
                <w:sz w:val="16"/>
              </w:rPr>
              <w:t>Radio</w:t>
            </w:r>
          </w:p>
        </w:tc>
        <w:tc>
          <w:tcPr>
            <w:tcW w:type="dxa" w:w="4800"/>
          </w:tcPr>
          <w:p>
            <w:pPr>
              <w:spacing w:after="0"/>
              <w:rPr>
                <w:lang w:val="id-ID"/>
              </w:rPr>
            </w:pPr>
            <w:r>
              <w:rPr>
                <w:rFonts w:ascii="Calibri" w:hAnsi="Calibri" w:eastAsia="Calibri"/>
                <w:b w:val="0"/>
                <w:sz w:val="16"/>
              </w:rPr>
              <w:t>2 × E22-900MM22S + 2 SMA feedthrough</w:t>
            </w:r>
          </w:p>
        </w:tc>
        <w:tc>
          <w:tcPr>
            <w:tcW w:type="dxa" w:w="2760"/>
          </w:tcPr>
          <w:p>
            <w:pPr>
              <w:spacing w:after="0"/>
              <w:rPr>
                <w:lang w:val="id-ID"/>
              </w:rPr>
            </w:pPr>
            <w:r>
              <w:rPr>
                <w:rFonts w:ascii="Calibri" w:hAnsi="Calibri" w:eastAsia="Calibri"/>
                <w:b w:val="0"/>
                <w:sz w:val="16"/>
              </w:rPr>
              <w:t>Need dual antenna/cable schedule</w:t>
            </w:r>
          </w:p>
        </w:tc>
      </w:tr>
      <w:tr>
        <w:trPr>
          <w:cantSplit w:val="true"/>
        </w:trPr>
        <w:tc>
          <w:tcPr>
            <w:tcW w:type="dxa" w:w="1800"/>
          </w:tcPr>
          <w:p>
            <w:pPr>
              <w:spacing w:after="0"/>
              <w:rPr>
                <w:lang w:val="id-ID"/>
              </w:rPr>
            </w:pPr>
            <w:r>
              <w:rPr>
                <w:rFonts w:ascii="Calibri" w:hAnsi="Calibri" w:eastAsia="Calibri"/>
                <w:b w:val="0"/>
                <w:sz w:val="16"/>
              </w:rPr>
              <w:t>STAR</w:t>
            </w:r>
          </w:p>
        </w:tc>
        <w:tc>
          <w:tcPr>
            <w:tcW w:type="dxa" w:w="4800"/>
          </w:tcPr>
          <w:p>
            <w:pPr>
              <w:spacing w:after="0"/>
              <w:rPr>
                <w:lang w:val="id-ID"/>
              </w:rPr>
            </w:pPr>
            <w:r>
              <w:rPr>
                <w:rFonts w:ascii="Calibri" w:hAnsi="Calibri" w:eastAsia="Calibri"/>
                <w:b w:val="0"/>
                <w:sz w:val="16"/>
              </w:rPr>
              <w:t>920,0 MHz, BW125, SF7, CR4/5, sync 0x12, TX 17 dBm, preamble 8</w:t>
            </w:r>
          </w:p>
        </w:tc>
        <w:tc>
          <w:tcPr>
            <w:tcW w:type="dxa" w:w="2760"/>
          </w:tcPr>
          <w:p>
            <w:pPr>
              <w:spacing w:after="0"/>
              <w:rPr>
                <w:lang w:val="id-ID"/>
              </w:rPr>
            </w:pPr>
            <w:r>
              <w:rPr>
                <w:rFonts w:ascii="Calibri" w:hAnsi="Calibri" w:eastAsia="Calibri"/>
                <w:b w:val="0"/>
                <w:sz w:val="16"/>
              </w:rPr>
              <w:t>Current config; no site/RF proof</w:t>
            </w:r>
          </w:p>
        </w:tc>
      </w:tr>
      <w:tr>
        <w:trPr>
          <w:cantSplit w:val="true"/>
        </w:trPr>
        <w:tc>
          <w:tcPr>
            <w:tcW w:type="dxa" w:w="1800"/>
          </w:tcPr>
          <w:p>
            <w:pPr>
              <w:spacing w:after="0"/>
              <w:rPr>
                <w:lang w:val="id-ID"/>
              </w:rPr>
            </w:pPr>
            <w:r>
              <w:rPr>
                <w:rFonts w:ascii="Calibri" w:hAnsi="Calibri" w:eastAsia="Calibri"/>
                <w:b w:val="0"/>
                <w:sz w:val="16"/>
              </w:rPr>
              <w:t>MESH</w:t>
            </w:r>
          </w:p>
        </w:tc>
        <w:tc>
          <w:tcPr>
            <w:tcW w:type="dxa" w:w="4800"/>
          </w:tcPr>
          <w:p>
            <w:pPr>
              <w:spacing w:after="0"/>
              <w:rPr>
                <w:lang w:val="id-ID"/>
              </w:rPr>
            </w:pPr>
            <w:r>
              <w:rPr>
                <w:rFonts w:ascii="Calibri" w:hAnsi="Calibri" w:eastAsia="Calibri"/>
                <w:b w:val="0"/>
                <w:sz w:val="16"/>
              </w:rPr>
              <w:t>921,0 MHz, BW125, SF9, CR4/5, sync 0x34, TX 17 dBm, preamble 8</w:t>
            </w:r>
          </w:p>
        </w:tc>
        <w:tc>
          <w:tcPr>
            <w:tcW w:type="dxa" w:w="2760"/>
          </w:tcPr>
          <w:p>
            <w:pPr>
              <w:spacing w:after="0"/>
              <w:rPr>
                <w:lang w:val="id-ID"/>
              </w:rPr>
            </w:pPr>
            <w:r>
              <w:rPr>
                <w:rFonts w:ascii="Calibri" w:hAnsi="Calibri" w:eastAsia="Calibri"/>
                <w:b w:val="0"/>
                <w:sz w:val="16"/>
              </w:rPr>
              <w:t>Current config; no site/RF proof</w:t>
            </w:r>
          </w:p>
        </w:tc>
      </w:tr>
      <w:tr>
        <w:trPr>
          <w:cantSplit w:val="true"/>
        </w:trPr>
        <w:tc>
          <w:tcPr>
            <w:tcW w:type="dxa" w:w="1800"/>
          </w:tcPr>
          <w:p>
            <w:pPr>
              <w:spacing w:after="0"/>
              <w:rPr>
                <w:lang w:val="id-ID"/>
              </w:rPr>
            </w:pPr>
            <w:r>
              <w:rPr>
                <w:rFonts w:ascii="Calibri" w:hAnsi="Calibri" w:eastAsia="Calibri"/>
                <w:b w:val="0"/>
                <w:sz w:val="16"/>
              </w:rPr>
              <w:t>Firmware source</w:t>
            </w:r>
          </w:p>
        </w:tc>
        <w:tc>
          <w:tcPr>
            <w:tcW w:type="dxa" w:w="4800"/>
          </w:tcPr>
          <w:p>
            <w:pPr>
              <w:spacing w:after="0"/>
              <w:rPr>
                <w:lang w:val="id-ID"/>
              </w:rPr>
            </w:pPr>
            <w:r>
              <w:rPr>
                <w:rFonts w:ascii="Calibri" w:hAnsi="Calibri" w:eastAsia="Calibri"/>
                <w:b w:val="0"/>
                <w:sz w:val="16"/>
              </w:rPr>
              <w:t>CH 0.7.3; protocol 0.2.0</w:t>
            </w:r>
          </w:p>
        </w:tc>
        <w:tc>
          <w:tcPr>
            <w:tcW w:type="dxa" w:w="2760"/>
          </w:tcPr>
          <w:p>
            <w:pPr>
              <w:spacing w:after="0"/>
              <w:rPr>
                <w:lang w:val="id-ID"/>
              </w:rPr>
            </w:pPr>
            <w:r>
              <w:rPr>
                <w:rFonts w:ascii="Calibri" w:hAnsi="Calibri" w:eastAsia="Calibri"/>
                <w:b w:val="0"/>
                <w:sz w:val="16"/>
              </w:rPr>
              <w:t>Not proof of flashed version</w:t>
            </w:r>
          </w:p>
        </w:tc>
      </w:tr>
      <w:tr>
        <w:trPr>
          <w:cantSplit w:val="true"/>
        </w:trPr>
        <w:tc>
          <w:tcPr>
            <w:tcW w:type="dxa" w:w="1800"/>
          </w:tcPr>
          <w:p>
            <w:pPr>
              <w:spacing w:after="0"/>
              <w:rPr>
                <w:lang w:val="id-ID"/>
              </w:rPr>
            </w:pPr>
            <w:r>
              <w:rPr>
                <w:rFonts w:ascii="Calibri" w:hAnsi="Calibri" w:eastAsia="Calibri"/>
                <w:b w:val="0"/>
                <w:sz w:val="16"/>
              </w:rPr>
              <w:t>Production hello</w:t>
            </w:r>
          </w:p>
        </w:tc>
        <w:tc>
          <w:tcPr>
            <w:tcW w:type="dxa" w:w="4800"/>
          </w:tcPr>
          <w:p>
            <w:pPr>
              <w:spacing w:after="0"/>
              <w:rPr>
                <w:lang w:val="id-ID"/>
              </w:rPr>
            </w:pPr>
            <w:r>
              <w:rPr>
                <w:rFonts w:ascii="Calibri" w:hAnsi="Calibri" w:eastAsia="Calibri"/>
                <w:b w:val="0"/>
                <w:sz w:val="16"/>
              </w:rPr>
              <w:t>300 s default</w:t>
            </w:r>
          </w:p>
        </w:tc>
        <w:tc>
          <w:tcPr>
            <w:tcW w:type="dxa" w:w="2760"/>
          </w:tcPr>
          <w:p>
            <w:pPr>
              <w:spacing w:after="0"/>
              <w:rPr>
                <w:lang w:val="id-ID"/>
              </w:rPr>
            </w:pPr>
            <w:r>
              <w:rPr>
                <w:rFonts w:ascii="Calibri" w:hAnsi="Calibri" w:eastAsia="Calibri"/>
                <w:b w:val="0"/>
                <w:sz w:val="16"/>
              </w:rPr>
              <w:t>Field-test 30 s + jitter 5 s is temporary; restore before production</w:t>
            </w:r>
          </w:p>
        </w:tc>
      </w:tr>
      <w:tr>
        <w:trPr>
          <w:cantSplit w:val="true"/>
        </w:trPr>
        <w:tc>
          <w:tcPr>
            <w:tcW w:type="dxa" w:w="1800"/>
          </w:tcPr>
          <w:p>
            <w:pPr>
              <w:spacing w:after="0"/>
              <w:rPr>
                <w:lang w:val="id-ID"/>
              </w:rPr>
            </w:pPr>
            <w:r>
              <w:rPr>
                <w:rFonts w:ascii="Calibri" w:hAnsi="Calibri" w:eastAsia="Calibri"/>
                <w:b w:val="0"/>
                <w:sz w:val="16"/>
              </w:rPr>
              <w:t>Power path</w:t>
            </w:r>
          </w:p>
        </w:tc>
        <w:tc>
          <w:tcPr>
            <w:tcW w:type="dxa" w:w="4800"/>
          </w:tcPr>
          <w:p>
            <w:pPr>
              <w:spacing w:after="0"/>
              <w:rPr>
                <w:lang w:val="id-ID"/>
              </w:rPr>
            </w:pPr>
            <w:r>
              <w:rPr>
                <w:rFonts w:ascii="Calibri" w:hAnsi="Calibri" w:eastAsia="Calibri"/>
                <w:b w:val="0"/>
                <w:sz w:val="16"/>
              </w:rPr>
              <w:t>BQ25185 charger/power path; TPS63020 ≈3,28 V; holder 18650; SOLAR input</w:t>
            </w:r>
          </w:p>
        </w:tc>
        <w:tc>
          <w:tcPr>
            <w:tcW w:type="dxa" w:w="2760"/>
          </w:tcPr>
          <w:p>
            <w:pPr>
              <w:spacing w:after="0"/>
              <w:rPr>
                <w:lang w:val="id-ID"/>
              </w:rPr>
            </w:pPr>
            <w:r>
              <w:rPr>
                <w:rFonts w:ascii="Calibri" w:hAnsi="Calibri" w:eastAsia="Calibri"/>
                <w:b w:val="0"/>
                <w:sz w:val="16"/>
              </w:rPr>
              <w:t>Panel/cell/thermal/autonomy TBD</w:t>
            </w:r>
          </w:p>
        </w:tc>
      </w:tr>
      <w:tr>
        <w:trPr>
          <w:cantSplit w:val="true"/>
        </w:trPr>
        <w:tc>
          <w:tcPr>
            <w:tcW w:type="dxa" w:w="1800"/>
          </w:tcPr>
          <w:p>
            <w:pPr>
              <w:spacing w:after="0"/>
              <w:rPr>
                <w:lang w:val="id-ID"/>
              </w:rPr>
            </w:pPr>
            <w:r>
              <w:rPr>
                <w:rFonts w:ascii="Calibri" w:hAnsi="Calibri" w:eastAsia="Calibri"/>
                <w:b w:val="0"/>
                <w:sz w:val="16"/>
              </w:rPr>
              <w:t>Watchdog</w:t>
            </w:r>
          </w:p>
        </w:tc>
        <w:tc>
          <w:tcPr>
            <w:tcW w:type="dxa" w:w="4800"/>
          </w:tcPr>
          <w:p>
            <w:pPr>
              <w:spacing w:after="0"/>
              <w:rPr>
                <w:lang w:val="id-ID"/>
              </w:rPr>
            </w:pPr>
            <w:r>
              <w:rPr>
                <w:rFonts w:ascii="Calibri" w:hAnsi="Calibri" w:eastAsia="Calibri"/>
                <w:b w:val="0"/>
                <w:sz w:val="16"/>
              </w:rPr>
              <w:t>TPL5010; DONE pulse source every 10 s</w:t>
            </w:r>
          </w:p>
        </w:tc>
        <w:tc>
          <w:tcPr>
            <w:tcW w:type="dxa" w:w="2760"/>
          </w:tcPr>
          <w:p>
            <w:pPr>
              <w:spacing w:after="0"/>
              <w:rPr>
                <w:lang w:val="id-ID"/>
              </w:rPr>
            </w:pPr>
            <w:r>
              <w:rPr>
                <w:rFonts w:ascii="Calibri" w:hAnsi="Calibri" w:eastAsia="Calibri"/>
                <w:b w:val="0"/>
                <w:sz w:val="16"/>
              </w:rPr>
              <w:t>Runtime/hardware proof absent</w:t>
            </w:r>
          </w:p>
        </w:tc>
      </w:tr>
      <w:tr>
        <w:trPr>
          <w:cantSplit w:val="true"/>
        </w:trPr>
        <w:tc>
          <w:tcPr>
            <w:tcW w:type="dxa" w:w="1800"/>
          </w:tcPr>
          <w:p>
            <w:pPr>
              <w:spacing w:after="0"/>
              <w:rPr>
                <w:lang w:val="id-ID"/>
              </w:rPr>
            </w:pPr>
            <w:r>
              <w:rPr>
                <w:rFonts w:ascii="Calibri" w:hAnsi="Calibri" w:eastAsia="Calibri"/>
                <w:b w:val="0"/>
                <w:sz w:val="16"/>
              </w:rPr>
              <w:t>Environment/mechanical</w:t>
            </w:r>
          </w:p>
        </w:tc>
        <w:tc>
          <w:tcPr>
            <w:tcW w:type="dxa" w:w="4800"/>
          </w:tcPr>
          <w:p>
            <w:pPr>
              <w:spacing w:after="0"/>
              <w:rPr>
                <w:lang w:val="id-ID"/>
              </w:rPr>
            </w:pPr>
            <w:r>
              <w:rPr>
                <w:rFonts w:ascii="Calibri" w:hAnsi="Calibri" w:eastAsia="Calibri"/>
                <w:b w:val="0"/>
                <w:sz w:val="16"/>
              </w:rPr>
              <w:t>Outdoor/pole concept</w:t>
            </w:r>
          </w:p>
        </w:tc>
        <w:tc>
          <w:tcPr>
            <w:tcW w:type="dxa" w:w="2760"/>
          </w:tcPr>
          <w:p>
            <w:pPr>
              <w:spacing w:after="0"/>
              <w:rPr>
                <w:lang w:val="id-ID"/>
              </w:rPr>
            </w:pPr>
            <w:r>
              <w:rPr>
                <w:rFonts w:ascii="Calibri" w:hAnsi="Calibri" w:eastAsia="Calibri"/>
                <w:b w:val="0"/>
                <w:sz w:val="16"/>
              </w:rPr>
              <w:t>Dimensions, weight, IP/IK, corrosion, wind, Ex, drawing: TBD</w:t>
            </w:r>
          </w:p>
        </w:tc>
      </w:tr>
    </w:tbl>
    <w:p>
      <w:pPr>
        <w:spacing w:after="0"/>
      </w:pPr>
    </w:p>
    <w:p>
      <w:pPr>
        <w:pStyle w:val="Heading2"/>
        <w:rPr>
          <w:lang w:val="id-ID"/>
        </w:rPr>
      </w:pPr>
      <w:r>
        <w:t>6.3 Komponen power utama</w:t>
      </w:r>
    </w:p>
    <w:tbl>
      <w:tblPr>
        <w:tblStyle w:val="TableGrid"/>
        <w:tblW w:type="dxa" w:w="9360"/>
        <w:jc w:val="center"/>
        <w:tblLayout w:type="fixed"/>
        <w:tblLook w:firstColumn="1" w:firstRow="1" w:lastColumn="0" w:lastRow="0" w:noHBand="0" w:noVBand="1" w:val="04A0"/>
        <w:tblInd w:w="120" w:type="dxa"/>
      </w:tblPr>
      <w:tblGrid>
        <w:gridCol w:w="1900"/>
        <w:gridCol w:w="3100"/>
        <w:gridCol w:w="4360"/>
      </w:tblGrid>
      <w:tr>
        <w:trPr>
          <w:tblHeader w:val="true"/>
          <w:cantSplit w:val="true"/>
        </w:trPr>
        <w:tc>
          <w:tcPr>
            <w:tcW w:type="dxa" w:w="19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Fungsi</w:t>
            </w:r>
          </w:p>
        </w:tc>
        <w:tc>
          <w:tcPr>
            <w:tcW w:type="dxa" w:w="31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Component/design</w:t>
            </w:r>
          </w:p>
        </w:tc>
        <w:tc>
          <w:tcPr>
            <w:tcW w:type="dxa" w:w="43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Interpretasi yang aman</w:t>
            </w:r>
          </w:p>
        </w:tc>
      </w:tr>
      <w:tr>
        <w:trPr>
          <w:cantSplit w:val="true"/>
        </w:trPr>
        <w:tc>
          <w:tcPr>
            <w:tcW w:type="dxa" w:w="1900"/>
          </w:tcPr>
          <w:p>
            <w:pPr>
              <w:spacing w:after="0"/>
              <w:rPr>
                <w:lang w:val="id-ID"/>
              </w:rPr>
            </w:pPr>
            <w:r>
              <w:rPr>
                <w:rFonts w:ascii="Calibri" w:hAnsi="Calibri" w:eastAsia="Calibri"/>
                <w:b w:val="0"/>
                <w:sz w:val="16"/>
              </w:rPr>
              <w:t>Charger/power path</w:t>
            </w:r>
          </w:p>
        </w:tc>
        <w:tc>
          <w:tcPr>
            <w:tcW w:type="dxa" w:w="3100"/>
          </w:tcPr>
          <w:p>
            <w:pPr>
              <w:spacing w:after="0"/>
              <w:rPr>
                <w:lang w:val="id-ID"/>
              </w:rPr>
            </w:pPr>
            <w:r>
              <w:rPr>
                <w:rFonts w:ascii="Calibri" w:hAnsi="Calibri" w:eastAsia="Calibri"/>
                <w:b w:val="0"/>
                <w:sz w:val="16"/>
              </w:rPr>
              <w:t>BQ25185DLHR; R15 18 kΩ; R14 1 kΩ; R16 fixed 10 kΩ</w:t>
            </w:r>
          </w:p>
        </w:tc>
        <w:tc>
          <w:tcPr>
            <w:tcW w:type="dxa" w:w="4360"/>
          </w:tcPr>
          <w:p>
            <w:pPr>
              <w:spacing w:after="0"/>
              <w:rPr>
                <w:lang w:val="id-ID"/>
              </w:rPr>
            </w:pPr>
            <w:r>
              <w:rPr>
                <w:rFonts w:ascii="Calibri" w:hAnsi="Calibri" w:eastAsia="Calibri"/>
                <w:b w:val="0"/>
                <w:sz w:val="16"/>
              </w:rPr>
              <w:t>Single-cell 4,2 V; input limit ≈500 mA; fast charge ≈300 mA; fixed TS means no actual battery temperature sensor</w:t>
            </w:r>
          </w:p>
        </w:tc>
      </w:tr>
      <w:tr>
        <w:trPr>
          <w:cantSplit w:val="true"/>
        </w:trPr>
        <w:tc>
          <w:tcPr>
            <w:tcW w:type="dxa" w:w="1900"/>
          </w:tcPr>
          <w:p>
            <w:pPr>
              <w:spacing w:after="0"/>
              <w:rPr>
                <w:lang w:val="id-ID"/>
              </w:rPr>
            </w:pPr>
            <w:r>
              <w:rPr>
                <w:rFonts w:ascii="Calibri" w:hAnsi="Calibri" w:eastAsia="Calibri"/>
                <w:b w:val="0"/>
                <w:sz w:val="16"/>
              </w:rPr>
              <w:t>3,3 V rail</w:t>
            </w:r>
          </w:p>
        </w:tc>
        <w:tc>
          <w:tcPr>
            <w:tcW w:type="dxa" w:w="3100"/>
          </w:tcPr>
          <w:p>
            <w:pPr>
              <w:spacing w:after="0"/>
              <w:rPr>
                <w:lang w:val="id-ID"/>
              </w:rPr>
            </w:pPr>
            <w:r>
              <w:rPr>
                <w:rFonts w:ascii="Calibri" w:hAnsi="Calibri" w:eastAsia="Calibri"/>
                <w:b w:val="0"/>
                <w:sz w:val="16"/>
              </w:rPr>
              <w:t>TPS63020 + 1,2 µH; feedback 1 MΩ/180 kΩ</w:t>
            </w:r>
          </w:p>
        </w:tc>
        <w:tc>
          <w:tcPr>
            <w:tcW w:type="dxa" w:w="4360"/>
          </w:tcPr>
          <w:p>
            <w:pPr>
              <w:spacing w:after="0"/>
              <w:rPr>
                <w:lang w:val="id-ID"/>
              </w:rPr>
            </w:pPr>
            <w:r>
              <w:rPr>
                <w:rFonts w:ascii="Calibri" w:hAnsi="Calibri" w:eastAsia="Calibri"/>
                <w:b w:val="0"/>
                <w:sz w:val="16"/>
              </w:rPr>
              <w:t>Output sekitar 3,28 V; peak/thermal harus diukur</w:t>
            </w:r>
          </w:p>
        </w:tc>
      </w:tr>
      <w:tr>
        <w:trPr>
          <w:cantSplit w:val="true"/>
        </w:trPr>
        <w:tc>
          <w:tcPr>
            <w:tcW w:type="dxa" w:w="1900"/>
          </w:tcPr>
          <w:p>
            <w:pPr>
              <w:spacing w:after="0"/>
              <w:rPr>
                <w:lang w:val="id-ID"/>
              </w:rPr>
            </w:pPr>
            <w:r>
              <w:rPr>
                <w:rFonts w:ascii="Calibri" w:hAnsi="Calibri" w:eastAsia="Calibri"/>
                <w:b w:val="0"/>
                <w:sz w:val="16"/>
              </w:rPr>
              <w:t>Battery</w:t>
            </w:r>
          </w:p>
        </w:tc>
        <w:tc>
          <w:tcPr>
            <w:tcW w:type="dxa" w:w="3100"/>
          </w:tcPr>
          <w:p>
            <w:pPr>
              <w:spacing w:after="0"/>
              <w:rPr>
                <w:lang w:val="id-ID"/>
              </w:rPr>
            </w:pPr>
            <w:r>
              <w:rPr>
                <w:rFonts w:ascii="Calibri" w:hAnsi="Calibri" w:eastAsia="Calibri"/>
                <w:b w:val="0"/>
                <w:sz w:val="16"/>
              </w:rPr>
              <w:t>BH-18650 holder</w:t>
            </w:r>
          </w:p>
        </w:tc>
        <w:tc>
          <w:tcPr>
            <w:tcW w:type="dxa" w:w="4360"/>
          </w:tcPr>
          <w:p>
            <w:pPr>
              <w:spacing w:after="0"/>
              <w:rPr>
                <w:lang w:val="id-ID"/>
              </w:rPr>
            </w:pPr>
            <w:r>
              <w:rPr>
                <w:rFonts w:ascii="Calibri" w:hAnsi="Calibri" w:eastAsia="Calibri"/>
                <w:b w:val="0"/>
                <w:sz w:val="16"/>
              </w:rPr>
              <w:t>Tidak menetapkan cell maker/model, chemistry, capacity, protection, certification, temperature, cycle life</w:t>
            </w:r>
          </w:p>
        </w:tc>
      </w:tr>
      <w:tr>
        <w:trPr>
          <w:cantSplit w:val="true"/>
        </w:trPr>
        <w:tc>
          <w:tcPr>
            <w:tcW w:type="dxa" w:w="1900"/>
          </w:tcPr>
          <w:p>
            <w:pPr>
              <w:spacing w:after="0"/>
              <w:rPr>
                <w:lang w:val="id-ID"/>
              </w:rPr>
            </w:pPr>
            <w:r>
              <w:rPr>
                <w:rFonts w:ascii="Calibri" w:hAnsi="Calibri" w:eastAsia="Calibri"/>
                <w:b w:val="0"/>
                <w:sz w:val="16"/>
              </w:rPr>
              <w:t>Solar input</w:t>
            </w:r>
          </w:p>
        </w:tc>
        <w:tc>
          <w:tcPr>
            <w:tcW w:type="dxa" w:w="3100"/>
          </w:tcPr>
          <w:p>
            <w:pPr>
              <w:spacing w:after="0"/>
              <w:rPr>
                <w:lang w:val="id-ID"/>
              </w:rPr>
            </w:pPr>
            <w:r>
              <w:rPr>
                <w:rFonts w:ascii="Calibri" w:hAnsi="Calibri" w:eastAsia="Calibri"/>
                <w:b w:val="0"/>
                <w:sz w:val="16"/>
              </w:rPr>
              <w:t>CN3 SOLAR + resettable fuse/diode/TVS/capacitor</w:t>
            </w:r>
          </w:p>
        </w:tc>
        <w:tc>
          <w:tcPr>
            <w:tcW w:type="dxa" w:w="4360"/>
          </w:tcPr>
          <w:p>
            <w:pPr>
              <w:spacing w:after="0"/>
              <w:rPr>
                <w:lang w:val="id-ID"/>
              </w:rPr>
            </w:pPr>
            <w:r>
              <w:rPr>
                <w:rFonts w:ascii="Calibri" w:hAnsi="Calibri" w:eastAsia="Calibri"/>
                <w:b w:val="0"/>
                <w:sz w:val="16"/>
              </w:rPr>
              <w:t>Tidak ada MPPT; input IC 3–18 V tidak berarti sembarang panel aman</w:t>
            </w:r>
          </w:p>
        </w:tc>
      </w:tr>
      <w:tr>
        <w:trPr>
          <w:cantSplit w:val="true"/>
        </w:trPr>
        <w:tc>
          <w:tcPr>
            <w:tcW w:type="dxa" w:w="1900"/>
          </w:tcPr>
          <w:p>
            <w:pPr>
              <w:spacing w:after="0"/>
              <w:rPr>
                <w:lang w:val="id-ID"/>
              </w:rPr>
            </w:pPr>
            <w:r>
              <w:rPr>
                <w:rFonts w:ascii="Calibri" w:hAnsi="Calibri" w:eastAsia="Calibri"/>
                <w:b w:val="0"/>
                <w:sz w:val="16"/>
              </w:rPr>
              <w:t>Load envelope</w:t>
            </w:r>
          </w:p>
        </w:tc>
        <w:tc>
          <w:tcPr>
            <w:tcW w:type="dxa" w:w="3100"/>
          </w:tcPr>
          <w:p>
            <w:pPr>
              <w:spacing w:after="0"/>
              <w:rPr>
                <w:lang w:val="id-ID"/>
              </w:rPr>
            </w:pPr>
            <w:r>
              <w:rPr>
                <w:rFonts w:ascii="Calibri" w:hAnsi="Calibri" w:eastAsia="Calibri"/>
                <w:b w:val="0"/>
                <w:sz w:val="16"/>
              </w:rPr>
              <w:t>ESP32 supply min capability 0,5 A; E22 TX tipikal ≈100 mA/radio</w:t>
            </w:r>
          </w:p>
        </w:tc>
        <w:tc>
          <w:tcPr>
            <w:tcW w:type="dxa" w:w="4360"/>
          </w:tcPr>
          <w:p>
            <w:pPr>
              <w:spacing w:after="0"/>
              <w:rPr>
                <w:lang w:val="id-ID"/>
              </w:rPr>
            </w:pPr>
            <w:r>
              <w:rPr>
                <w:rFonts w:ascii="Calibri" w:hAnsi="Calibri" w:eastAsia="Calibri"/>
                <w:b w:val="0"/>
                <w:sz w:val="16"/>
              </w:rPr>
              <w:t>Verifikasi rail peak sekurangnya 0,7 A sebelum margin bila dual radio aktif; bukan hasil ukur</w:t>
            </w:r>
          </w:p>
        </w:tc>
      </w:tr>
    </w:tbl>
    <w:p>
      <w:pPr>
        <w:spacing w:after="0"/>
      </w:pPr>
    </w:p>
    <w:p>
      <w:pPr>
        <w:pStyle w:val="Heading2"/>
        <w:rPr>
          <w:lang w:val="id-ID"/>
        </w:rPr>
      </w:pPr>
      <w:r>
        <w:t>6.4 Battery dan solar sizing</w:t>
      </w:r>
    </w:p>
    <w:p>
      <w:pPr>
        <w:rPr>
          <w:lang w:val="id-ID"/>
        </w:rPr>
      </w:pPr>
      <w:r>
        <w:rPr>
          <w:rFonts w:ascii="Calibri" w:hAnsi="Calibri" w:eastAsia="Calibri"/>
        </w:rPr>
        <w:t>Tidak ada angka panel watt atau battery Ah yang dapat dibekukan dari ZIP. Gunakan profil daya terukur dan rumus:</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EEF5FB"/>
          </w:tcPr>
          <w:p>
            <w:pPr>
              <w:spacing w:after="40"/>
              <w:rPr>
                <w:lang w:val="id-ID"/>
              </w:rPr>
            </w:pPr>
            <w:r>
              <w:rPr>
                <w:rFonts w:ascii="Calibri" w:hAnsi="Calibri" w:eastAsia="Calibri"/>
                <w:b/>
                <w:color w:val="1F4D78"/>
                <w:sz w:val="20"/>
              </w:rPr>
              <w:t xml:space="preserve">ENERGY MODEL  </w:t>
            </w:r>
            <w:r>
              <w:rPr>
                <w:rFonts w:ascii="Calibri" w:hAnsi="Calibri" w:eastAsia="Calibri"/>
                <w:color w:val="243447"/>
                <w:sz w:val="20"/>
              </w:rPr>
              <w:t>Eharian(Wh) = Prata-rata(W) × 24. Battery(Ah) ≥ Eharian × hari-otonomi / (Vnom × usable-DoD × efisiensi). Panel(W) ≥ Eharian / (peak-sun-hours × efisiensi-charge × derating-lapangan).</w:t>
            </w:r>
          </w:p>
        </w:tc>
      </w:tr>
    </w:tbl>
    <w:p>
      <w:pPr>
        <w:spacing w:after="0"/>
      </w:pPr>
    </w:p>
    <w:p>
      <w:pPr>
        <w:pStyle w:val="ListBullet"/>
        <w:rPr>
          <w:lang w:val="id-ID"/>
        </w:rPr>
      </w:pPr>
      <w:r>
        <w:rPr>
          <w:rFonts w:ascii="Calibri" w:hAnsi="Calibri" w:eastAsia="Calibri"/>
        </w:rPr>
        <w:t>Limit input 500 mA setara maksimum nominal sekitar 2,5 W pada 5 V; battery dapat memasok selisih peak.</w:t>
      </w:r>
    </w:p>
    <w:p>
      <w:pPr>
        <w:pStyle w:val="ListBullet"/>
        <w:rPr>
          <w:lang w:val="id-ID"/>
        </w:rPr>
      </w:pPr>
      <w:r>
        <w:rPr>
          <w:rFonts w:ascii="Calibri" w:hAnsi="Calibri" w:eastAsia="Calibri"/>
        </w:rPr>
        <w:t>Contoh cell 3.000 mAh memerlukan lebih dari 10 jam pada 300 mA sebelum taper dan load CH. Ini contoh hitung, bukan BOM.</w:t>
      </w:r>
    </w:p>
    <w:p>
      <w:pPr>
        <w:pStyle w:val="ListBullet"/>
        <w:rPr>
          <w:lang w:val="id-ID"/>
        </w:rPr>
      </w:pPr>
      <w:r>
        <w:rPr>
          <w:rFonts w:ascii="Calibri" w:hAnsi="Calibri" w:eastAsia="Calibri"/>
        </w:rPr>
        <w:t>Ukur idle, dual RX, masing-masing TX, dual-radio peak, startup/brownout, charge aktif, malam, dan profil 24 jam pada cadence 300 s serta test 30 s+jitter.</w:t>
      </w:r>
    </w:p>
    <w:p>
      <w:pPr>
        <w:pStyle w:val="ListBullet"/>
        <w:rPr>
          <w:lang w:val="id-ID"/>
        </w:rPr>
      </w:pPr>
      <w:r>
        <w:rPr>
          <w:rFonts w:ascii="Calibri" w:hAnsi="Calibri" w:eastAsia="Calibri"/>
        </w:rPr>
        <w:t>Masukkan shading, panel temperature/Voc cold, H₂S/salt/corrosion, rain/dust, cleaning interval, dan target autonomy Pertamina.</w:t>
      </w:r>
    </w:p>
    <w:p>
      <w:pPr>
        <w:pStyle w:val="ListBullet"/>
        <w:rPr>
          <w:lang w:val="id-ID"/>
        </w:rPr>
      </w:pPr>
      <w:r>
        <w:rPr>
          <w:rFonts w:ascii="Calibri" w:hAnsi="Calibri" w:eastAsia="Calibri"/>
        </w:rPr>
        <w:t>Minta IEC 62133-2 dan UN 38.3 untuk sel/pack; keduanya tidak menggantikan Ex certification assembly.</w:t>
      </w:r>
    </w:p>
    <w:p>
      <w:pPr>
        <w:pStyle w:val="Heading2"/>
        <w:rPr>
          <w:lang w:val="id-ID"/>
        </w:rPr>
      </w:pPr>
      <w:r>
        <w:t>6.5 Mounting/antenna implication</w:t>
      </w:r>
    </w:p>
    <w:p>
      <w:pPr>
        <w:pStyle w:val="ListBullet"/>
        <w:rPr>
          <w:lang w:val="id-ID"/>
        </w:rPr>
      </w:pPr>
      <w:r>
        <w:rPr>
          <w:rFonts w:ascii="Calibri" w:hAnsi="Calibri" w:eastAsia="Calibri"/>
        </w:rPr>
        <w:t>Dua radio berarti dua jalur 50 Ω yang dilabel STAR 920 dan MESH 921. Satu boss pada gambar konsep belum membuktikan dua feedthrough tersedia.</w:t>
      </w:r>
    </w:p>
    <w:p>
      <w:pPr>
        <w:pStyle w:val="ListBullet"/>
        <w:rPr>
          <w:lang w:val="id-ID"/>
        </w:rPr>
      </w:pPr>
      <w:r>
        <w:rPr>
          <w:rFonts w:ascii="Calibri" w:hAnsi="Calibri" w:eastAsia="Calibri"/>
        </w:rPr>
        <w:t>Panel-surya, CH backplate, dan antenna standoff sebaiknya menjadi modul terpisah agar angle, service, dan cable strain dapat diatur.</w:t>
      </w:r>
    </w:p>
    <w:p>
      <w:pPr>
        <w:pStyle w:val="ListBullet"/>
        <w:rPr>
          <w:lang w:val="id-ID"/>
        </w:rPr>
      </w:pPr>
      <w:r>
        <w:rPr>
          <w:rFonts w:ascii="Calibri" w:hAnsi="Calibri" w:eastAsia="Calibri"/>
        </w:rPr>
        <w:t>Material candidate 316L/passivated dengan galvanic isolation cocok sebagai starting point coastal/chemical, tetapi final bergantung corrosion data site.</w:t>
      </w:r>
    </w:p>
    <w:p>
      <w:pPr>
        <w:pStyle w:val="ListBullet"/>
        <w:rPr>
          <w:lang w:val="id-ID"/>
        </w:rPr>
      </w:pPr>
      <w:r>
        <w:rPr>
          <w:rFonts w:ascii="Calibri" w:hAnsi="Calibri" w:eastAsia="Calibri"/>
        </w:rPr>
        <w:t>Tentukan antenna outdoor, gain/polarization, separation, metal clearance, coax loss/max length, bend radius, UV/chemical jacket, drip loop, strain relief, bonding, dan lightning/surge protection.</w:t>
      </w:r>
    </w:p>
    <w:p>
      <w:pPr>
        <w:pStyle w:val="ListBullet"/>
        <w:rPr>
          <w:lang w:val="id-ID"/>
        </w:rPr>
      </w:pPr>
      <w:r>
        <w:rPr>
          <w:rFonts w:ascii="Calibri" w:hAnsi="Calibri" w:eastAsia="Calibri"/>
        </w:rPr>
        <w:t>Jangan drill/weld aset Pertamina tanpa izin; slotted bracket + band clamp/dual U-bolt dapat menjadi universal concept setelah pole OD/load disurvei.</w:t>
      </w:r>
    </w:p>
    <w:p>
      <w:pPr>
        <w:jc w:val="center"/>
      </w:pPr>
      <w:r>
        <w:drawing>
          <wp:inline xmlns:a="http://schemas.openxmlformats.org/drawingml/2006/main" xmlns:pic="http://schemas.openxmlformats.org/drawingml/2006/picture">
            <wp:extent cx="2377440" cy="3777243"/>
            <wp:docPr id="3" name="Picture 3" title="CH and Gateway enclosure concept" descr="Gambar konsep enclosure silinder abu-abu untuk CH dan Gateway dengan satu boss di bagian atas; tidak terlihat Ex marking, gasket, atau dimensional reference."/>
            <wp:cNvGraphicFramePr>
              <a:graphicFrameLocks noChangeAspect="1"/>
            </wp:cNvGraphicFramePr>
            <a:graphic>
              <a:graphicData uri="http://schemas.openxmlformats.org/drawingml/2006/picture">
                <pic:pic>
                  <pic:nvPicPr>
                    <pic:cNvPr id="0" name="CH&amp;GW.png"/>
                    <pic:cNvPicPr/>
                  </pic:nvPicPr>
                  <pic:blipFill>
                    <a:blip r:embed="rId13"/>
                    <a:stretch>
                      <a:fillRect/>
                    </a:stretch>
                  </pic:blipFill>
                  <pic:spPr>
                    <a:xfrm>
                      <a:off x="0" y="0"/>
                      <a:ext cx="2377440" cy="3777243"/>
                    </a:xfrm>
                    <a:prstGeom prst="rect"/>
                  </pic:spPr>
                </pic:pic>
              </a:graphicData>
            </a:graphic>
          </wp:inline>
        </w:drawing>
      </w:r>
    </w:p>
    <w:p>
      <w:pPr>
        <w:pStyle w:val="FigureCaption"/>
        <w:jc w:val="center"/>
        <w:rPr>
          <w:lang w:val="id-ID"/>
        </w:rPr>
      </w:pPr>
      <w:r>
        <w:rPr>
          <w:rFonts w:ascii="Calibri" w:hAnsi="Calibri" w:eastAsia="Calibri"/>
        </w:rPr>
        <w:t>Gambar 3. Konsep bentuk CH/Gateway. Tidak membuktikan material, ukuran, IP/IK, UV/corrosion, flamepath, jumlah RF feedthrough, atau Ex certificate.</w:t>
      </w:r>
    </w:p>
    <w:p>
      <w:pPr>
        <w:pStyle w:val="Heading1"/>
        <w:pageBreakBefore/>
        <w:rPr>
          <w:lang w:val="id-ID"/>
        </w:rPr>
      </w:pPr>
      <w:r>
        <w:t>7. Datasheet terkendali: Gateway</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FF4CE"/>
          </w:tcPr>
          <w:p>
            <w:pPr>
              <w:spacing w:after="40"/>
              <w:rPr>
                <w:lang w:val="id-ID"/>
              </w:rPr>
            </w:pPr>
            <w:r>
              <w:rPr>
                <w:rFonts w:ascii="Calibri" w:hAnsi="Calibri" w:eastAsia="Calibri"/>
                <w:b/>
                <w:color w:val="9C6500"/>
                <w:sz w:val="20"/>
              </w:rPr>
              <w:t xml:space="preserve">STATUS PRODUK  </w:t>
            </w:r>
            <w:r>
              <w:rPr>
                <w:rFonts w:ascii="Calibri" w:hAnsi="Calibri" w:eastAsia="Calibri"/>
                <w:color w:val="243447"/>
                <w:sz w:val="20"/>
              </w:rPr>
              <w:t>Current source membuktikan fungsi bridge radio–MQTT, bukan hardware/network/deployment live. Uplink current source hanya Wi-Fi STA; Ethernet dan WPA-Enterprise/802.1X belum ditemukan.</w:t>
            </w:r>
          </w:p>
        </w:tc>
      </w:tr>
    </w:tbl>
    <w:p>
      <w:pPr>
        <w:spacing w:after="0"/>
      </w:pPr>
    </w:p>
    <w:p>
      <w:pPr>
        <w:pStyle w:val="Heading2"/>
        <w:rPr>
          <w:lang w:val="id-ID"/>
        </w:rPr>
      </w:pPr>
      <w:r>
        <w:t>7.1 Controlled datasheet</w:t>
      </w:r>
    </w:p>
    <w:tbl>
      <w:tblPr>
        <w:tblStyle w:val="TableGrid"/>
        <w:tblW w:type="dxa" w:w="9360"/>
        <w:jc w:val="center"/>
        <w:tblLayout w:type="fixed"/>
        <w:tblLook w:firstColumn="1" w:firstRow="1" w:lastColumn="0" w:lastRow="0" w:noHBand="0" w:noVBand="1" w:val="04A0"/>
        <w:tblInd w:w="120" w:type="dxa"/>
      </w:tblPr>
      <w:tblGrid>
        <w:gridCol w:w="1800"/>
        <w:gridCol w:w="4700"/>
        <w:gridCol w:w="2860"/>
      </w:tblGrid>
      <w:tr>
        <w:trPr>
          <w:tblHeader w:val="true"/>
          <w:cantSplit w:val="true"/>
        </w:trPr>
        <w:tc>
          <w:tcPr>
            <w:tcW w:type="dxa" w:w="18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Atribut</w:t>
            </w:r>
          </w:p>
        </w:tc>
        <w:tc>
          <w:tcPr>
            <w:tcW w:type="dxa" w:w="47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Current source / meeting input</w:t>
            </w:r>
          </w:p>
        </w:tc>
        <w:tc>
          <w:tcPr>
            <w:tcW w:type="dxa" w:w="28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Status/batas</w:t>
            </w:r>
          </w:p>
        </w:tc>
      </w:tr>
      <w:tr>
        <w:trPr>
          <w:cantSplit w:val="true"/>
        </w:trPr>
        <w:tc>
          <w:tcPr>
            <w:tcW w:type="dxa" w:w="1800"/>
          </w:tcPr>
          <w:p>
            <w:pPr>
              <w:spacing w:after="0"/>
              <w:rPr>
                <w:lang w:val="id-ID"/>
              </w:rPr>
            </w:pPr>
            <w:r>
              <w:rPr>
                <w:rFonts w:ascii="Calibri" w:hAnsi="Calibri" w:eastAsia="Calibri"/>
                <w:b w:val="0"/>
                <w:sz w:val="16"/>
              </w:rPr>
              <w:t>Fungsi</w:t>
            </w:r>
          </w:p>
        </w:tc>
        <w:tc>
          <w:tcPr>
            <w:tcW w:type="dxa" w:w="4700"/>
          </w:tcPr>
          <w:p>
            <w:pPr>
              <w:spacing w:after="0"/>
              <w:rPr>
                <w:lang w:val="id-ID"/>
              </w:rPr>
            </w:pPr>
            <w:r>
              <w:rPr>
                <w:rFonts w:ascii="Calibri" w:hAnsi="Calibri" w:eastAsia="Calibri"/>
                <w:b w:val="0"/>
                <w:sz w:val="16"/>
              </w:rPr>
              <w:t>Menerima MESH dari CH, menerbitkan MQTT/status, menerima downlink, dan mengirim ke radio.</w:t>
            </w:r>
          </w:p>
        </w:tc>
        <w:tc>
          <w:tcPr>
            <w:tcW w:type="dxa" w:w="2860"/>
          </w:tcPr>
          <w:p>
            <w:pPr>
              <w:spacing w:after="0"/>
              <w:rPr>
                <w:lang w:val="id-ID"/>
              </w:rPr>
            </w:pPr>
            <w:r>
              <w:rPr>
                <w:rFonts w:ascii="Calibri" w:hAnsi="Calibri" w:eastAsia="Calibri"/>
                <w:b w:val="0"/>
                <w:sz w:val="16"/>
              </w:rPr>
              <w:t>CONFIRMED-SOURCE</w:t>
            </w:r>
          </w:p>
        </w:tc>
      </w:tr>
      <w:tr>
        <w:trPr>
          <w:cantSplit w:val="true"/>
        </w:trPr>
        <w:tc>
          <w:tcPr>
            <w:tcW w:type="dxa" w:w="1800"/>
          </w:tcPr>
          <w:p>
            <w:pPr>
              <w:spacing w:after="0"/>
              <w:rPr>
                <w:lang w:val="id-ID"/>
              </w:rPr>
            </w:pPr>
            <w:r>
              <w:rPr>
                <w:rFonts w:ascii="Calibri" w:hAnsi="Calibri" w:eastAsia="Calibri"/>
                <w:b w:val="0"/>
                <w:sz w:val="16"/>
              </w:rPr>
              <w:t>Controller</w:t>
            </w:r>
          </w:p>
        </w:tc>
        <w:tc>
          <w:tcPr>
            <w:tcW w:type="dxa" w:w="4700"/>
          </w:tcPr>
          <w:p>
            <w:pPr>
              <w:spacing w:after="0"/>
              <w:rPr>
                <w:lang w:val="id-ID"/>
              </w:rPr>
            </w:pPr>
            <w:r>
              <w:rPr>
                <w:rFonts w:ascii="Calibri" w:hAnsi="Calibri" w:eastAsia="Calibri"/>
                <w:b w:val="0"/>
                <w:sz w:val="16"/>
              </w:rPr>
              <w:t>ESP32-S3; firmware source 0.1.5; protocol 0.2.0.</w:t>
            </w:r>
          </w:p>
        </w:tc>
        <w:tc>
          <w:tcPr>
            <w:tcW w:type="dxa" w:w="2860"/>
          </w:tcPr>
          <w:p>
            <w:pPr>
              <w:spacing w:after="0"/>
              <w:rPr>
                <w:lang w:val="id-ID"/>
              </w:rPr>
            </w:pPr>
            <w:r>
              <w:rPr>
                <w:rFonts w:ascii="Calibri" w:hAnsi="Calibri" w:eastAsia="Calibri"/>
                <w:b w:val="0"/>
                <w:sz w:val="16"/>
              </w:rPr>
              <w:t>Not proof flashed</w:t>
            </w:r>
          </w:p>
        </w:tc>
      </w:tr>
      <w:tr>
        <w:trPr>
          <w:cantSplit w:val="true"/>
        </w:trPr>
        <w:tc>
          <w:tcPr>
            <w:tcW w:type="dxa" w:w="1800"/>
          </w:tcPr>
          <w:p>
            <w:pPr>
              <w:spacing w:after="0"/>
              <w:rPr>
                <w:lang w:val="id-ID"/>
              </w:rPr>
            </w:pPr>
            <w:r>
              <w:rPr>
                <w:rFonts w:ascii="Calibri" w:hAnsi="Calibri" w:eastAsia="Calibri"/>
                <w:b w:val="0"/>
                <w:sz w:val="16"/>
              </w:rPr>
              <w:t>Radio</w:t>
            </w:r>
          </w:p>
        </w:tc>
        <w:tc>
          <w:tcPr>
            <w:tcW w:type="dxa" w:w="4700"/>
          </w:tcPr>
          <w:p>
            <w:pPr>
              <w:spacing w:after="0"/>
              <w:rPr>
                <w:lang w:val="id-ID"/>
              </w:rPr>
            </w:pPr>
            <w:r>
              <w:rPr>
                <w:rFonts w:ascii="Calibri" w:hAnsi="Calibri" w:eastAsia="Calibri"/>
                <w:b w:val="0"/>
                <w:sz w:val="16"/>
              </w:rPr>
              <w:t>SX1262, MESH 921,0 MHz; BW125; SF9; CR4/5; TX config 17 dBm.</w:t>
            </w:r>
          </w:p>
        </w:tc>
        <w:tc>
          <w:tcPr>
            <w:tcW w:type="dxa" w:w="2860"/>
          </w:tcPr>
          <w:p>
            <w:pPr>
              <w:spacing w:after="0"/>
              <w:rPr>
                <w:lang w:val="id-ID"/>
              </w:rPr>
            </w:pPr>
            <w:r>
              <w:rPr>
                <w:rFonts w:ascii="Calibri" w:hAnsi="Calibri" w:eastAsia="Calibri"/>
                <w:b w:val="0"/>
                <w:sz w:val="16"/>
              </w:rPr>
              <w:t>No RF/regulatory field proof</w:t>
            </w:r>
          </w:p>
        </w:tc>
      </w:tr>
      <w:tr>
        <w:trPr>
          <w:cantSplit w:val="true"/>
        </w:trPr>
        <w:tc>
          <w:tcPr>
            <w:tcW w:type="dxa" w:w="1800"/>
          </w:tcPr>
          <w:p>
            <w:pPr>
              <w:spacing w:after="0"/>
              <w:rPr>
                <w:lang w:val="id-ID"/>
              </w:rPr>
            </w:pPr>
            <w:r>
              <w:rPr>
                <w:rFonts w:ascii="Calibri" w:hAnsi="Calibri" w:eastAsia="Calibri"/>
                <w:b w:val="0"/>
                <w:sz w:val="16"/>
              </w:rPr>
              <w:t>IT uplink</w:t>
            </w:r>
          </w:p>
        </w:tc>
        <w:tc>
          <w:tcPr>
            <w:tcW w:type="dxa" w:w="4700"/>
          </w:tcPr>
          <w:p>
            <w:pPr>
              <w:spacing w:after="0"/>
              <w:rPr>
                <w:lang w:val="id-ID"/>
              </w:rPr>
            </w:pPr>
            <w:r>
              <w:rPr>
                <w:rFonts w:ascii="Calibri" w:hAnsi="Calibri" w:eastAsia="Calibri"/>
                <w:b w:val="0"/>
                <w:sz w:val="16"/>
              </w:rPr>
              <w:t>Wi-Fi STA menggunakan WiFi.begin; DHCP adalah inferensi; tidak ditemukan static IP, Ethernet, atau WPA-EAP.</w:t>
            </w:r>
          </w:p>
        </w:tc>
        <w:tc>
          <w:tcPr>
            <w:tcW w:type="dxa" w:w="2860"/>
          </w:tcPr>
          <w:p>
            <w:pPr>
              <w:spacing w:after="0"/>
              <w:rPr>
                <w:lang w:val="id-ID"/>
              </w:rPr>
            </w:pPr>
            <w:r>
              <w:rPr>
                <w:rFonts w:ascii="Calibri" w:hAnsi="Calibri" w:eastAsia="Calibri"/>
                <w:b w:val="0"/>
                <w:sz w:val="16"/>
              </w:rPr>
              <w:t>Current capability</w:t>
            </w:r>
          </w:p>
        </w:tc>
      </w:tr>
      <w:tr>
        <w:trPr>
          <w:cantSplit w:val="true"/>
        </w:trPr>
        <w:tc>
          <w:tcPr>
            <w:tcW w:type="dxa" w:w="1800"/>
          </w:tcPr>
          <w:p>
            <w:pPr>
              <w:spacing w:after="0"/>
              <w:rPr>
                <w:lang w:val="id-ID"/>
              </w:rPr>
            </w:pPr>
            <w:r>
              <w:rPr>
                <w:rFonts w:ascii="Calibri" w:hAnsi="Calibri" w:eastAsia="Calibri"/>
                <w:b w:val="0"/>
                <w:sz w:val="16"/>
              </w:rPr>
              <w:t>Provisioning</w:t>
            </w:r>
          </w:p>
        </w:tc>
        <w:tc>
          <w:tcPr>
            <w:tcW w:type="dxa" w:w="4700"/>
          </w:tcPr>
          <w:p>
            <w:pPr>
              <w:spacing w:after="0"/>
              <w:rPr>
                <w:lang w:val="id-ID"/>
              </w:rPr>
            </w:pPr>
            <w:r>
              <w:rPr>
                <w:rFonts w:ascii="Calibri" w:hAnsi="Calibri" w:eastAsia="Calibri"/>
                <w:b w:val="0"/>
                <w:sz w:val="16"/>
              </w:rPr>
              <w:t>SSID/password, broker host/port/user/password dapat disimpan NVS melalui operator workflow.</w:t>
            </w:r>
          </w:p>
        </w:tc>
        <w:tc>
          <w:tcPr>
            <w:tcW w:type="dxa" w:w="2860"/>
          </w:tcPr>
          <w:p>
            <w:pPr>
              <w:spacing w:after="0"/>
              <w:rPr>
                <w:lang w:val="id-ID"/>
              </w:rPr>
            </w:pPr>
            <w:r>
              <w:rPr>
                <w:rFonts w:ascii="Calibri" w:hAnsi="Calibri" w:eastAsia="Calibri"/>
                <w:b w:val="0"/>
                <w:sz w:val="16"/>
              </w:rPr>
              <w:t>Live security/onboarding not tested</w:t>
            </w:r>
          </w:p>
        </w:tc>
      </w:tr>
      <w:tr>
        <w:trPr>
          <w:cantSplit w:val="true"/>
        </w:trPr>
        <w:tc>
          <w:tcPr>
            <w:tcW w:type="dxa" w:w="1800"/>
          </w:tcPr>
          <w:p>
            <w:pPr>
              <w:spacing w:after="0"/>
              <w:rPr>
                <w:lang w:val="id-ID"/>
              </w:rPr>
            </w:pPr>
            <w:r>
              <w:rPr>
                <w:rFonts w:ascii="Calibri" w:hAnsi="Calibri" w:eastAsia="Calibri"/>
                <w:b w:val="0"/>
                <w:sz w:val="16"/>
              </w:rPr>
              <w:t>MQTT</w:t>
            </w:r>
          </w:p>
        </w:tc>
        <w:tc>
          <w:tcPr>
            <w:tcW w:type="dxa" w:w="4700"/>
          </w:tcPr>
          <w:p>
            <w:pPr>
              <w:spacing w:after="0"/>
              <w:rPr>
                <w:lang w:val="id-ID"/>
              </w:rPr>
            </w:pPr>
            <w:r>
              <w:rPr>
                <w:rFonts w:ascii="Calibri" w:hAnsi="Calibri" w:eastAsia="Calibri"/>
                <w:b w:val="0"/>
                <w:sz w:val="16"/>
              </w:rPr>
              <w:t>WiFiClient plaintext; status period 10 s; RAM queue 8 × 1024 B volatile.</w:t>
            </w:r>
          </w:p>
        </w:tc>
        <w:tc>
          <w:tcPr>
            <w:tcW w:type="dxa" w:w="2860"/>
          </w:tcPr>
          <w:p>
            <w:pPr>
              <w:spacing w:after="0"/>
              <w:rPr>
                <w:lang w:val="id-ID"/>
              </w:rPr>
            </w:pPr>
            <w:r>
              <w:rPr>
                <w:rFonts w:ascii="Calibri" w:hAnsi="Calibri" w:eastAsia="Calibri"/>
                <w:b w:val="0"/>
                <w:sz w:val="16"/>
              </w:rPr>
              <w:t>TLS blocker; queue not durable</w:t>
            </w:r>
          </w:p>
        </w:tc>
      </w:tr>
      <w:tr>
        <w:trPr>
          <w:cantSplit w:val="true"/>
        </w:trPr>
        <w:tc>
          <w:tcPr>
            <w:tcW w:type="dxa" w:w="1800"/>
          </w:tcPr>
          <w:p>
            <w:pPr>
              <w:spacing w:after="0"/>
              <w:rPr>
                <w:lang w:val="id-ID"/>
              </w:rPr>
            </w:pPr>
            <w:r>
              <w:rPr>
                <w:rFonts w:ascii="Calibri" w:hAnsi="Calibri" w:eastAsia="Calibri"/>
                <w:b w:val="0"/>
                <w:sz w:val="16"/>
              </w:rPr>
              <w:t>Status</w:t>
            </w:r>
          </w:p>
        </w:tc>
        <w:tc>
          <w:tcPr>
            <w:tcW w:type="dxa" w:w="4700"/>
          </w:tcPr>
          <w:p>
            <w:pPr>
              <w:spacing w:after="0"/>
              <w:rPr>
                <w:lang w:val="id-ID"/>
              </w:rPr>
            </w:pPr>
            <w:r>
              <w:rPr>
                <w:rFonts w:ascii="Calibri" w:hAnsi="Calibri" w:eastAsia="Calibri"/>
                <w:b w:val="0"/>
                <w:sz w:val="16"/>
              </w:rPr>
              <w:t>MQTT status berisi STA MAC, IP, RSSI, broker, port, queue.</w:t>
            </w:r>
          </w:p>
        </w:tc>
        <w:tc>
          <w:tcPr>
            <w:tcW w:type="dxa" w:w="2860"/>
          </w:tcPr>
          <w:p>
            <w:pPr>
              <w:spacing w:after="0"/>
              <w:rPr>
                <w:lang w:val="id-ID"/>
              </w:rPr>
            </w:pPr>
            <w:r>
              <w:rPr>
                <w:rFonts w:ascii="Calibri" w:hAnsi="Calibri" w:eastAsia="Calibri"/>
                <w:b w:val="0"/>
                <w:sz w:val="16"/>
              </w:rPr>
              <w:t>Pra-onboarding serial status belum menampilkan STA MAC</w:t>
            </w:r>
          </w:p>
        </w:tc>
      </w:tr>
      <w:tr>
        <w:trPr>
          <w:cantSplit w:val="true"/>
        </w:trPr>
        <w:tc>
          <w:tcPr>
            <w:tcW w:type="dxa" w:w="1800"/>
          </w:tcPr>
          <w:p>
            <w:pPr>
              <w:spacing w:after="0"/>
              <w:rPr>
                <w:lang w:val="id-ID"/>
              </w:rPr>
            </w:pPr>
            <w:r>
              <w:rPr>
                <w:rFonts w:ascii="Calibri" w:hAnsi="Calibri" w:eastAsia="Calibri"/>
                <w:b w:val="0"/>
                <w:sz w:val="16"/>
              </w:rPr>
              <w:t>Power/placement</w:t>
            </w:r>
          </w:p>
        </w:tc>
        <w:tc>
          <w:tcPr>
            <w:tcW w:type="dxa" w:w="4700"/>
          </w:tcPr>
          <w:p>
            <w:pPr>
              <w:spacing w:after="0"/>
              <w:rPr>
                <w:lang w:val="id-ID"/>
              </w:rPr>
            </w:pPr>
            <w:r>
              <w:rPr>
                <w:rFonts w:ascii="Calibri" w:hAnsi="Calibri" w:eastAsia="Calibri"/>
                <w:b w:val="0"/>
                <w:sz w:val="16"/>
              </w:rPr>
              <w:t>Meeting note: 5 V indoor/safe area; antenna ke rooftop.</w:t>
            </w:r>
          </w:p>
        </w:tc>
        <w:tc>
          <w:tcPr>
            <w:tcW w:type="dxa" w:w="2860"/>
          </w:tcPr>
          <w:p>
            <w:pPr>
              <w:spacing w:after="0"/>
              <w:rPr>
                <w:lang w:val="id-ID"/>
              </w:rPr>
            </w:pPr>
            <w:r>
              <w:rPr>
                <w:rFonts w:ascii="Calibri" w:hAnsi="Calibri" w:eastAsia="Calibri"/>
                <w:b w:val="0"/>
                <w:sz w:val="16"/>
              </w:rPr>
              <w:t>Current, connector, PSU, dimensions, IP, lightning: TBD</w:t>
            </w:r>
          </w:p>
        </w:tc>
      </w:tr>
      <w:tr>
        <w:trPr>
          <w:cantSplit w:val="true"/>
        </w:trPr>
        <w:tc>
          <w:tcPr>
            <w:tcW w:type="dxa" w:w="1800"/>
          </w:tcPr>
          <w:p>
            <w:pPr>
              <w:spacing w:after="0"/>
              <w:rPr>
                <w:lang w:val="id-ID"/>
              </w:rPr>
            </w:pPr>
            <w:r>
              <w:rPr>
                <w:rFonts w:ascii="Calibri" w:hAnsi="Calibri" w:eastAsia="Calibri"/>
                <w:b w:val="0"/>
                <w:sz w:val="16"/>
              </w:rPr>
              <w:t>Network endpoint</w:t>
            </w:r>
          </w:p>
        </w:tc>
        <w:tc>
          <w:tcPr>
            <w:tcW w:type="dxa" w:w="4700"/>
          </w:tcPr>
          <w:p>
            <w:pPr>
              <w:spacing w:after="0"/>
              <w:rPr>
                <w:lang w:val="id-ID"/>
              </w:rPr>
            </w:pPr>
            <w:r>
              <w:rPr>
                <w:rFonts w:ascii="Calibri" w:hAnsi="Calibri" w:eastAsia="Calibri"/>
                <w:b w:val="0"/>
                <w:sz w:val="16"/>
              </w:rPr>
              <w:t>Default host/SSID masih CHANGE_ME; port 1884 adalah bench.</w:t>
            </w:r>
          </w:p>
        </w:tc>
        <w:tc>
          <w:tcPr>
            <w:tcW w:type="dxa" w:w="2860"/>
          </w:tcPr>
          <w:p>
            <w:pPr>
              <w:spacing w:after="0"/>
              <w:rPr>
                <w:lang w:val="id-ID"/>
              </w:rPr>
            </w:pPr>
            <w:r>
              <w:rPr>
                <w:rFonts w:ascii="Calibri" w:hAnsi="Calibri" w:eastAsia="Calibri"/>
                <w:b w:val="0"/>
                <w:sz w:val="16"/>
              </w:rPr>
              <w:t>Production FQDN/IP/port TBD by IT</w:t>
            </w:r>
          </w:p>
        </w:tc>
      </w:tr>
    </w:tbl>
    <w:p>
      <w:pPr>
        <w:spacing w:after="0"/>
      </w:pPr>
    </w:p>
    <w:p>
      <w:pPr>
        <w:pStyle w:val="Heading2"/>
        <w:rPr>
          <w:lang w:val="id-ID"/>
        </w:rPr>
      </w:pPr>
      <w:r>
        <w:t>7.2 Batas queue dan failure behavior</w:t>
      </w:r>
    </w:p>
    <w:p>
      <w:pPr>
        <w:rPr>
          <w:lang w:val="id-ID"/>
        </w:rPr>
      </w:pPr>
      <w:r>
        <w:rPr>
          <w:rFonts w:ascii="Calibri" w:hAnsi="Calibri" w:eastAsia="Calibri"/>
        </w:rPr>
        <w:t>Queue Gateway hanya 8 item × 1024 byte di RAM; restart/power loss menghilangkan antrean. Ini bukan store-and-forward historian. Acceptance harus menguji disconnect, overflow/drop, reconnect, ordering/replay, alarm handling, dan visibility. Gangguan network tidak boleh menghasilkan ACK alarm palsu; command-result correlation end-to-end masih menjadi residual gap yang harus dibuktikan.</w:t>
      </w:r>
    </w:p>
    <w:p>
      <w:pPr>
        <w:pStyle w:val="Heading2"/>
        <w:rPr>
          <w:lang w:val="id-ID"/>
        </w:rPr>
      </w:pPr>
      <w:r>
        <w:t>7.3 Kebutuhan fisik Gateway</w:t>
      </w:r>
    </w:p>
    <w:p>
      <w:pPr>
        <w:pStyle w:val="ListBullet"/>
        <w:rPr>
          <w:lang w:val="id-ID"/>
        </w:rPr>
      </w:pPr>
      <w:r>
        <w:rPr>
          <w:rFonts w:ascii="Calibri" w:hAnsi="Calibri" w:eastAsia="Calibri"/>
        </w:rPr>
        <w:t>Lokasi indoor/safe-area tertulis dan accessible; asset label memuat serial serta Wi-Fi STA MAC sebelum onboarding.</w:t>
      </w:r>
    </w:p>
    <w:p>
      <w:pPr>
        <w:pStyle w:val="ListBullet"/>
        <w:rPr>
          <w:lang w:val="id-ID"/>
        </w:rPr>
      </w:pPr>
      <w:r>
        <w:rPr>
          <w:rFonts w:ascii="Calibri" w:hAnsi="Calibri" w:eastAsia="Calibri"/>
        </w:rPr>
        <w:t>PSU 5 V industrial: voltage/current/connector/grounding/UPS/TBD harus diukur dan dibakukan.</w:t>
      </w:r>
    </w:p>
    <w:p>
      <w:pPr>
        <w:pStyle w:val="ListBullet"/>
        <w:rPr>
          <w:lang w:val="id-ID"/>
        </w:rPr>
      </w:pPr>
      <w:r>
        <w:rPr>
          <w:rFonts w:ascii="Calibri" w:hAnsi="Calibri" w:eastAsia="Calibri"/>
        </w:rPr>
        <w:t>Antenna rooftop memerlukan route/coax loss, weatherproof feedthrough, lightning/surge protection, bonding/earthing, structural permission, work-at-height, dan separation dari antenna lain.</w:t>
      </w:r>
    </w:p>
    <w:p>
      <w:pPr>
        <w:pStyle w:val="ListBullet"/>
        <w:rPr>
          <w:lang w:val="id-ID"/>
        </w:rPr>
      </w:pPr>
      <w:r>
        <w:rPr>
          <w:rFonts w:ascii="Calibri" w:hAnsi="Calibri" w:eastAsia="Calibri"/>
        </w:rPr>
        <w:t>Gain/EIRP, EMC, SDPPI/regulatory status, IP/IK, ambient, dimension, weight, dan enclosure certificate belum ditemukan; semua ditandai TBD.</w:t>
      </w:r>
    </w:p>
    <w:p>
      <w:pPr>
        <w:pStyle w:val="ListBullet"/>
        <w:rPr>
          <w:lang w:val="id-ID"/>
        </w:rPr>
      </w:pPr>
      <w:r>
        <w:rPr>
          <w:rFonts w:ascii="Calibri" w:hAnsi="Calibri" w:eastAsia="Calibri"/>
        </w:rPr>
        <w:t>Future Ethernet hanya roadmap bila tidak ada implementation evidence di current source.</w:t>
      </w:r>
    </w:p>
    <w:p>
      <w:pPr>
        <w:pStyle w:val="Heading1"/>
        <w:pageBreakBefore/>
        <w:rPr>
          <w:lang w:val="id-ID"/>
        </w:rPr>
      </w:pPr>
      <w:r>
        <w:t>8. Server, dashboard, database, dan deployment</w:t>
      </w:r>
    </w:p>
    <w:p>
      <w:pPr>
        <w:pStyle w:val="Heading2"/>
        <w:rPr>
          <w:lang w:val="id-ID"/>
        </w:rPr>
      </w:pPr>
      <w:r>
        <w:t>8.1 Apa yang repo buktikan</w:t>
      </w:r>
    </w:p>
    <w:p>
      <w:pPr>
        <w:pStyle w:val="ListBullet"/>
        <w:rPr>
          <w:lang w:val="id-ID"/>
        </w:rPr>
      </w:pPr>
      <w:r>
        <w:rPr>
          <w:rFonts w:ascii="Calibri" w:hAnsi="Calibri" w:eastAsia="Calibri"/>
        </w:rPr>
        <w:t>Ada Node-RED bridge untuk MQTT input/output, decode, topology/status, command, dan dashboard-related flows.</w:t>
      </w:r>
    </w:p>
    <w:p>
      <w:pPr>
        <w:pStyle w:val="ListBullet"/>
        <w:rPr>
          <w:lang w:val="id-ID"/>
        </w:rPr>
      </w:pPr>
      <w:r>
        <w:rPr>
          <w:rFonts w:ascii="Calibri" w:hAnsi="Calibri" w:eastAsia="Calibri"/>
        </w:rPr>
        <w:t>Ada dataset recorder dengan MySQL + CSV/idempotency. MySQL pada flow ini adalah recorder dataset, bukan bukti historian telemetry production sudah dirancang.</w:t>
      </w:r>
    </w:p>
    <w:p>
      <w:pPr>
        <w:pStyle w:val="ListBullet"/>
        <w:rPr>
          <w:lang w:val="id-ID"/>
        </w:rPr>
      </w:pPr>
      <w:r>
        <w:rPr>
          <w:rFonts w:ascii="Calibri" w:hAnsi="Calibri" w:eastAsia="Calibri"/>
        </w:rPr>
        <w:t>Secret seharusnya berasal dari runtime environment/credentials; generator non-loopback menuntut TLS dan credential.</w:t>
      </w:r>
    </w:p>
    <w:p>
      <w:pPr>
        <w:pStyle w:val="ListBullet"/>
        <w:rPr>
          <w:lang w:val="id-ID"/>
        </w:rPr>
      </w:pPr>
      <w:r>
        <w:rPr>
          <w:rFonts w:ascii="Calibri" w:hAnsi="Calibri" w:eastAsia="Calibri"/>
        </w:rPr>
        <w:t>Flow snapshot utama saat audit berisi 56 node dan tidak memiliki ingest/decode gld/gateway/status yang sudah ada pada generator terkini. Read-only check melaporkan drift:true. Dataset-flow check melaporkan Drift:false.</w:t>
      </w:r>
    </w:p>
    <w:p>
      <w:pPr>
        <w:pStyle w:val="ListBullet"/>
        <w:rPr>
          <w:lang w:val="id-ID"/>
        </w:rPr>
      </w:pPr>
      <w:r>
        <w:rPr>
          <w:rFonts w:ascii="Calibri" w:hAnsi="Calibri" w:eastAsia="Calibri"/>
        </w:rPr>
        <w:t>Tidak ditemukan manifest production authoritative untuk OS, Node.js, Node-RED/plugin version, broker package/config/service, package.json/container/service, reverse proxy, backup/restore, retention, HA, RPO/RTO, monitoring, atau dashboard HTTPS/RBAC.</w:t>
      </w:r>
    </w:p>
    <w:p>
      <w:pPr>
        <w:pStyle w:val="Heading2"/>
        <w:rPr>
          <w:lang w:val="id-ID"/>
        </w:rPr>
      </w:pPr>
      <w:r>
        <w:t>8.2 Blocker server flow drift</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CE8E6"/>
          </w:tcPr>
          <w:p>
            <w:pPr>
              <w:spacing w:after="40"/>
              <w:rPr>
                <w:lang w:val="id-ID"/>
              </w:rPr>
            </w:pPr>
            <w:r>
              <w:rPr>
                <w:rFonts w:ascii="Calibri" w:hAnsi="Calibri" w:eastAsia="Calibri"/>
                <w:b/>
                <w:color w:val="C00000"/>
                <w:sz w:val="20"/>
              </w:rPr>
              <w:t xml:space="preserve">SERVER-01  </w:t>
            </w:r>
            <w:r>
              <w:rPr>
                <w:rFonts w:ascii="Calibri" w:hAnsi="Calibri" w:eastAsia="Calibri"/>
                <w:color w:val="243447"/>
                <w:sz w:val="20"/>
              </w:rPr>
              <w:t>Rekonsiliasi generator dan pertamina-gld-server.flow.json sebelum packaging/deployment. Setelah source snapshot konsisten, verifikasi revision/hash yang benar-benar live; audit sesi ini tidak mengakses deployment live.</w:t>
            </w:r>
          </w:p>
        </w:tc>
      </w:tr>
    </w:tbl>
    <w:p>
      <w:pPr>
        <w:spacing w:after="0"/>
      </w:pPr>
    </w:p>
    <w:p>
      <w:pPr>
        <w:pStyle w:val="Heading2"/>
        <w:rPr>
          <w:lang w:val="id-ID"/>
        </w:rPr>
      </w:pPr>
      <w:r>
        <w:t>8.3 Baseline pilot sementara</w:t>
      </w:r>
    </w:p>
    <w:tbl>
      <w:tblPr>
        <w:tblStyle w:val="TableGrid"/>
        <w:tblW w:type="dxa" w:w="9360"/>
        <w:jc w:val="center"/>
        <w:tblLayout w:type="fixed"/>
        <w:tblLook w:firstColumn="1" w:firstRow="1" w:lastColumn="0" w:lastRow="0" w:noHBand="0" w:noVBand="1" w:val="04A0"/>
        <w:tblInd w:w="120" w:type="dxa"/>
      </w:tblPr>
      <w:tblGrid>
        <w:gridCol w:w="1250"/>
        <w:gridCol w:w="1800"/>
        <w:gridCol w:w="2700"/>
        <w:gridCol w:w="3610"/>
      </w:tblGrid>
      <w:tr>
        <w:trPr>
          <w:tblHeader w:val="true"/>
          <w:cantSplit w:val="true"/>
        </w:trPr>
        <w:tc>
          <w:tcPr>
            <w:tcW w:type="dxa" w:w="12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Item</w:t>
            </w:r>
          </w:p>
        </w:tc>
        <w:tc>
          <w:tcPr>
            <w:tcW w:type="dxa" w:w="18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Minimum planning</w:t>
            </w:r>
          </w:p>
        </w:tc>
        <w:tc>
          <w:tcPr>
            <w:tcW w:type="dxa" w:w="27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Recommended pilot planning</w:t>
            </w:r>
          </w:p>
        </w:tc>
        <w:tc>
          <w:tcPr>
            <w:tcW w:type="dxa" w:w="361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Finalization input</w:t>
            </w:r>
          </w:p>
        </w:tc>
      </w:tr>
      <w:tr>
        <w:trPr>
          <w:cantSplit w:val="true"/>
        </w:trPr>
        <w:tc>
          <w:tcPr>
            <w:tcW w:type="dxa" w:w="1250"/>
          </w:tcPr>
          <w:p>
            <w:pPr>
              <w:spacing w:after="0"/>
              <w:rPr>
                <w:lang w:val="id-ID"/>
              </w:rPr>
            </w:pPr>
            <w:r>
              <w:rPr>
                <w:rFonts w:ascii="Calibri" w:hAnsi="Calibri" w:eastAsia="Calibri"/>
                <w:b w:val="0"/>
                <w:sz w:val="16"/>
              </w:rPr>
              <w:t>CPU</w:t>
            </w:r>
          </w:p>
        </w:tc>
        <w:tc>
          <w:tcPr>
            <w:tcW w:type="dxa" w:w="1800"/>
          </w:tcPr>
          <w:p>
            <w:pPr>
              <w:spacing w:after="0"/>
              <w:rPr>
                <w:lang w:val="id-ID"/>
              </w:rPr>
            </w:pPr>
            <w:r>
              <w:rPr>
                <w:rFonts w:ascii="Calibri" w:hAnsi="Calibri" w:eastAsia="Calibri"/>
                <w:b w:val="0"/>
                <w:sz w:val="16"/>
              </w:rPr>
              <w:t>2 vCPU</w:t>
            </w:r>
          </w:p>
        </w:tc>
        <w:tc>
          <w:tcPr>
            <w:tcW w:type="dxa" w:w="2700"/>
          </w:tcPr>
          <w:p>
            <w:pPr>
              <w:spacing w:after="0"/>
              <w:rPr>
                <w:lang w:val="id-ID"/>
              </w:rPr>
            </w:pPr>
            <w:r>
              <w:rPr>
                <w:rFonts w:ascii="Calibri" w:hAnsi="Calibri" w:eastAsia="Calibri"/>
                <w:b w:val="0"/>
                <w:sz w:val="16"/>
              </w:rPr>
              <w:t>4 vCPU</w:t>
            </w:r>
          </w:p>
        </w:tc>
        <w:tc>
          <w:tcPr>
            <w:tcW w:type="dxa" w:w="3610"/>
          </w:tcPr>
          <w:p>
            <w:pPr>
              <w:spacing w:after="0"/>
              <w:rPr>
                <w:lang w:val="id-ID"/>
              </w:rPr>
            </w:pPr>
            <w:r>
              <w:rPr>
                <w:rFonts w:ascii="Calibri" w:hAnsi="Calibri" w:eastAsia="Calibri"/>
                <w:b w:val="0"/>
                <w:sz w:val="16"/>
              </w:rPr>
              <w:t>Node count, decode/flow load, concurrent users, alarm burst</w:t>
            </w:r>
          </w:p>
        </w:tc>
      </w:tr>
      <w:tr>
        <w:trPr>
          <w:cantSplit w:val="true"/>
        </w:trPr>
        <w:tc>
          <w:tcPr>
            <w:tcW w:type="dxa" w:w="1250"/>
          </w:tcPr>
          <w:p>
            <w:pPr>
              <w:spacing w:after="0"/>
              <w:rPr>
                <w:lang w:val="id-ID"/>
              </w:rPr>
            </w:pPr>
            <w:r>
              <w:rPr>
                <w:rFonts w:ascii="Calibri" w:hAnsi="Calibri" w:eastAsia="Calibri"/>
                <w:b w:val="0"/>
                <w:sz w:val="16"/>
              </w:rPr>
              <w:t>RAM</w:t>
            </w:r>
          </w:p>
        </w:tc>
        <w:tc>
          <w:tcPr>
            <w:tcW w:type="dxa" w:w="1800"/>
          </w:tcPr>
          <w:p>
            <w:pPr>
              <w:spacing w:after="0"/>
              <w:rPr>
                <w:lang w:val="id-ID"/>
              </w:rPr>
            </w:pPr>
            <w:r>
              <w:rPr>
                <w:rFonts w:ascii="Calibri" w:hAnsi="Calibri" w:eastAsia="Calibri"/>
                <w:b w:val="0"/>
                <w:sz w:val="16"/>
              </w:rPr>
              <w:t>4 GB</w:t>
            </w:r>
          </w:p>
        </w:tc>
        <w:tc>
          <w:tcPr>
            <w:tcW w:type="dxa" w:w="2700"/>
          </w:tcPr>
          <w:p>
            <w:pPr>
              <w:spacing w:after="0"/>
              <w:rPr>
                <w:lang w:val="id-ID"/>
              </w:rPr>
            </w:pPr>
            <w:r>
              <w:rPr>
                <w:rFonts w:ascii="Calibri" w:hAnsi="Calibri" w:eastAsia="Calibri"/>
                <w:b w:val="0"/>
                <w:sz w:val="16"/>
              </w:rPr>
              <w:t>8 GB</w:t>
            </w:r>
          </w:p>
        </w:tc>
        <w:tc>
          <w:tcPr>
            <w:tcW w:type="dxa" w:w="3610"/>
          </w:tcPr>
          <w:p>
            <w:pPr>
              <w:spacing w:after="0"/>
              <w:rPr>
                <w:lang w:val="id-ID"/>
              </w:rPr>
            </w:pPr>
            <w:r>
              <w:rPr>
                <w:rFonts w:ascii="Calibri" w:hAnsi="Calibri" w:eastAsia="Calibri"/>
                <w:b w:val="0"/>
                <w:sz w:val="16"/>
              </w:rPr>
              <w:t>Node-RED heap, broker, DB cache, OS/monitoring</w:t>
            </w:r>
          </w:p>
        </w:tc>
      </w:tr>
      <w:tr>
        <w:trPr>
          <w:cantSplit w:val="true"/>
        </w:trPr>
        <w:tc>
          <w:tcPr>
            <w:tcW w:type="dxa" w:w="1250"/>
          </w:tcPr>
          <w:p>
            <w:pPr>
              <w:spacing w:after="0"/>
              <w:rPr>
                <w:lang w:val="id-ID"/>
              </w:rPr>
            </w:pPr>
            <w:r>
              <w:rPr>
                <w:rFonts w:ascii="Calibri" w:hAnsi="Calibri" w:eastAsia="Calibri"/>
                <w:b w:val="0"/>
                <w:sz w:val="16"/>
              </w:rPr>
              <w:t>Storage</w:t>
            </w:r>
          </w:p>
        </w:tc>
        <w:tc>
          <w:tcPr>
            <w:tcW w:type="dxa" w:w="1800"/>
          </w:tcPr>
          <w:p>
            <w:pPr>
              <w:spacing w:after="0"/>
              <w:rPr>
                <w:lang w:val="id-ID"/>
              </w:rPr>
            </w:pPr>
            <w:r>
              <w:rPr>
                <w:rFonts w:ascii="Calibri" w:hAnsi="Calibri" w:eastAsia="Calibri"/>
                <w:b w:val="0"/>
                <w:sz w:val="16"/>
              </w:rPr>
              <w:t>50 GB SSD</w:t>
            </w:r>
          </w:p>
        </w:tc>
        <w:tc>
          <w:tcPr>
            <w:tcW w:type="dxa" w:w="2700"/>
          </w:tcPr>
          <w:p>
            <w:pPr>
              <w:spacing w:after="0"/>
              <w:rPr>
                <w:lang w:val="id-ID"/>
              </w:rPr>
            </w:pPr>
            <w:r>
              <w:rPr>
                <w:rFonts w:ascii="Calibri" w:hAnsi="Calibri" w:eastAsia="Calibri"/>
                <w:b w:val="0"/>
                <w:sz w:val="16"/>
              </w:rPr>
              <w:t>100 GB SSD</w:t>
            </w:r>
          </w:p>
        </w:tc>
        <w:tc>
          <w:tcPr>
            <w:tcW w:type="dxa" w:w="3610"/>
          </w:tcPr>
          <w:p>
            <w:pPr>
              <w:spacing w:after="0"/>
              <w:rPr>
                <w:lang w:val="id-ID"/>
              </w:rPr>
            </w:pPr>
            <w:r>
              <w:rPr>
                <w:rFonts w:ascii="Calibri" w:hAnsi="Calibri" w:eastAsia="Calibri"/>
                <w:b w:val="0"/>
                <w:sz w:val="16"/>
              </w:rPr>
              <w:t>Retention, DB/index growth, logs, backup, evidence images</w:t>
            </w:r>
          </w:p>
        </w:tc>
      </w:tr>
      <w:tr>
        <w:trPr>
          <w:cantSplit w:val="true"/>
        </w:trPr>
        <w:tc>
          <w:tcPr>
            <w:tcW w:type="dxa" w:w="1250"/>
          </w:tcPr>
          <w:p>
            <w:pPr>
              <w:spacing w:after="0"/>
              <w:rPr>
                <w:lang w:val="id-ID"/>
              </w:rPr>
            </w:pPr>
            <w:r>
              <w:rPr>
                <w:rFonts w:ascii="Calibri" w:hAnsi="Calibri" w:eastAsia="Calibri"/>
                <w:b w:val="0"/>
                <w:sz w:val="16"/>
              </w:rPr>
              <w:t>Network</w:t>
            </w:r>
          </w:p>
        </w:tc>
        <w:tc>
          <w:tcPr>
            <w:tcW w:type="dxa" w:w="1800"/>
          </w:tcPr>
          <w:p>
            <w:pPr>
              <w:spacing w:after="0"/>
              <w:rPr>
                <w:lang w:val="id-ID"/>
              </w:rPr>
            </w:pPr>
            <w:r>
              <w:rPr>
                <w:rFonts w:ascii="Calibri" w:hAnsi="Calibri" w:eastAsia="Calibri"/>
                <w:b w:val="0"/>
                <w:sz w:val="16"/>
              </w:rPr>
              <w:t>1 GbE/VLAN</w:t>
            </w:r>
          </w:p>
        </w:tc>
        <w:tc>
          <w:tcPr>
            <w:tcW w:type="dxa" w:w="2700"/>
          </w:tcPr>
          <w:p>
            <w:pPr>
              <w:spacing w:after="0"/>
              <w:rPr>
                <w:lang w:val="id-ID"/>
              </w:rPr>
            </w:pPr>
            <w:r>
              <w:rPr>
                <w:rFonts w:ascii="Calibri" w:hAnsi="Calibri" w:eastAsia="Calibri"/>
                <w:b w:val="0"/>
                <w:sz w:val="16"/>
              </w:rPr>
              <w:t>1 GbE + managed firewall path</w:t>
            </w:r>
          </w:p>
        </w:tc>
        <w:tc>
          <w:tcPr>
            <w:tcW w:type="dxa" w:w="3610"/>
          </w:tcPr>
          <w:p>
            <w:pPr>
              <w:spacing w:after="0"/>
              <w:rPr>
                <w:lang w:val="id-ID"/>
              </w:rPr>
            </w:pPr>
            <w:r>
              <w:rPr>
                <w:rFonts w:ascii="Calibri" w:hAnsi="Calibri" w:eastAsia="Calibri"/>
                <w:b w:val="0"/>
                <w:sz w:val="16"/>
              </w:rPr>
              <w:t>IT architecture, HA, backup network</w:t>
            </w:r>
          </w:p>
        </w:tc>
      </w:tr>
      <w:tr>
        <w:trPr>
          <w:cantSplit w:val="true"/>
        </w:trPr>
        <w:tc>
          <w:tcPr>
            <w:tcW w:type="dxa" w:w="1250"/>
          </w:tcPr>
          <w:p>
            <w:pPr>
              <w:spacing w:after="0"/>
              <w:rPr>
                <w:lang w:val="id-ID"/>
              </w:rPr>
            </w:pPr>
            <w:r>
              <w:rPr>
                <w:rFonts w:ascii="Calibri" w:hAnsi="Calibri" w:eastAsia="Calibri"/>
                <w:b w:val="0"/>
                <w:sz w:val="16"/>
              </w:rPr>
              <w:t>OS</w:t>
            </w:r>
          </w:p>
        </w:tc>
        <w:tc>
          <w:tcPr>
            <w:tcW w:type="dxa" w:w="1800"/>
          </w:tcPr>
          <w:p>
            <w:pPr>
              <w:spacing w:after="0"/>
              <w:rPr>
                <w:lang w:val="id-ID"/>
              </w:rPr>
            </w:pPr>
            <w:r>
              <w:rPr>
                <w:rFonts w:ascii="Calibri" w:hAnsi="Calibri" w:eastAsia="Calibri"/>
                <w:b w:val="0"/>
                <w:sz w:val="16"/>
              </w:rPr>
              <w:t>Server/LTS approved IT</w:t>
            </w:r>
          </w:p>
        </w:tc>
        <w:tc>
          <w:tcPr>
            <w:tcW w:type="dxa" w:w="2700"/>
          </w:tcPr>
          <w:p>
            <w:pPr>
              <w:spacing w:after="0"/>
              <w:rPr>
                <w:lang w:val="id-ID"/>
              </w:rPr>
            </w:pPr>
            <w:r>
              <w:rPr>
                <w:rFonts w:ascii="Calibri" w:hAnsi="Calibri" w:eastAsia="Calibri"/>
                <w:b w:val="0"/>
                <w:sz w:val="16"/>
              </w:rPr>
              <w:t>Windows Server 2022 or Linux LTS after qualification</w:t>
            </w:r>
          </w:p>
        </w:tc>
        <w:tc>
          <w:tcPr>
            <w:tcW w:type="dxa" w:w="3610"/>
          </w:tcPr>
          <w:p>
            <w:pPr>
              <w:spacing w:after="0"/>
              <w:rPr>
                <w:lang w:val="id-ID"/>
              </w:rPr>
            </w:pPr>
            <w:r>
              <w:rPr>
                <w:rFonts w:ascii="Calibri" w:hAnsi="Calibri" w:eastAsia="Calibri"/>
                <w:b w:val="0"/>
                <w:sz w:val="16"/>
              </w:rPr>
              <w:t>Current scripts are Windows-oriented; standard site platform wins</w:t>
            </w:r>
          </w:p>
        </w:tc>
      </w:tr>
      <w:tr>
        <w:trPr>
          <w:cantSplit w:val="true"/>
        </w:trPr>
        <w:tc>
          <w:tcPr>
            <w:tcW w:type="dxa" w:w="1250"/>
          </w:tcPr>
          <w:p>
            <w:pPr>
              <w:spacing w:after="0"/>
              <w:rPr>
                <w:lang w:val="id-ID"/>
              </w:rPr>
            </w:pPr>
            <w:r>
              <w:rPr>
                <w:rFonts w:ascii="Calibri" w:hAnsi="Calibri" w:eastAsia="Calibri"/>
                <w:b w:val="0"/>
                <w:sz w:val="16"/>
              </w:rPr>
              <w:t>Availability</w:t>
            </w:r>
          </w:p>
        </w:tc>
        <w:tc>
          <w:tcPr>
            <w:tcW w:type="dxa" w:w="1800"/>
          </w:tcPr>
          <w:p>
            <w:pPr>
              <w:spacing w:after="0"/>
              <w:rPr>
                <w:lang w:val="id-ID"/>
              </w:rPr>
            </w:pPr>
            <w:r>
              <w:rPr>
                <w:rFonts w:ascii="Calibri" w:hAnsi="Calibri" w:eastAsia="Calibri"/>
                <w:b w:val="0"/>
                <w:sz w:val="16"/>
              </w:rPr>
              <w:t>Single pilot</w:t>
            </w:r>
          </w:p>
        </w:tc>
        <w:tc>
          <w:tcPr>
            <w:tcW w:type="dxa" w:w="2700"/>
          </w:tcPr>
          <w:p>
            <w:pPr>
              <w:spacing w:after="0"/>
              <w:rPr>
                <w:lang w:val="id-ID"/>
              </w:rPr>
            </w:pPr>
            <w:r>
              <w:rPr>
                <w:rFonts w:ascii="Calibri" w:hAnsi="Calibri" w:eastAsia="Calibri"/>
                <w:b w:val="0"/>
                <w:sz w:val="16"/>
              </w:rPr>
              <w:t>Service auto-start + health + backup</w:t>
            </w:r>
          </w:p>
        </w:tc>
        <w:tc>
          <w:tcPr>
            <w:tcW w:type="dxa" w:w="3610"/>
          </w:tcPr>
          <w:p>
            <w:pPr>
              <w:spacing w:after="0"/>
              <w:rPr>
                <w:lang w:val="id-ID"/>
              </w:rPr>
            </w:pPr>
            <w:r>
              <w:rPr>
                <w:rFonts w:ascii="Calibri" w:hAnsi="Calibri" w:eastAsia="Calibri"/>
                <w:b w:val="0"/>
                <w:sz w:val="16"/>
              </w:rPr>
              <w:t>RPO/RTO, HA policy, maintenance window</w:t>
            </w:r>
          </w:p>
        </w:tc>
      </w:tr>
    </w:tbl>
    <w:p>
      <w:pPr>
        <w:spacing w:after="0"/>
      </w:pPr>
    </w:p>
    <w:p>
      <w:pPr>
        <w:rPr>
          <w:lang w:val="id-ID"/>
        </w:rPr>
      </w:pPr>
      <w:r>
        <w:rPr>
          <w:rFonts w:ascii="Calibri" w:hAnsi="Calibri" w:eastAsia="Calibri"/>
        </w:rPr>
        <w:t>Semua angka di atas adalah PROPOSAL/baseline planning, bukan minimum vendor yang telah diuji. Windows Server 2022 cenderung menurunkan migration risk untuk PowerShell/current path assumptions; Linux LTS tetap mungkin setelah scripts, service, path, permissions, plugin, dan backup diuji.</w:t>
      </w:r>
    </w:p>
    <w:p>
      <w:pPr>
        <w:pStyle w:val="Heading2"/>
        <w:rPr>
          <w:lang w:val="id-ID"/>
        </w:rPr>
      </w:pPr>
      <w:r>
        <w:t>8.4 Storage planning bound</w:t>
      </w:r>
    </w:p>
    <w:p>
      <w:pPr>
        <w:rPr>
          <w:lang w:val="id-ID"/>
        </w:rPr>
      </w:pPr>
      <w:r>
        <w:rPr>
          <w:rFonts w:ascii="Calibri" w:hAnsi="Calibri" w:eastAsia="Calibri"/>
        </w:rPr>
        <w:t>Bila digunakan batas konservatif 1 KB per GLD1 setiap 10 s untuk 3 GLD1, maka 3 × 8.640 = 25.920 record/hari, sekitar 25,9 MB/hari raw, atau 9,46 GB/tahun raw. Angka ini belum memasukkan protocol overhead, DB/index, logs, replicas, backup, alarm burst, atau dashboard cache—dan juga mungkin jauh di atas payload aktual. Final sizing memakai capture lapangan serta retention policy.</w:t>
      </w:r>
    </w:p>
    <w:p>
      <w:pPr>
        <w:pStyle w:val="Heading2"/>
        <w:rPr>
          <w:lang w:val="id-ID"/>
        </w:rPr>
      </w:pPr>
      <w:r>
        <w:t>8.5 Production deployment package yang belum ada</w:t>
      </w:r>
    </w:p>
    <w:p>
      <w:pPr>
        <w:pStyle w:val="ListBullet"/>
        <w:rPr>
          <w:lang w:val="id-ID"/>
        </w:rPr>
      </w:pPr>
      <w:r>
        <w:rPr>
          <w:rFonts w:ascii="Calibri" w:hAnsi="Calibri" w:eastAsia="Calibri"/>
        </w:rPr>
        <w:t>Pinned OS/runtime/plugin/broker versions dan checksum package.</w:t>
      </w:r>
    </w:p>
    <w:p>
      <w:pPr>
        <w:pStyle w:val="ListBullet"/>
        <w:rPr>
          <w:lang w:val="id-ID"/>
        </w:rPr>
      </w:pPr>
      <w:r>
        <w:rPr>
          <w:rFonts w:ascii="Calibri" w:hAnsi="Calibri" w:eastAsia="Calibri"/>
        </w:rPr>
        <w:t>Service account, filesystem paths, least privilege, secret storage, certificate store, time synchronization.</w:t>
      </w:r>
    </w:p>
    <w:p>
      <w:pPr>
        <w:pStyle w:val="ListBullet"/>
        <w:rPr>
          <w:lang w:val="id-ID"/>
        </w:rPr>
      </w:pPr>
      <w:r>
        <w:rPr>
          <w:rFonts w:ascii="Calibri" w:hAnsi="Calibri" w:eastAsia="Calibri"/>
        </w:rPr>
        <w:t>Broker auth/TLS/ACL, connection/session policy, retained messages, last-will, limit, logging, and rotation.</w:t>
      </w:r>
    </w:p>
    <w:p>
      <w:pPr>
        <w:pStyle w:val="ListBullet"/>
        <w:rPr>
          <w:lang w:val="id-ID"/>
        </w:rPr>
      </w:pPr>
      <w:r>
        <w:rPr>
          <w:rFonts w:ascii="Calibri" w:hAnsi="Calibri" w:eastAsia="Calibri"/>
        </w:rPr>
        <w:t>Reverse proxy HTTPS, certificate lifecycle, RBAC/session timeout, admin network restriction.</w:t>
      </w:r>
    </w:p>
    <w:p>
      <w:pPr>
        <w:pStyle w:val="ListBullet"/>
        <w:rPr>
          <w:lang w:val="id-ID"/>
        </w:rPr>
      </w:pPr>
      <w:r>
        <w:rPr>
          <w:rFonts w:ascii="Calibri" w:hAnsi="Calibri" w:eastAsia="Calibri"/>
        </w:rPr>
        <w:t>Telemetry historian/retention design terpisah dari dataset recorder; schema/version/migration.</w:t>
      </w:r>
    </w:p>
    <w:p>
      <w:pPr>
        <w:pStyle w:val="ListBullet"/>
        <w:rPr>
          <w:lang w:val="id-ID"/>
        </w:rPr>
      </w:pPr>
      <w:r>
        <w:rPr>
          <w:rFonts w:ascii="Calibri" w:hAnsi="Calibri" w:eastAsia="Calibri"/>
        </w:rPr>
        <w:t>Backup/restore untuk flows, credentials, broker config, replay-state JSON, MySQL dataset, certificates, dan audit logs.</w:t>
      </w:r>
    </w:p>
    <w:p>
      <w:pPr>
        <w:pStyle w:val="ListBullet"/>
        <w:rPr>
          <w:lang w:val="id-ID"/>
        </w:rPr>
      </w:pPr>
      <w:r>
        <w:rPr>
          <w:rFonts w:ascii="Calibri" w:hAnsi="Calibri" w:eastAsia="Calibri"/>
        </w:rPr>
        <w:t>Monitoring/alerting untuk process, disk, DB, broker connections, queue/drop, stale node, certificate expiry, backup failure.</w:t>
      </w:r>
    </w:p>
    <w:p>
      <w:pPr>
        <w:pStyle w:val="ListBullet"/>
        <w:rPr>
          <w:lang w:val="id-ID"/>
        </w:rPr>
      </w:pPr>
      <w:r>
        <w:rPr>
          <w:rFonts w:ascii="Calibri" w:hAnsi="Calibri" w:eastAsia="Calibri"/>
        </w:rPr>
        <w:t>RPO/RTO, HA/DR, patching, vulnerability process, deployment/change/rollback runbook.</w:t>
      </w:r>
    </w:p>
    <w:p>
      <w:pPr>
        <w:pStyle w:val="Heading1"/>
        <w:pageBreakBefore/>
        <w:rPr>
          <w:lang w:val="id-ID"/>
        </w:rPr>
      </w:pPr>
      <w:r>
        <w:t>9. Desain intranet, onboarding, dan keamanan</w:t>
      </w:r>
    </w:p>
    <w:p>
      <w:pPr>
        <w:pStyle w:val="Heading2"/>
        <w:rPr>
          <w:lang w:val="id-ID"/>
        </w:rPr>
      </w:pPr>
      <w:r>
        <w:t>9.1 Prinsip jaringan yang benar</w:t>
      </w:r>
    </w:p>
    <w:p>
      <w:pPr>
        <w:pStyle w:val="ListBullet"/>
        <w:rPr>
          <w:lang w:val="id-ID"/>
        </w:rPr>
      </w:pPr>
      <w:r>
        <w:rPr>
          <w:rFonts w:ascii="Calibri" w:hAnsi="Calibri" w:eastAsia="Calibri"/>
        </w:rPr>
        <w:t>Gateway dan server tidak harus satu SSID atau subnet. Mereka harus memiliki routed reachability yang disetujui dari VLAN Wi-Fi Gateway ke endpoint broker.</w:t>
      </w:r>
    </w:p>
    <w:p>
      <w:pPr>
        <w:pStyle w:val="ListBullet"/>
        <w:rPr>
          <w:lang w:val="id-ID"/>
        </w:rPr>
      </w:pPr>
      <w:r>
        <w:rPr>
          <w:rFonts w:ascii="Calibri" w:hAnsi="Calibri" w:eastAsia="Calibri"/>
        </w:rPr>
        <w:t>Gateway memulai koneksi outbound; server tidak perlu membuka koneksi baru langsung ke Gateway.</w:t>
      </w:r>
    </w:p>
    <w:p>
      <w:pPr>
        <w:pStyle w:val="ListBullet"/>
        <w:rPr>
          <w:lang w:val="id-ID"/>
        </w:rPr>
      </w:pPr>
      <w:r>
        <w:rPr>
          <w:rFonts w:ascii="Calibri" w:hAnsi="Calibri" w:eastAsia="Calibri"/>
        </w:rPr>
        <w:t>Jarak fisik sekitar 2 km tidak menentukan MQTT bila intranet menyediakan routing, latency, loss, firewall, dan DNS yang memadai. Jarak RF CH–GW tetap harus diuji terpisah.</w:t>
      </w:r>
    </w:p>
    <w:p>
      <w:pPr>
        <w:pStyle w:val="ListBullet"/>
        <w:rPr>
          <w:lang w:val="id-ID"/>
        </w:rPr>
      </w:pPr>
      <w:r>
        <w:rPr>
          <w:rFonts w:ascii="Calibri" w:hAnsi="Calibri" w:eastAsia="Calibri"/>
        </w:rPr>
        <w:t>Broker sebaiknya mempunyai FQDN dengan IP statis/reservasi dan lifecycle change yang terkendali. Gateway dapat DHCP jika reservation/onboarding policy mengizinkan.</w:t>
      </w:r>
    </w:p>
    <w:p>
      <w:pPr>
        <w:pStyle w:val="ListBullet"/>
        <w:rPr>
          <w:lang w:val="id-ID"/>
        </w:rPr>
      </w:pPr>
      <w:r>
        <w:rPr>
          <w:rFonts w:ascii="Calibri" w:hAnsi="Calibri" w:eastAsia="Calibri"/>
        </w:rPr>
        <w:t>TCP reachability hanya precheck; MQTT success memerlukan broker evidence/CONNACK sukses, active subscription, publish/receive, auth/ACL, reconnect, dan log.</w:t>
      </w:r>
    </w:p>
    <w:p>
      <w:pPr>
        <w:pStyle w:val="Heading2"/>
        <w:rPr>
          <w:lang w:val="id-ID"/>
        </w:rPr>
      </w:pPr>
      <w:r>
        <w:t>9.2 Data wajib untuk tiket IT</w:t>
      </w:r>
    </w:p>
    <w:tbl>
      <w:tblPr>
        <w:tblStyle w:val="TableGrid"/>
        <w:tblW w:type="dxa" w:w="9360"/>
        <w:jc w:val="center"/>
        <w:tblLayout w:type="fixed"/>
        <w:tblLook w:firstColumn="1" w:firstRow="1" w:lastColumn="0" w:lastRow="0" w:noHBand="0" w:noVBand="1" w:val="04A0"/>
        <w:tblInd w:w="120" w:type="dxa"/>
      </w:tblPr>
      <w:tblGrid>
        <w:gridCol w:w="2100"/>
        <w:gridCol w:w="3000"/>
        <w:gridCol w:w="4260"/>
      </w:tblGrid>
      <w:tr>
        <w:trPr>
          <w:tblHeader w:val="true"/>
          <w:cantSplit w:val="true"/>
        </w:trPr>
        <w:tc>
          <w:tcPr>
            <w:tcW w:type="dxa" w:w="21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Data</w:t>
            </w:r>
          </w:p>
        </w:tc>
        <w:tc>
          <w:tcPr>
            <w:tcW w:type="dxa" w:w="30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Isi sekarang</w:t>
            </w:r>
          </w:p>
        </w:tc>
        <w:tc>
          <w:tcPr>
            <w:tcW w:type="dxa" w:w="42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Yang harus diisi sebelum submit</w:t>
            </w:r>
          </w:p>
        </w:tc>
      </w:tr>
      <w:tr>
        <w:trPr>
          <w:cantSplit w:val="true"/>
        </w:trPr>
        <w:tc>
          <w:tcPr>
            <w:tcW w:type="dxa" w:w="2100"/>
          </w:tcPr>
          <w:p>
            <w:pPr>
              <w:spacing w:after="0"/>
              <w:rPr>
                <w:lang w:val="id-ID"/>
              </w:rPr>
            </w:pPr>
            <w:r>
              <w:rPr>
                <w:rFonts w:ascii="Calibri" w:hAnsi="Calibri" w:eastAsia="Calibri"/>
                <w:b w:val="0"/>
                <w:sz w:val="16"/>
              </w:rPr>
              <w:t>Wi-Fi STA MAC</w:t>
            </w:r>
          </w:p>
        </w:tc>
        <w:tc>
          <w:tcPr>
            <w:tcW w:type="dxa" w:w="3000"/>
          </w:tcPr>
          <w:p>
            <w:pPr>
              <w:spacing w:after="0"/>
              <w:rPr>
                <w:lang w:val="id-ID"/>
              </w:rPr>
            </w:pPr>
            <w:r>
              <w:rPr>
                <w:rFonts w:ascii="Calibri" w:hAnsi="Calibri" w:eastAsia="Calibri"/>
                <w:b w:val="0"/>
                <w:sz w:val="16"/>
              </w:rPr>
              <w:t>Current source dapat publish MAC setelah online</w:t>
            </w:r>
          </w:p>
        </w:tc>
        <w:tc>
          <w:tcPr>
            <w:tcW w:type="dxa" w:w="4260"/>
          </w:tcPr>
          <w:p>
            <w:pPr>
              <w:spacing w:after="0"/>
              <w:rPr>
                <w:lang w:val="id-ID"/>
              </w:rPr>
            </w:pPr>
            <w:r>
              <w:rPr>
                <w:rFonts w:ascii="Calibri" w:hAnsi="Calibri" w:eastAsia="Calibri"/>
                <w:b w:val="0"/>
                <w:sz w:val="16"/>
              </w:rPr>
              <w:t>Actual MAC per unit pada label/commissioning output sebelum onboarding</w:t>
            </w:r>
          </w:p>
        </w:tc>
      </w:tr>
      <w:tr>
        <w:trPr>
          <w:cantSplit w:val="true"/>
        </w:trPr>
        <w:tc>
          <w:tcPr>
            <w:tcW w:type="dxa" w:w="2100"/>
          </w:tcPr>
          <w:p>
            <w:pPr>
              <w:spacing w:after="0"/>
              <w:rPr>
                <w:lang w:val="id-ID"/>
              </w:rPr>
            </w:pPr>
            <w:r>
              <w:rPr>
                <w:rFonts w:ascii="Calibri" w:hAnsi="Calibri" w:eastAsia="Calibri"/>
                <w:b w:val="0"/>
                <w:sz w:val="16"/>
              </w:rPr>
              <w:t>Broker/server endpoint</w:t>
            </w:r>
          </w:p>
        </w:tc>
        <w:tc>
          <w:tcPr>
            <w:tcW w:type="dxa" w:w="3000"/>
          </w:tcPr>
          <w:p>
            <w:pPr>
              <w:spacing w:after="0"/>
              <w:rPr>
                <w:lang w:val="id-ID"/>
              </w:rPr>
            </w:pPr>
            <w:r>
              <w:rPr>
                <w:rFonts w:ascii="Calibri" w:hAnsi="Calibri" w:eastAsia="Calibri"/>
                <w:b w:val="0"/>
                <w:sz w:val="16"/>
              </w:rPr>
              <w:t>CHANGE_ME_MQTT_HOST</w:t>
            </w:r>
          </w:p>
        </w:tc>
        <w:tc>
          <w:tcPr>
            <w:tcW w:type="dxa" w:w="4260"/>
          </w:tcPr>
          <w:p>
            <w:pPr>
              <w:spacing w:after="0"/>
              <w:rPr>
                <w:lang w:val="id-ID"/>
              </w:rPr>
            </w:pPr>
            <w:r>
              <w:rPr>
                <w:rFonts w:ascii="Calibri" w:hAnsi="Calibri" w:eastAsia="Calibri"/>
                <w:b w:val="0"/>
                <w:sz w:val="16"/>
              </w:rPr>
              <w:t>Production FQDN dan IP/reservation owner</w:t>
            </w:r>
          </w:p>
        </w:tc>
      </w:tr>
      <w:tr>
        <w:trPr>
          <w:cantSplit w:val="true"/>
        </w:trPr>
        <w:tc>
          <w:tcPr>
            <w:tcW w:type="dxa" w:w="2100"/>
          </w:tcPr>
          <w:p>
            <w:pPr>
              <w:spacing w:after="0"/>
              <w:rPr>
                <w:lang w:val="id-ID"/>
              </w:rPr>
            </w:pPr>
            <w:r>
              <w:rPr>
                <w:rFonts w:ascii="Calibri" w:hAnsi="Calibri" w:eastAsia="Calibri"/>
                <w:b w:val="0"/>
                <w:sz w:val="16"/>
              </w:rPr>
              <w:t>Destination port</w:t>
            </w:r>
          </w:p>
        </w:tc>
        <w:tc>
          <w:tcPr>
            <w:tcW w:type="dxa" w:w="3000"/>
          </w:tcPr>
          <w:p>
            <w:pPr>
              <w:spacing w:after="0"/>
              <w:rPr>
                <w:lang w:val="id-ID"/>
              </w:rPr>
            </w:pPr>
            <w:r>
              <w:rPr>
                <w:rFonts w:ascii="Calibri" w:hAnsi="Calibri" w:eastAsia="Calibri"/>
                <w:b w:val="0"/>
                <w:sz w:val="16"/>
              </w:rPr>
              <w:t>1884 bench</w:t>
            </w:r>
          </w:p>
        </w:tc>
        <w:tc>
          <w:tcPr>
            <w:tcW w:type="dxa" w:w="4260"/>
          </w:tcPr>
          <w:p>
            <w:pPr>
              <w:spacing w:after="0"/>
              <w:rPr>
                <w:lang w:val="id-ID"/>
              </w:rPr>
            </w:pPr>
            <w:r>
              <w:rPr>
                <w:rFonts w:ascii="Calibri" w:hAnsi="Calibri" w:eastAsia="Calibri"/>
                <w:b w:val="0"/>
                <w:sz w:val="16"/>
              </w:rPr>
              <w:t>Final TCP port; TLS policy/certificate; protocol MQTT</w:t>
            </w:r>
          </w:p>
        </w:tc>
      </w:tr>
      <w:tr>
        <w:trPr>
          <w:cantSplit w:val="true"/>
        </w:trPr>
        <w:tc>
          <w:tcPr>
            <w:tcW w:type="dxa" w:w="2100"/>
          </w:tcPr>
          <w:p>
            <w:pPr>
              <w:spacing w:after="0"/>
              <w:rPr>
                <w:lang w:val="id-ID"/>
              </w:rPr>
            </w:pPr>
            <w:r>
              <w:rPr>
                <w:rFonts w:ascii="Calibri" w:hAnsi="Calibri" w:eastAsia="Calibri"/>
                <w:b w:val="0"/>
                <w:sz w:val="16"/>
              </w:rPr>
              <w:t>Source network</w:t>
            </w:r>
          </w:p>
        </w:tc>
        <w:tc>
          <w:tcPr>
            <w:tcW w:type="dxa" w:w="3000"/>
          </w:tcPr>
          <w:p>
            <w:pPr>
              <w:spacing w:after="0"/>
              <w:rPr>
                <w:lang w:val="id-ID"/>
              </w:rPr>
            </w:pPr>
            <w:r>
              <w:rPr>
                <w:rFonts w:ascii="Calibri" w:hAnsi="Calibri" w:eastAsia="Calibri"/>
                <w:b w:val="0"/>
                <w:sz w:val="16"/>
              </w:rPr>
              <w:t>Wi-Fi STA/DHCP inference</w:t>
            </w:r>
          </w:p>
        </w:tc>
        <w:tc>
          <w:tcPr>
            <w:tcW w:type="dxa" w:w="4260"/>
          </w:tcPr>
          <w:p>
            <w:pPr>
              <w:spacing w:after="0"/>
              <w:rPr>
                <w:lang w:val="id-ID"/>
              </w:rPr>
            </w:pPr>
            <w:r>
              <w:rPr>
                <w:rFonts w:ascii="Calibri" w:hAnsi="Calibri" w:eastAsia="Calibri"/>
                <w:b w:val="0"/>
                <w:sz w:val="16"/>
              </w:rPr>
              <w:t>SSID, VLAN/subnet, DHCP/NAC/asset policy</w:t>
            </w:r>
          </w:p>
        </w:tc>
      </w:tr>
      <w:tr>
        <w:trPr>
          <w:cantSplit w:val="true"/>
        </w:trPr>
        <w:tc>
          <w:tcPr>
            <w:tcW w:type="dxa" w:w="2100"/>
          </w:tcPr>
          <w:p>
            <w:pPr>
              <w:spacing w:after="0"/>
              <w:rPr>
                <w:lang w:val="id-ID"/>
              </w:rPr>
            </w:pPr>
            <w:r>
              <w:rPr>
                <w:rFonts w:ascii="Calibri" w:hAnsi="Calibri" w:eastAsia="Calibri"/>
                <w:b w:val="0"/>
                <w:sz w:val="16"/>
              </w:rPr>
              <w:t>DNS/NTP</w:t>
            </w:r>
          </w:p>
        </w:tc>
        <w:tc>
          <w:tcPr>
            <w:tcW w:type="dxa" w:w="3000"/>
          </w:tcPr>
          <w:p>
            <w:pPr>
              <w:spacing w:after="0"/>
              <w:rPr>
                <w:lang w:val="id-ID"/>
              </w:rPr>
            </w:pPr>
            <w:r>
              <w:rPr>
                <w:rFonts w:ascii="Calibri" w:hAnsi="Calibri" w:eastAsia="Calibri"/>
                <w:b w:val="0"/>
                <w:sz w:val="16"/>
              </w:rPr>
              <w:t>TBD</w:t>
            </w:r>
          </w:p>
        </w:tc>
        <w:tc>
          <w:tcPr>
            <w:tcW w:type="dxa" w:w="4260"/>
          </w:tcPr>
          <w:p>
            <w:pPr>
              <w:spacing w:after="0"/>
              <w:rPr>
                <w:lang w:val="id-ID"/>
              </w:rPr>
            </w:pPr>
            <w:r>
              <w:rPr>
                <w:rFonts w:ascii="Calibri" w:hAnsi="Calibri" w:eastAsia="Calibri"/>
                <w:b w:val="0"/>
                <w:sz w:val="16"/>
              </w:rPr>
              <w:t>Resolver/port and time source required for TLS/log correlation</w:t>
            </w:r>
          </w:p>
        </w:tc>
      </w:tr>
      <w:tr>
        <w:trPr>
          <w:cantSplit w:val="true"/>
        </w:trPr>
        <w:tc>
          <w:tcPr>
            <w:tcW w:type="dxa" w:w="2100"/>
          </w:tcPr>
          <w:p>
            <w:pPr>
              <w:spacing w:after="0"/>
              <w:rPr>
                <w:lang w:val="id-ID"/>
              </w:rPr>
            </w:pPr>
            <w:r>
              <w:rPr>
                <w:rFonts w:ascii="Calibri" w:hAnsi="Calibri" w:eastAsia="Calibri"/>
                <w:b w:val="0"/>
                <w:sz w:val="16"/>
              </w:rPr>
              <w:t>Identity</w:t>
            </w:r>
          </w:p>
        </w:tc>
        <w:tc>
          <w:tcPr>
            <w:tcW w:type="dxa" w:w="3000"/>
          </w:tcPr>
          <w:p>
            <w:pPr>
              <w:spacing w:after="0"/>
              <w:rPr>
                <w:lang w:val="id-ID"/>
              </w:rPr>
            </w:pPr>
            <w:r>
              <w:rPr>
                <w:rFonts w:ascii="Calibri" w:hAnsi="Calibri" w:eastAsia="Calibri"/>
                <w:b w:val="0"/>
                <w:sz w:val="16"/>
              </w:rPr>
              <w:t>Username/password provisionable</w:t>
            </w:r>
          </w:p>
        </w:tc>
        <w:tc>
          <w:tcPr>
            <w:tcW w:type="dxa" w:w="4260"/>
          </w:tcPr>
          <w:p>
            <w:pPr>
              <w:spacing w:after="0"/>
              <w:rPr>
                <w:lang w:val="id-ID"/>
              </w:rPr>
            </w:pPr>
            <w:r>
              <w:rPr>
                <w:rFonts w:ascii="Calibri" w:hAnsi="Calibri" w:eastAsia="Calibri"/>
                <w:b w:val="0"/>
                <w:sz w:val="16"/>
              </w:rPr>
              <w:t>Per-device identity; rotation/revocation; topic ACL</w:t>
            </w:r>
          </w:p>
        </w:tc>
      </w:tr>
      <w:tr>
        <w:trPr>
          <w:cantSplit w:val="true"/>
        </w:trPr>
        <w:tc>
          <w:tcPr>
            <w:tcW w:type="dxa" w:w="2100"/>
          </w:tcPr>
          <w:p>
            <w:pPr>
              <w:spacing w:after="0"/>
              <w:rPr>
                <w:lang w:val="id-ID"/>
              </w:rPr>
            </w:pPr>
            <w:r>
              <w:rPr>
                <w:rFonts w:ascii="Calibri" w:hAnsi="Calibri" w:eastAsia="Calibri"/>
                <w:b w:val="0"/>
                <w:sz w:val="16"/>
              </w:rPr>
              <w:t>Owner</w:t>
            </w:r>
          </w:p>
        </w:tc>
        <w:tc>
          <w:tcPr>
            <w:tcW w:type="dxa" w:w="3000"/>
          </w:tcPr>
          <w:p>
            <w:pPr>
              <w:spacing w:after="0"/>
              <w:rPr>
                <w:lang w:val="id-ID"/>
              </w:rPr>
            </w:pPr>
            <w:r>
              <w:rPr>
                <w:rFonts w:ascii="Calibri" w:hAnsi="Calibri" w:eastAsia="Calibri"/>
                <w:b w:val="0"/>
                <w:sz w:val="16"/>
              </w:rPr>
              <w:t>TBD</w:t>
            </w:r>
          </w:p>
        </w:tc>
        <w:tc>
          <w:tcPr>
            <w:tcW w:type="dxa" w:w="4260"/>
          </w:tcPr>
          <w:p>
            <w:pPr>
              <w:spacing w:after="0"/>
              <w:rPr>
                <w:lang w:val="id-ID"/>
              </w:rPr>
            </w:pPr>
            <w:r>
              <w:rPr>
                <w:rFonts w:ascii="Calibri" w:hAnsi="Calibri" w:eastAsia="Calibri"/>
                <w:b w:val="0"/>
                <w:sz w:val="16"/>
              </w:rPr>
              <w:t>LGU device PIC, Pertamina IT PIC, operations/HSE PIC, location/serial</w:t>
            </w:r>
          </w:p>
        </w:tc>
      </w:tr>
    </w:tbl>
    <w:p>
      <w:pPr>
        <w:spacing w:after="0"/>
      </w:pPr>
    </w:p>
    <w:p>
      <w:pPr>
        <w:pStyle w:val="Heading2"/>
        <w:rPr>
          <w:lang w:val="id-ID"/>
        </w:rPr>
      </w:pPr>
      <w:r>
        <w:t>9.3 Firewall/port matrix provisional</w:t>
      </w:r>
    </w:p>
    <w:tbl>
      <w:tblPr>
        <w:tblStyle w:val="TableGrid"/>
        <w:tblW w:type="dxa" w:w="9360"/>
        <w:jc w:val="center"/>
        <w:tblLayout w:type="fixed"/>
        <w:tblLook w:firstColumn="1" w:firstRow="1" w:lastColumn="0" w:lastRow="0" w:noHBand="0" w:noVBand="1" w:val="04A0"/>
        <w:tblInd w:w="120" w:type="dxa"/>
      </w:tblPr>
      <w:tblGrid>
        <w:gridCol w:w="1500"/>
        <w:gridCol w:w="1900"/>
        <w:gridCol w:w="1350"/>
        <w:gridCol w:w="2200"/>
        <w:gridCol w:w="2410"/>
      </w:tblGrid>
      <w:tr>
        <w:trPr>
          <w:tblHeader w:val="true"/>
          <w:cantSplit w:val="true"/>
        </w:trPr>
        <w:tc>
          <w:tcPr>
            <w:tcW w:type="dxa" w:w="1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Source</w:t>
            </w:r>
          </w:p>
        </w:tc>
        <w:tc>
          <w:tcPr>
            <w:tcW w:type="dxa" w:w="19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Destination</w:t>
            </w:r>
          </w:p>
        </w:tc>
        <w:tc>
          <w:tcPr>
            <w:tcW w:type="dxa" w:w="13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Port</w:t>
            </w:r>
          </w:p>
        </w:tc>
        <w:tc>
          <w:tcPr>
            <w:tcW w:type="dxa" w:w="22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Purpose</w:t>
            </w:r>
          </w:p>
        </w:tc>
        <w:tc>
          <w:tcPr>
            <w:tcW w:type="dxa" w:w="241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Policy</w:t>
            </w:r>
          </w:p>
        </w:tc>
      </w:tr>
      <w:tr>
        <w:trPr>
          <w:cantSplit w:val="true"/>
        </w:trPr>
        <w:tc>
          <w:tcPr>
            <w:tcW w:type="dxa" w:w="1500"/>
          </w:tcPr>
          <w:p>
            <w:pPr>
              <w:spacing w:after="0"/>
              <w:rPr>
                <w:lang w:val="id-ID"/>
              </w:rPr>
            </w:pPr>
            <w:r>
              <w:rPr>
                <w:rFonts w:ascii="Calibri" w:hAnsi="Calibri" w:eastAsia="Calibri"/>
                <w:b w:val="0"/>
                <w:sz w:val="16"/>
              </w:rPr>
              <w:t>Gateway VLAN</w:t>
            </w:r>
          </w:p>
        </w:tc>
        <w:tc>
          <w:tcPr>
            <w:tcW w:type="dxa" w:w="1900"/>
          </w:tcPr>
          <w:p>
            <w:pPr>
              <w:spacing w:after="0"/>
              <w:rPr>
                <w:lang w:val="id-ID"/>
              </w:rPr>
            </w:pPr>
            <w:r>
              <w:rPr>
                <w:rFonts w:ascii="Calibri" w:hAnsi="Calibri" w:eastAsia="Calibri"/>
                <w:b w:val="0"/>
                <w:sz w:val="16"/>
              </w:rPr>
              <w:t>Broker FQDN/IP</w:t>
            </w:r>
          </w:p>
        </w:tc>
        <w:tc>
          <w:tcPr>
            <w:tcW w:type="dxa" w:w="1350"/>
          </w:tcPr>
          <w:p>
            <w:pPr>
              <w:spacing w:after="0"/>
              <w:rPr>
                <w:lang w:val="id-ID"/>
              </w:rPr>
            </w:pPr>
            <w:r>
              <w:rPr>
                <w:rFonts w:ascii="Calibri" w:hAnsi="Calibri" w:eastAsia="Calibri"/>
                <w:b w:val="0"/>
                <w:sz w:val="16"/>
              </w:rPr>
              <w:t>TBD TCP (1884 bench)</w:t>
            </w:r>
          </w:p>
        </w:tc>
        <w:tc>
          <w:tcPr>
            <w:tcW w:type="dxa" w:w="2200"/>
          </w:tcPr>
          <w:p>
            <w:pPr>
              <w:spacing w:after="0"/>
              <w:rPr>
                <w:lang w:val="id-ID"/>
              </w:rPr>
            </w:pPr>
            <w:r>
              <w:rPr>
                <w:rFonts w:ascii="Calibri" w:hAnsi="Calibri" w:eastAsia="Calibri"/>
                <w:b w:val="0"/>
                <w:sz w:val="16"/>
              </w:rPr>
              <w:t>MQTT uplink/downlink</w:t>
            </w:r>
          </w:p>
        </w:tc>
        <w:tc>
          <w:tcPr>
            <w:tcW w:type="dxa" w:w="2410"/>
          </w:tcPr>
          <w:p>
            <w:pPr>
              <w:spacing w:after="0"/>
              <w:rPr>
                <w:lang w:val="id-ID"/>
              </w:rPr>
            </w:pPr>
            <w:r>
              <w:rPr>
                <w:rFonts w:ascii="Calibri" w:hAnsi="Calibri" w:eastAsia="Calibri"/>
                <w:b w:val="0"/>
                <w:sz w:val="16"/>
              </w:rPr>
              <w:t>Allow only registered Gateway; TLS/auth/ACL decision</w:t>
            </w:r>
          </w:p>
        </w:tc>
      </w:tr>
      <w:tr>
        <w:trPr>
          <w:cantSplit w:val="true"/>
        </w:trPr>
        <w:tc>
          <w:tcPr>
            <w:tcW w:type="dxa" w:w="1500"/>
          </w:tcPr>
          <w:p>
            <w:pPr>
              <w:spacing w:after="0"/>
              <w:rPr>
                <w:lang w:val="id-ID"/>
              </w:rPr>
            </w:pPr>
            <w:r>
              <w:rPr>
                <w:rFonts w:ascii="Calibri" w:hAnsi="Calibri" w:eastAsia="Calibri"/>
                <w:b w:val="0"/>
                <w:sz w:val="16"/>
              </w:rPr>
              <w:t>Gateway VLAN</w:t>
            </w:r>
          </w:p>
        </w:tc>
        <w:tc>
          <w:tcPr>
            <w:tcW w:type="dxa" w:w="1900"/>
          </w:tcPr>
          <w:p>
            <w:pPr>
              <w:spacing w:after="0"/>
              <w:rPr>
                <w:lang w:val="id-ID"/>
              </w:rPr>
            </w:pPr>
            <w:r>
              <w:rPr>
                <w:rFonts w:ascii="Calibri" w:hAnsi="Calibri" w:eastAsia="Calibri"/>
                <w:b w:val="0"/>
                <w:sz w:val="16"/>
              </w:rPr>
              <w:t>DNS</w:t>
            </w:r>
          </w:p>
        </w:tc>
        <w:tc>
          <w:tcPr>
            <w:tcW w:type="dxa" w:w="1350"/>
          </w:tcPr>
          <w:p>
            <w:pPr>
              <w:spacing w:after="0"/>
              <w:rPr>
                <w:lang w:val="id-ID"/>
              </w:rPr>
            </w:pPr>
            <w:r>
              <w:rPr>
                <w:rFonts w:ascii="Calibri" w:hAnsi="Calibri" w:eastAsia="Calibri"/>
                <w:b w:val="0"/>
                <w:sz w:val="16"/>
              </w:rPr>
              <w:t>53 UDP/TCP if needed</w:t>
            </w:r>
          </w:p>
        </w:tc>
        <w:tc>
          <w:tcPr>
            <w:tcW w:type="dxa" w:w="2200"/>
          </w:tcPr>
          <w:p>
            <w:pPr>
              <w:spacing w:after="0"/>
              <w:rPr>
                <w:lang w:val="id-ID"/>
              </w:rPr>
            </w:pPr>
            <w:r>
              <w:rPr>
                <w:rFonts w:ascii="Calibri" w:hAnsi="Calibri" w:eastAsia="Calibri"/>
                <w:b w:val="0"/>
                <w:sz w:val="16"/>
              </w:rPr>
              <w:t>Resolve broker</w:t>
            </w:r>
          </w:p>
        </w:tc>
        <w:tc>
          <w:tcPr>
            <w:tcW w:type="dxa" w:w="2410"/>
          </w:tcPr>
          <w:p>
            <w:pPr>
              <w:spacing w:after="0"/>
              <w:rPr>
                <w:lang w:val="id-ID"/>
              </w:rPr>
            </w:pPr>
            <w:r>
              <w:rPr>
                <w:rFonts w:ascii="Calibri" w:hAnsi="Calibri" w:eastAsia="Calibri"/>
                <w:b w:val="0"/>
                <w:sz w:val="16"/>
              </w:rPr>
              <w:t>Site resolver only</w:t>
            </w:r>
          </w:p>
        </w:tc>
      </w:tr>
      <w:tr>
        <w:trPr>
          <w:cantSplit w:val="true"/>
        </w:trPr>
        <w:tc>
          <w:tcPr>
            <w:tcW w:type="dxa" w:w="1500"/>
          </w:tcPr>
          <w:p>
            <w:pPr>
              <w:spacing w:after="0"/>
              <w:rPr>
                <w:lang w:val="id-ID"/>
              </w:rPr>
            </w:pPr>
            <w:r>
              <w:rPr>
                <w:rFonts w:ascii="Calibri" w:hAnsi="Calibri" w:eastAsia="Calibri"/>
                <w:b w:val="0"/>
                <w:sz w:val="16"/>
              </w:rPr>
              <w:t>Gateway VLAN</w:t>
            </w:r>
          </w:p>
        </w:tc>
        <w:tc>
          <w:tcPr>
            <w:tcW w:type="dxa" w:w="1900"/>
          </w:tcPr>
          <w:p>
            <w:pPr>
              <w:spacing w:after="0"/>
              <w:rPr>
                <w:lang w:val="id-ID"/>
              </w:rPr>
            </w:pPr>
            <w:r>
              <w:rPr>
                <w:rFonts w:ascii="Calibri" w:hAnsi="Calibri" w:eastAsia="Calibri"/>
                <w:b w:val="0"/>
                <w:sz w:val="16"/>
              </w:rPr>
              <w:t>NTP</w:t>
            </w:r>
          </w:p>
        </w:tc>
        <w:tc>
          <w:tcPr>
            <w:tcW w:type="dxa" w:w="1350"/>
          </w:tcPr>
          <w:p>
            <w:pPr>
              <w:spacing w:after="0"/>
              <w:rPr>
                <w:lang w:val="id-ID"/>
              </w:rPr>
            </w:pPr>
            <w:r>
              <w:rPr>
                <w:rFonts w:ascii="Calibri" w:hAnsi="Calibri" w:eastAsia="Calibri"/>
                <w:b w:val="0"/>
                <w:sz w:val="16"/>
              </w:rPr>
              <w:t>123 UDP if needed</w:t>
            </w:r>
          </w:p>
        </w:tc>
        <w:tc>
          <w:tcPr>
            <w:tcW w:type="dxa" w:w="2200"/>
          </w:tcPr>
          <w:p>
            <w:pPr>
              <w:spacing w:after="0"/>
              <w:rPr>
                <w:lang w:val="id-ID"/>
              </w:rPr>
            </w:pPr>
            <w:r>
              <w:rPr>
                <w:rFonts w:ascii="Calibri" w:hAnsi="Calibri" w:eastAsia="Calibri"/>
                <w:b w:val="0"/>
                <w:sz w:val="16"/>
              </w:rPr>
              <w:t>Time/TLS/logs</w:t>
            </w:r>
          </w:p>
        </w:tc>
        <w:tc>
          <w:tcPr>
            <w:tcW w:type="dxa" w:w="2410"/>
          </w:tcPr>
          <w:p>
            <w:pPr>
              <w:spacing w:after="0"/>
              <w:rPr>
                <w:lang w:val="id-ID"/>
              </w:rPr>
            </w:pPr>
            <w:r>
              <w:rPr>
                <w:rFonts w:ascii="Calibri" w:hAnsi="Calibri" w:eastAsia="Calibri"/>
                <w:b w:val="0"/>
                <w:sz w:val="16"/>
              </w:rPr>
              <w:t>Site NTP only</w:t>
            </w:r>
          </w:p>
        </w:tc>
      </w:tr>
      <w:tr>
        <w:trPr>
          <w:cantSplit w:val="true"/>
        </w:trPr>
        <w:tc>
          <w:tcPr>
            <w:tcW w:type="dxa" w:w="1500"/>
          </w:tcPr>
          <w:p>
            <w:pPr>
              <w:spacing w:after="0"/>
              <w:rPr>
                <w:lang w:val="id-ID"/>
              </w:rPr>
            </w:pPr>
            <w:r>
              <w:rPr>
                <w:rFonts w:ascii="Calibri" w:hAnsi="Calibri" w:eastAsia="Calibri"/>
                <w:b w:val="0"/>
                <w:sz w:val="16"/>
              </w:rPr>
              <w:t>Operator/admin</w:t>
            </w:r>
          </w:p>
        </w:tc>
        <w:tc>
          <w:tcPr>
            <w:tcW w:type="dxa" w:w="1900"/>
          </w:tcPr>
          <w:p>
            <w:pPr>
              <w:spacing w:after="0"/>
              <w:rPr>
                <w:lang w:val="id-ID"/>
              </w:rPr>
            </w:pPr>
            <w:r>
              <w:rPr>
                <w:rFonts w:ascii="Calibri" w:hAnsi="Calibri" w:eastAsia="Calibri"/>
                <w:b w:val="0"/>
                <w:sz w:val="16"/>
              </w:rPr>
              <w:t>Reverse proxy/dashboard</w:t>
            </w:r>
          </w:p>
        </w:tc>
        <w:tc>
          <w:tcPr>
            <w:tcW w:type="dxa" w:w="1350"/>
          </w:tcPr>
          <w:p>
            <w:pPr>
              <w:spacing w:after="0"/>
              <w:rPr>
                <w:lang w:val="id-ID"/>
              </w:rPr>
            </w:pPr>
            <w:r>
              <w:rPr>
                <w:rFonts w:ascii="Calibri" w:hAnsi="Calibri" w:eastAsia="Calibri"/>
                <w:b w:val="0"/>
                <w:sz w:val="16"/>
              </w:rPr>
              <w:t>443 TCP proposal</w:t>
            </w:r>
          </w:p>
        </w:tc>
        <w:tc>
          <w:tcPr>
            <w:tcW w:type="dxa" w:w="2200"/>
          </w:tcPr>
          <w:p>
            <w:pPr>
              <w:spacing w:after="0"/>
              <w:rPr>
                <w:lang w:val="id-ID"/>
              </w:rPr>
            </w:pPr>
            <w:r>
              <w:rPr>
                <w:rFonts w:ascii="Calibri" w:hAnsi="Calibri" w:eastAsia="Calibri"/>
                <w:b w:val="0"/>
                <w:sz w:val="16"/>
              </w:rPr>
              <w:t>Dashboard</w:t>
            </w:r>
          </w:p>
        </w:tc>
        <w:tc>
          <w:tcPr>
            <w:tcW w:type="dxa" w:w="2410"/>
          </w:tcPr>
          <w:p>
            <w:pPr>
              <w:spacing w:after="0"/>
              <w:rPr>
                <w:lang w:val="id-ID"/>
              </w:rPr>
            </w:pPr>
            <w:r>
              <w:rPr>
                <w:rFonts w:ascii="Calibri" w:hAnsi="Calibri" w:eastAsia="Calibri"/>
                <w:b w:val="0"/>
                <w:sz w:val="16"/>
              </w:rPr>
              <w:t>HTTPS + RBAC; not from Gateway VLAN</w:t>
            </w:r>
          </w:p>
        </w:tc>
      </w:tr>
      <w:tr>
        <w:trPr>
          <w:cantSplit w:val="true"/>
        </w:trPr>
        <w:tc>
          <w:tcPr>
            <w:tcW w:type="dxa" w:w="1500"/>
          </w:tcPr>
          <w:p>
            <w:pPr>
              <w:spacing w:after="0"/>
              <w:rPr>
                <w:lang w:val="id-ID"/>
              </w:rPr>
            </w:pPr>
            <w:r>
              <w:rPr>
                <w:rFonts w:ascii="Calibri" w:hAnsi="Calibri" w:eastAsia="Calibri"/>
                <w:b w:val="0"/>
                <w:sz w:val="16"/>
              </w:rPr>
              <w:t>Admin subnet</w:t>
            </w:r>
          </w:p>
        </w:tc>
        <w:tc>
          <w:tcPr>
            <w:tcW w:type="dxa" w:w="1900"/>
          </w:tcPr>
          <w:p>
            <w:pPr>
              <w:spacing w:after="0"/>
              <w:rPr>
                <w:lang w:val="id-ID"/>
              </w:rPr>
            </w:pPr>
            <w:r>
              <w:rPr>
                <w:rFonts w:ascii="Calibri" w:hAnsi="Calibri" w:eastAsia="Calibri"/>
                <w:b w:val="0"/>
                <w:sz w:val="16"/>
              </w:rPr>
              <w:t>Node-RED admin</w:t>
            </w:r>
          </w:p>
        </w:tc>
        <w:tc>
          <w:tcPr>
            <w:tcW w:type="dxa" w:w="1350"/>
          </w:tcPr>
          <w:p>
            <w:pPr>
              <w:spacing w:after="0"/>
              <w:rPr>
                <w:lang w:val="id-ID"/>
              </w:rPr>
            </w:pPr>
            <w:r>
              <w:rPr>
                <w:rFonts w:ascii="Calibri" w:hAnsi="Calibri" w:eastAsia="Calibri"/>
                <w:b w:val="0"/>
                <w:sz w:val="16"/>
              </w:rPr>
              <w:t>1880 TCP if retained</w:t>
            </w:r>
          </w:p>
        </w:tc>
        <w:tc>
          <w:tcPr>
            <w:tcW w:type="dxa" w:w="2200"/>
          </w:tcPr>
          <w:p>
            <w:pPr>
              <w:spacing w:after="0"/>
              <w:rPr>
                <w:lang w:val="id-ID"/>
              </w:rPr>
            </w:pPr>
            <w:r>
              <w:rPr>
                <w:rFonts w:ascii="Calibri" w:hAnsi="Calibri" w:eastAsia="Calibri"/>
                <w:b w:val="0"/>
                <w:sz w:val="16"/>
              </w:rPr>
              <w:t>Restricted administration</w:t>
            </w:r>
          </w:p>
        </w:tc>
        <w:tc>
          <w:tcPr>
            <w:tcW w:type="dxa" w:w="2410"/>
          </w:tcPr>
          <w:p>
            <w:pPr>
              <w:spacing w:after="0"/>
              <w:rPr>
                <w:lang w:val="id-ID"/>
              </w:rPr>
            </w:pPr>
            <w:r>
              <w:rPr>
                <w:rFonts w:ascii="Calibri" w:hAnsi="Calibri" w:eastAsia="Calibri"/>
                <w:b w:val="0"/>
                <w:sz w:val="16"/>
              </w:rPr>
              <w:t>Do not expose broadly; reverse proxy/VPN</w:t>
            </w:r>
          </w:p>
        </w:tc>
      </w:tr>
      <w:tr>
        <w:trPr>
          <w:cantSplit w:val="true"/>
        </w:trPr>
        <w:tc>
          <w:tcPr>
            <w:tcW w:type="dxa" w:w="1500"/>
          </w:tcPr>
          <w:p>
            <w:pPr>
              <w:spacing w:after="0"/>
              <w:rPr>
                <w:lang w:val="id-ID"/>
              </w:rPr>
            </w:pPr>
            <w:r>
              <w:rPr>
                <w:rFonts w:ascii="Calibri" w:hAnsi="Calibri" w:eastAsia="Calibri"/>
                <w:b w:val="0"/>
                <w:sz w:val="16"/>
              </w:rPr>
              <w:t>Application server</w:t>
            </w:r>
          </w:p>
        </w:tc>
        <w:tc>
          <w:tcPr>
            <w:tcW w:type="dxa" w:w="1900"/>
          </w:tcPr>
          <w:p>
            <w:pPr>
              <w:spacing w:after="0"/>
              <w:rPr>
                <w:lang w:val="id-ID"/>
              </w:rPr>
            </w:pPr>
            <w:r>
              <w:rPr>
                <w:rFonts w:ascii="Calibri" w:hAnsi="Calibri" w:eastAsia="Calibri"/>
                <w:b w:val="0"/>
                <w:sz w:val="16"/>
              </w:rPr>
              <w:t>MySQL dataset</w:t>
            </w:r>
          </w:p>
        </w:tc>
        <w:tc>
          <w:tcPr>
            <w:tcW w:type="dxa" w:w="1350"/>
          </w:tcPr>
          <w:p>
            <w:pPr>
              <w:spacing w:after="0"/>
              <w:rPr>
                <w:lang w:val="id-ID"/>
              </w:rPr>
            </w:pPr>
            <w:r>
              <w:rPr>
                <w:rFonts w:ascii="Calibri" w:hAnsi="Calibri" w:eastAsia="Calibri"/>
                <w:b w:val="0"/>
                <w:sz w:val="16"/>
              </w:rPr>
              <w:t>3306 TCP if separate</w:t>
            </w:r>
          </w:p>
        </w:tc>
        <w:tc>
          <w:tcPr>
            <w:tcW w:type="dxa" w:w="2200"/>
          </w:tcPr>
          <w:p>
            <w:pPr>
              <w:spacing w:after="0"/>
              <w:rPr>
                <w:lang w:val="id-ID"/>
              </w:rPr>
            </w:pPr>
            <w:r>
              <w:rPr>
                <w:rFonts w:ascii="Calibri" w:hAnsi="Calibri" w:eastAsia="Calibri"/>
                <w:b w:val="0"/>
                <w:sz w:val="16"/>
              </w:rPr>
              <w:t>Dataset recording</w:t>
            </w:r>
          </w:p>
        </w:tc>
        <w:tc>
          <w:tcPr>
            <w:tcW w:type="dxa" w:w="2410"/>
          </w:tcPr>
          <w:p>
            <w:pPr>
              <w:spacing w:after="0"/>
              <w:rPr>
                <w:lang w:val="id-ID"/>
              </w:rPr>
            </w:pPr>
            <w:r>
              <w:rPr>
                <w:rFonts w:ascii="Calibri" w:hAnsi="Calibri" w:eastAsia="Calibri"/>
                <w:b w:val="0"/>
                <w:sz w:val="16"/>
              </w:rPr>
              <w:t>Local/internal only; never from Gateway VLAN</w:t>
            </w:r>
          </w:p>
        </w:tc>
      </w:tr>
      <w:tr>
        <w:trPr>
          <w:cantSplit w:val="true"/>
        </w:trPr>
        <w:tc>
          <w:tcPr>
            <w:tcW w:type="dxa" w:w="1500"/>
          </w:tcPr>
          <w:p>
            <w:pPr>
              <w:spacing w:after="0"/>
              <w:rPr>
                <w:lang w:val="id-ID"/>
              </w:rPr>
            </w:pPr>
            <w:r>
              <w:rPr>
                <w:rFonts w:ascii="Calibri" w:hAnsi="Calibri" w:eastAsia="Calibri"/>
                <w:b w:val="0"/>
                <w:sz w:val="16"/>
              </w:rPr>
              <w:t>Any</w:t>
            </w:r>
          </w:p>
        </w:tc>
        <w:tc>
          <w:tcPr>
            <w:tcW w:type="dxa" w:w="1900"/>
          </w:tcPr>
          <w:p>
            <w:pPr>
              <w:spacing w:after="0"/>
              <w:rPr>
                <w:lang w:val="id-ID"/>
              </w:rPr>
            </w:pPr>
            <w:r>
              <w:rPr>
                <w:rFonts w:ascii="Calibri" w:hAnsi="Calibri" w:eastAsia="Calibri"/>
                <w:b w:val="0"/>
                <w:sz w:val="16"/>
              </w:rPr>
              <w:t>Internet</w:t>
            </w:r>
          </w:p>
        </w:tc>
        <w:tc>
          <w:tcPr>
            <w:tcW w:type="dxa" w:w="1350"/>
          </w:tcPr>
          <w:p>
            <w:pPr>
              <w:spacing w:after="0"/>
              <w:rPr>
                <w:lang w:val="id-ID"/>
              </w:rPr>
            </w:pPr>
            <w:r>
              <w:rPr>
                <w:rFonts w:ascii="Calibri" w:hAnsi="Calibri" w:eastAsia="Calibri"/>
                <w:b w:val="0"/>
                <w:sz w:val="16"/>
              </w:rPr>
              <w:t>None by default</w:t>
            </w:r>
          </w:p>
        </w:tc>
        <w:tc>
          <w:tcPr>
            <w:tcW w:type="dxa" w:w="2200"/>
          </w:tcPr>
          <w:p>
            <w:pPr>
              <w:spacing w:after="0"/>
              <w:rPr>
                <w:lang w:val="id-ID"/>
              </w:rPr>
            </w:pPr>
            <w:r>
              <w:rPr>
                <w:rFonts w:ascii="Calibri" w:hAnsi="Calibri" w:eastAsia="Calibri"/>
                <w:b w:val="0"/>
                <w:sz w:val="16"/>
              </w:rPr>
              <w:t>No default requirement</w:t>
            </w:r>
          </w:p>
        </w:tc>
        <w:tc>
          <w:tcPr>
            <w:tcW w:type="dxa" w:w="2410"/>
          </w:tcPr>
          <w:p>
            <w:pPr>
              <w:spacing w:after="0"/>
              <w:rPr>
                <w:lang w:val="id-ID"/>
              </w:rPr>
            </w:pPr>
            <w:r>
              <w:rPr>
                <w:rFonts w:ascii="Calibri" w:hAnsi="Calibri" w:eastAsia="Calibri"/>
                <w:b w:val="0"/>
                <w:sz w:val="16"/>
              </w:rPr>
              <w:t>Default-deny; exception via change approval</w:t>
            </w:r>
          </w:p>
        </w:tc>
      </w:tr>
    </w:tbl>
    <w:p>
      <w:pPr>
        <w:spacing w:after="0"/>
      </w:pPr>
    </w:p>
    <w:p>
      <w:pPr>
        <w:pStyle w:val="Heading2"/>
        <w:rPr>
          <w:lang w:val="id-ID"/>
        </w:rPr>
      </w:pPr>
      <w:r>
        <w:t>9.4 TLS gap dan pilihan keputusan</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CE8E6"/>
          </w:tcPr>
          <w:p>
            <w:pPr>
              <w:spacing w:after="40"/>
              <w:rPr>
                <w:lang w:val="id-ID"/>
              </w:rPr>
            </w:pPr>
            <w:r>
              <w:rPr>
                <w:rFonts w:ascii="Calibri" w:hAnsi="Calibri" w:eastAsia="Calibri"/>
                <w:b/>
                <w:color w:val="C00000"/>
                <w:sz w:val="20"/>
              </w:rPr>
              <w:t xml:space="preserve">SECURITY-01  </w:t>
            </w:r>
            <w:r>
              <w:rPr>
                <w:rFonts w:ascii="Calibri" w:hAnsi="Calibri" w:eastAsia="Calibri"/>
                <w:color w:val="243447"/>
                <w:sz w:val="20"/>
              </w:rPr>
              <w:t>Gateway current source memakai WiFiClient plaintext, sedangkan generator server menolak broker non-loopback tanpa TLS dan credential. Karena itu claim ‘TLS end-to-end ready’ tidak benar untuk current source.</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2150"/>
        <w:gridCol w:w="2500"/>
        <w:gridCol w:w="3210"/>
        <w:gridCol w:w="1500"/>
      </w:tblGrid>
      <w:tr>
        <w:trPr>
          <w:tblHeader w:val="true"/>
          <w:cantSplit w:val="true"/>
        </w:trPr>
        <w:tc>
          <w:tcPr>
            <w:tcW w:type="dxa" w:w="21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Opsi</w:t>
            </w:r>
          </w:p>
        </w:tc>
        <w:tc>
          <w:tcPr>
            <w:tcW w:type="dxa" w:w="2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Kelebihan</w:t>
            </w:r>
          </w:p>
        </w:tc>
        <w:tc>
          <w:tcPr>
            <w:tcW w:type="dxa" w:w="321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Konsekuensi</w:t>
            </w:r>
          </w:p>
        </w:tc>
        <w:tc>
          <w:tcPr>
            <w:tcW w:type="dxa" w:w="1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Rekomendasi</w:t>
            </w:r>
          </w:p>
        </w:tc>
      </w:tr>
      <w:tr>
        <w:trPr>
          <w:cantSplit w:val="true"/>
        </w:trPr>
        <w:tc>
          <w:tcPr>
            <w:tcW w:type="dxa" w:w="2150"/>
          </w:tcPr>
          <w:p>
            <w:pPr>
              <w:spacing w:after="0"/>
              <w:rPr>
                <w:lang w:val="id-ID"/>
              </w:rPr>
            </w:pPr>
            <w:r>
              <w:rPr>
                <w:rFonts w:ascii="Calibri" w:hAnsi="Calibri" w:eastAsia="Calibri"/>
                <w:b w:val="0"/>
                <w:sz w:val="16"/>
              </w:rPr>
              <w:t>TLS end-to-end di Gateway</w:t>
            </w:r>
          </w:p>
        </w:tc>
        <w:tc>
          <w:tcPr>
            <w:tcW w:type="dxa" w:w="2500"/>
          </w:tcPr>
          <w:p>
            <w:pPr>
              <w:spacing w:after="0"/>
              <w:rPr>
                <w:lang w:val="id-ID"/>
              </w:rPr>
            </w:pPr>
            <w:r>
              <w:rPr>
                <w:rFonts w:ascii="Calibri" w:hAnsi="Calibri" w:eastAsia="Calibri"/>
                <w:b w:val="0"/>
                <w:sz w:val="16"/>
              </w:rPr>
              <w:t>Auth/integrity/privacy on route; sejalan dengan server policy</w:t>
            </w:r>
          </w:p>
        </w:tc>
        <w:tc>
          <w:tcPr>
            <w:tcW w:type="dxa" w:w="3210"/>
          </w:tcPr>
          <w:p>
            <w:pPr>
              <w:spacing w:after="0"/>
              <w:rPr>
                <w:lang w:val="id-ID"/>
              </w:rPr>
            </w:pPr>
            <w:r>
              <w:rPr>
                <w:rFonts w:ascii="Calibri" w:hAnsi="Calibri" w:eastAsia="Calibri"/>
                <w:b w:val="0"/>
                <w:sz w:val="16"/>
              </w:rPr>
              <w:t>Butuh CA trust, time sync, credential/cert per device, memory/performance, rotation/revocation test</w:t>
            </w:r>
          </w:p>
        </w:tc>
        <w:tc>
          <w:tcPr>
            <w:tcW w:type="dxa" w:w="1500"/>
          </w:tcPr>
          <w:p>
            <w:pPr>
              <w:spacing w:after="0"/>
              <w:rPr>
                <w:lang w:val="id-ID"/>
              </w:rPr>
            </w:pPr>
            <w:r>
              <w:rPr>
                <w:rFonts w:ascii="Calibri" w:hAnsi="Calibri" w:eastAsia="Calibri"/>
                <w:b w:val="0"/>
                <w:sz w:val="16"/>
              </w:rPr>
              <w:t>Utama</w:t>
            </w:r>
          </w:p>
        </w:tc>
      </w:tr>
      <w:tr>
        <w:trPr>
          <w:cantSplit w:val="true"/>
        </w:trPr>
        <w:tc>
          <w:tcPr>
            <w:tcW w:type="dxa" w:w="2150"/>
          </w:tcPr>
          <w:p>
            <w:pPr>
              <w:spacing w:after="0"/>
              <w:rPr>
                <w:lang w:val="id-ID"/>
              </w:rPr>
            </w:pPr>
            <w:r>
              <w:rPr>
                <w:rFonts w:ascii="Calibri" w:hAnsi="Calibri" w:eastAsia="Calibri"/>
                <w:b w:val="0"/>
                <w:sz w:val="16"/>
              </w:rPr>
              <w:t>Exception OT terisolasi</w:t>
            </w:r>
          </w:p>
        </w:tc>
        <w:tc>
          <w:tcPr>
            <w:tcW w:type="dxa" w:w="2500"/>
          </w:tcPr>
          <w:p>
            <w:pPr>
              <w:spacing w:after="0"/>
              <w:rPr>
                <w:lang w:val="id-ID"/>
              </w:rPr>
            </w:pPr>
            <w:r>
              <w:rPr>
                <w:rFonts w:ascii="Calibri" w:hAnsi="Calibri" w:eastAsia="Calibri"/>
                <w:b w:val="0"/>
                <w:sz w:val="16"/>
              </w:rPr>
              <w:t>Dapat mempercepat pilot</w:t>
            </w:r>
          </w:p>
        </w:tc>
        <w:tc>
          <w:tcPr>
            <w:tcW w:type="dxa" w:w="3210"/>
          </w:tcPr>
          <w:p>
            <w:pPr>
              <w:spacing w:after="0"/>
              <w:rPr>
                <w:lang w:val="id-ID"/>
              </w:rPr>
            </w:pPr>
            <w:r>
              <w:rPr>
                <w:rFonts w:ascii="Calibri" w:hAnsi="Calibri" w:eastAsia="Calibri"/>
                <w:b w:val="0"/>
                <w:sz w:val="16"/>
              </w:rPr>
              <w:t>Plaintext tetap ada; wajib VLAN/NAC/firewall/ACL/logging dan approval/risk acceptance</w:t>
            </w:r>
          </w:p>
        </w:tc>
        <w:tc>
          <w:tcPr>
            <w:tcW w:type="dxa" w:w="1500"/>
          </w:tcPr>
          <w:p>
            <w:pPr>
              <w:spacing w:after="0"/>
              <w:rPr>
                <w:lang w:val="id-ID"/>
              </w:rPr>
            </w:pPr>
            <w:r>
              <w:rPr>
                <w:rFonts w:ascii="Calibri" w:hAnsi="Calibri" w:eastAsia="Calibri"/>
                <w:b w:val="0"/>
                <w:sz w:val="16"/>
              </w:rPr>
              <w:t>Sementara, formal only</w:t>
            </w:r>
          </w:p>
        </w:tc>
      </w:tr>
      <w:tr>
        <w:trPr>
          <w:cantSplit w:val="true"/>
        </w:trPr>
        <w:tc>
          <w:tcPr>
            <w:tcW w:type="dxa" w:w="2150"/>
          </w:tcPr>
          <w:p>
            <w:pPr>
              <w:spacing w:after="0"/>
              <w:rPr>
                <w:lang w:val="id-ID"/>
              </w:rPr>
            </w:pPr>
            <w:r>
              <w:rPr>
                <w:rFonts w:ascii="Calibri" w:hAnsi="Calibri" w:eastAsia="Calibri"/>
                <w:b w:val="0"/>
                <w:sz w:val="16"/>
              </w:rPr>
              <w:t>Local bridge plaintext→TLS</w:t>
            </w:r>
          </w:p>
        </w:tc>
        <w:tc>
          <w:tcPr>
            <w:tcW w:type="dxa" w:w="2500"/>
          </w:tcPr>
          <w:p>
            <w:pPr>
              <w:spacing w:after="0"/>
              <w:rPr>
                <w:lang w:val="id-ID"/>
              </w:rPr>
            </w:pPr>
            <w:r>
              <w:rPr>
                <w:rFonts w:ascii="Calibri" w:hAnsi="Calibri" w:eastAsia="Calibri"/>
                <w:b w:val="0"/>
                <w:sz w:val="16"/>
              </w:rPr>
              <w:t>Membatasi plaintext segment</w:t>
            </w:r>
          </w:p>
        </w:tc>
        <w:tc>
          <w:tcPr>
            <w:tcW w:type="dxa" w:w="3210"/>
          </w:tcPr>
          <w:p>
            <w:pPr>
              <w:spacing w:after="0"/>
              <w:rPr>
                <w:lang w:val="id-ID"/>
              </w:rPr>
            </w:pPr>
            <w:r>
              <w:rPr>
                <w:rFonts w:ascii="Calibri" w:hAnsi="Calibri" w:eastAsia="Calibri"/>
                <w:b w:val="0"/>
                <w:sz w:val="16"/>
              </w:rPr>
              <w:t>Menambah asset, power, patching, monitoring, HA, dan another trust boundary</w:t>
            </w:r>
          </w:p>
        </w:tc>
        <w:tc>
          <w:tcPr>
            <w:tcW w:type="dxa" w:w="1500"/>
          </w:tcPr>
          <w:p>
            <w:pPr>
              <w:spacing w:after="0"/>
              <w:rPr>
                <w:lang w:val="id-ID"/>
              </w:rPr>
            </w:pPr>
            <w:r>
              <w:rPr>
                <w:rFonts w:ascii="Calibri" w:hAnsi="Calibri" w:eastAsia="Calibri"/>
                <w:b w:val="0"/>
                <w:sz w:val="16"/>
              </w:rPr>
              <w:t>Transitional fallback</w:t>
            </w:r>
          </w:p>
        </w:tc>
      </w:tr>
    </w:tbl>
    <w:p>
      <w:pPr>
        <w:spacing w:after="0"/>
      </w:pPr>
    </w:p>
    <w:p>
      <w:pPr>
        <w:rPr>
          <w:lang w:val="id-ID"/>
        </w:rPr>
      </w:pPr>
      <w:r>
        <w:rPr>
          <w:rFonts w:ascii="Calibri" w:hAnsi="Calibri" w:eastAsia="Calibri"/>
        </w:rPr>
        <w:t>MAC allowlist/NAC membantu asset control, tetapi MAC dapat disalin dan tidak menggantikan authentication/authorization. Jika Pertamina mewajibkan WPA2-Enterprise/802.1X, current Gateway source belum membuktikan dukungan; perlu firmware change atau SSID/bridge exception yang disetujui.</w:t>
      </w:r>
    </w:p>
    <w:p>
      <w:pPr>
        <w:pStyle w:val="Heading2"/>
        <w:rPr>
          <w:lang w:val="id-ID"/>
        </w:rPr>
      </w:pPr>
      <w:r>
        <w:t>9.5 Security acceptance</w:t>
      </w:r>
    </w:p>
    <w:p>
      <w:pPr>
        <w:pStyle w:val="ListNumber"/>
        <w:numPr>
          <w:ilvl w:val="0"/>
          <w:numId w:val="13"/>
        </w:numPr>
        <w:rPr>
          <w:lang w:val="id-ID"/>
        </w:rPr>
      </w:pPr>
      <w:r>
        <w:rPr>
          <w:rFonts w:ascii="Calibri" w:hAnsi="Calibri" w:eastAsia="Calibri"/>
        </w:rPr>
        <w:t>Approve architecture, asset inventory, MAC/FQDN/port/VLAN/DHCP/NAC/firewall/DNS/NTP/owner.</w:t>
      </w:r>
    </w:p>
    <w:p>
      <w:pPr>
        <w:pStyle w:val="ListNumber"/>
        <w:numPr>
          <w:ilvl w:val="0"/>
          <w:numId w:val="13"/>
        </w:numPr>
        <w:rPr>
          <w:lang w:val="id-ID"/>
        </w:rPr>
      </w:pPr>
      <w:r>
        <w:rPr>
          <w:rFonts w:ascii="Calibri" w:hAnsi="Calibri" w:eastAsia="Calibri"/>
        </w:rPr>
        <w:t>Test valid and invalid identity, unauthorized topic/command, certificate trust/expiry/revocation path, and audit log.</w:t>
      </w:r>
    </w:p>
    <w:p>
      <w:pPr>
        <w:pStyle w:val="ListNumber"/>
        <w:numPr>
          <w:ilvl w:val="0"/>
          <w:numId w:val="13"/>
        </w:numPr>
        <w:rPr>
          <w:lang w:val="id-ID"/>
        </w:rPr>
      </w:pPr>
      <w:r>
        <w:rPr>
          <w:rFonts w:ascii="Calibri" w:hAnsi="Calibri" w:eastAsia="Calibri"/>
        </w:rPr>
        <w:t>Verify dashboard via HTTPS/RBAC/session control; restrict Node-RED admin and DB.</w:t>
      </w:r>
    </w:p>
    <w:p>
      <w:pPr>
        <w:pStyle w:val="ListNumber"/>
        <w:numPr>
          <w:ilvl w:val="0"/>
          <w:numId w:val="13"/>
        </w:numPr>
        <w:rPr>
          <w:lang w:val="id-ID"/>
        </w:rPr>
      </w:pPr>
      <w:r>
        <w:rPr>
          <w:rFonts w:ascii="Calibri" w:hAnsi="Calibri" w:eastAsia="Calibri"/>
        </w:rPr>
        <w:t>Test Gateway/broker/Node-RED restart, queue/drop/reconnect, replay state, alarm burst, and no false ACK.</w:t>
      </w:r>
    </w:p>
    <w:p>
      <w:pPr>
        <w:pStyle w:val="ListNumber"/>
        <w:numPr>
          <w:ilvl w:val="0"/>
          <w:numId w:val="13"/>
        </w:numPr>
        <w:rPr>
          <w:lang w:val="id-ID"/>
        </w:rPr>
      </w:pPr>
      <w:r>
        <w:rPr>
          <w:rFonts w:ascii="Calibri" w:hAnsi="Calibri" w:eastAsia="Calibri"/>
        </w:rPr>
        <w:t>Perform 24–72 hour soak with evidence: timestamp, revision/hash, broker log, screenshot, negative tests, PIC, sign-off.</w:t>
      </w:r>
    </w:p>
    <w:p>
      <w:pPr>
        <w:pStyle w:val="ListNumber"/>
        <w:numPr>
          <w:ilvl w:val="0"/>
          <w:numId w:val="13"/>
        </w:numPr>
        <w:rPr>
          <w:lang w:val="id-ID"/>
        </w:rPr>
      </w:pPr>
      <w:r>
        <w:rPr>
          <w:rFonts w:ascii="Calibri" w:hAnsi="Calibri" w:eastAsia="Calibri"/>
        </w:rPr>
        <w:t>Use NIST OT security principles for segmentation, least privilege, logging, recovery, and change control; apply MQTT authentication/authorization/secure communication guidance.</w:t>
      </w:r>
    </w:p>
    <w:p>
      <w:pPr>
        <w:pStyle w:val="Heading1"/>
        <w:pageBreakBefore/>
        <w:rPr>
          <w:lang w:val="id-ID"/>
        </w:rPr>
      </w:pPr>
      <w:r>
        <w:t>10. Mounting, antena, kabel, grounding, dan site interface</w:t>
      </w:r>
    </w:p>
    <w:p>
      <w:pPr>
        <w:pStyle w:val="Heading2"/>
        <w:rPr>
          <w:lang w:val="id-ID"/>
        </w:rPr>
      </w:pPr>
      <w:r>
        <w:t>10.1 Prinsip universal bracket</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EEF5FB"/>
          </w:tcPr>
          <w:p>
            <w:pPr>
              <w:spacing w:after="40"/>
              <w:rPr>
                <w:lang w:val="id-ID"/>
              </w:rPr>
            </w:pPr>
            <w:r>
              <w:rPr>
                <w:rFonts w:ascii="Calibri" w:hAnsi="Calibri" w:eastAsia="Calibri"/>
                <w:b/>
                <w:color w:val="1F4D78"/>
                <w:sz w:val="20"/>
              </w:rPr>
              <w:t xml:space="preserve">PROPOSAL MEKANIK  </w:t>
            </w:r>
            <w:r>
              <w:rPr>
                <w:rFonts w:ascii="Calibri" w:hAnsi="Calibri" w:eastAsia="Calibri"/>
                <w:color w:val="243447"/>
                <w:sz w:val="20"/>
              </w:rPr>
              <w:t>Gunakan modular backplate terpisah untuk GLD1/CH, interchangeable clamp untuk round pole/handrail, wall/base plate untuk structure-approved anchor, serta bracket terpisah untuk solar panel dan antenna. Jangan freeze ukuran sebelum survey dimensional dan load approval.</w:t>
            </w:r>
          </w:p>
        </w:tc>
      </w:tr>
    </w:tbl>
    <w:p>
      <w:pPr>
        <w:spacing w:after="0"/>
      </w:pPr>
    </w:p>
    <w:p>
      <w:pPr>
        <w:pStyle w:val="ListBullet"/>
        <w:rPr>
          <w:lang w:val="id-ID"/>
        </w:rPr>
      </w:pPr>
      <w:r>
        <w:rPr>
          <w:rFonts w:ascii="Calibri" w:hAnsi="Calibri" w:eastAsia="Calibri"/>
        </w:rPr>
        <w:t>Candidate material: SS316L/passivated untuk coastal/chemical; gunakan galvanic isolation terhadap carbon steel/aluminium dan validasi corrosion/H₂S/salt-mist site.</w:t>
      </w:r>
    </w:p>
    <w:p>
      <w:pPr>
        <w:pStyle w:val="ListBullet"/>
        <w:rPr>
          <w:lang w:val="id-ID"/>
        </w:rPr>
      </w:pPr>
      <w:r>
        <w:rPr>
          <w:rFonts w:ascii="Calibri" w:hAnsi="Calibri" w:eastAsia="Calibri"/>
        </w:rPr>
        <w:t>Slotted bracket + dual U-bolt/band clamp memberi adjustment untuk beberapa OD; wall/building memakai base plate/anchor yang disetujui structural owner.</w:t>
      </w:r>
    </w:p>
    <w:p>
      <w:pPr>
        <w:pStyle w:val="ListBullet"/>
        <w:rPr>
          <w:lang w:val="id-ID"/>
        </w:rPr>
      </w:pPr>
      <w:r>
        <w:rPr>
          <w:rFonts w:ascii="Calibri" w:hAnsi="Calibri" w:eastAsia="Calibri"/>
        </w:rPr>
        <w:t>M8/M10/M12 dan spanner 13/17/19 mm hanya candidate standardization. Final bolt class, nut, washer, captive/locking method, torque, anti-seize, tool restriction, dan inspection interval harus disepakati.</w:t>
      </w:r>
    </w:p>
    <w:p>
      <w:pPr>
        <w:pStyle w:val="ListBullet"/>
        <w:rPr>
          <w:lang w:val="id-ID"/>
        </w:rPr>
      </w:pPr>
      <w:r>
        <w:rPr>
          <w:rFonts w:ascii="Calibri" w:hAnsi="Calibri" w:eastAsia="Calibri"/>
        </w:rPr>
        <w:t>Tidak ada drilling, welding, hot-work, atau piggyback pada existing detector/support tanpa permit dan asset owner approval.</w:t>
      </w:r>
    </w:p>
    <w:p>
      <w:pPr>
        <w:pStyle w:val="ListBullet"/>
        <w:rPr>
          <w:lang w:val="id-ID"/>
        </w:rPr>
      </w:pPr>
      <w:r>
        <w:rPr>
          <w:rFonts w:ascii="Calibri" w:hAnsi="Calibri" w:eastAsia="Calibri"/>
        </w:rPr>
        <w:t>Mechanical drawing harus memuat mass/CG, wind/seismic load, vibration, drain/orientation, service envelope, removal path, cable bend radius, gland location, ingress/drip loop, earthing point, and tag plate.</w:t>
      </w:r>
    </w:p>
    <w:p>
      <w:pPr>
        <w:pStyle w:val="ListBullet"/>
        <w:rPr>
          <w:lang w:val="id-ID"/>
        </w:rPr>
      </w:pPr>
      <w:r>
        <w:rPr>
          <w:rFonts w:ascii="Calibri" w:hAnsi="Calibri" w:eastAsia="Calibri"/>
        </w:rPr>
        <w:t>GLD1 placement dekat existing sensor/power dapat mengurangi cable, tetapi tidak boleh mengganggu detector, calibration access, airflow, heat, or maintenance.</w:t>
      </w:r>
    </w:p>
    <w:p>
      <w:pPr>
        <w:rPr>
          <w:lang w:val="id-ID"/>
        </w:rPr>
      </w:pPr>
      <w:r>
        <w:rPr>
          <w:rFonts w:ascii="Calibri" w:hAnsi="Calibri" w:eastAsia="Calibri"/>
        </w:rPr>
        <w:t>Rekaman meeting menyebut extension transmitter sekitar 1,5 m dan pole CH/repeater sekitar 2–2,5 m sekaligus support solar, serta tiga titik solar. Angka ini hanya proposal meeting; jangan dimasukkan ke fabrication drawing sampai actual pole, load, wind, access, antenna clearance, and hazardous boundary disurvei dan disetujui.</w:t>
      </w:r>
    </w:p>
    <w:p>
      <w:pPr>
        <w:pStyle w:val="Heading2"/>
        <w:rPr>
          <w:lang w:val="id-ID"/>
        </w:rPr>
      </w:pPr>
      <w:r>
        <w:t>10.2 Tidak ada tinggi/distance universal</w:t>
      </w:r>
    </w:p>
    <w:p>
      <w:pPr>
        <w:rPr>
          <w:lang w:val="id-ID"/>
        </w:rPr>
      </w:pPr>
      <w:r>
        <w:rPr>
          <w:rFonts w:ascii="Calibri" w:hAnsi="Calibri" w:eastAsia="Calibri"/>
        </w:rPr>
        <w:t>Ketinggian GLD1 tidak boleh ditentukan hanya dari nama gas. Densitas/buoyancy dipengaruhi temperature, pressure, release momentum, ventilation, obstruction, weather, and process geometry. Pertamina/HSE harus menyediakan hazard study/area drawing dan target release scenario; vendor kemudian memvalidasi coverage melalui dispersion/risk basis dan gas-release/chamber/site test. Catatan ‘kebocoran hampir harian’ bila benar harus diverifikasi dari incident/operations data—bukan alasan menempatkan prototype uncertified lebih dekat ke leak source.</w:t>
      </w:r>
    </w:p>
    <w:p>
      <w:pPr>
        <w:pStyle w:val="Heading2"/>
        <w:rPr>
          <w:lang w:val="id-ID"/>
        </w:rPr>
      </w:pPr>
      <w:r>
        <w:t>10.3 Data survey mekanik wajib</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cantSplit w:val="true"/>
        </w:trPr>
        <w:tc>
          <w:tcPr>
            <w:tcW w:type="dxa" w:w="21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Domain</w:t>
            </w:r>
          </w:p>
        </w:tc>
        <w:tc>
          <w:tcPr>
            <w:tcW w:type="dxa" w:w="72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Data minimum</w:t>
            </w:r>
          </w:p>
        </w:tc>
      </w:tr>
      <w:tr>
        <w:trPr>
          <w:cantSplit w:val="true"/>
        </w:trPr>
        <w:tc>
          <w:tcPr>
            <w:tcW w:type="dxa" w:w="2100"/>
          </w:tcPr>
          <w:p>
            <w:pPr>
              <w:spacing w:after="0"/>
              <w:rPr>
                <w:lang w:val="id-ID"/>
              </w:rPr>
            </w:pPr>
            <w:r>
              <w:rPr>
                <w:rFonts w:ascii="Calibri" w:hAnsi="Calibri" w:eastAsia="Calibri"/>
                <w:b w:val="0"/>
                <w:sz w:val="18"/>
              </w:rPr>
              <w:t>Pole/handrail</w:t>
            </w:r>
          </w:p>
        </w:tc>
        <w:tc>
          <w:tcPr>
            <w:tcW w:type="dxa" w:w="7260"/>
          </w:tcPr>
          <w:p>
            <w:pPr>
              <w:spacing w:after="0"/>
              <w:rPr>
                <w:lang w:val="id-ID"/>
              </w:rPr>
            </w:pPr>
            <w:r>
              <w:rPr>
                <w:rFonts w:ascii="Calibri" w:hAnsi="Calibri" w:eastAsia="Calibri"/>
                <w:b w:val="0"/>
                <w:sz w:val="18"/>
              </w:rPr>
              <w:t>OD range, material, wall thickness, height, existing load, allowable load, vibration, corrosion, clearance</w:t>
            </w:r>
          </w:p>
        </w:tc>
      </w:tr>
      <w:tr>
        <w:trPr>
          <w:cantSplit w:val="true"/>
        </w:trPr>
        <w:tc>
          <w:tcPr>
            <w:tcW w:type="dxa" w:w="2100"/>
          </w:tcPr>
          <w:p>
            <w:pPr>
              <w:spacing w:after="0"/>
              <w:rPr>
                <w:lang w:val="id-ID"/>
              </w:rPr>
            </w:pPr>
            <w:r>
              <w:rPr>
                <w:rFonts w:ascii="Calibri" w:hAnsi="Calibri" w:eastAsia="Calibri"/>
                <w:b w:val="0"/>
                <w:sz w:val="18"/>
              </w:rPr>
              <w:t>Structure/wall</w:t>
            </w:r>
          </w:p>
        </w:tc>
        <w:tc>
          <w:tcPr>
            <w:tcW w:type="dxa" w:w="7260"/>
          </w:tcPr>
          <w:p>
            <w:pPr>
              <w:spacing w:after="0"/>
              <w:rPr>
                <w:lang w:val="id-ID"/>
              </w:rPr>
            </w:pPr>
            <w:r>
              <w:rPr>
                <w:rFonts w:ascii="Calibri" w:hAnsi="Calibri" w:eastAsia="Calibri"/>
                <w:b w:val="0"/>
                <w:sz w:val="18"/>
              </w:rPr>
              <w:t>Anchor policy, concrete/steel condition, prohibited zones, drilling/welding/hot-work rules, structural sign-off</w:t>
            </w:r>
          </w:p>
        </w:tc>
      </w:tr>
      <w:tr>
        <w:trPr>
          <w:cantSplit w:val="true"/>
        </w:trPr>
        <w:tc>
          <w:tcPr>
            <w:tcW w:type="dxa" w:w="2100"/>
          </w:tcPr>
          <w:p>
            <w:pPr>
              <w:spacing w:after="0"/>
              <w:rPr>
                <w:lang w:val="id-ID"/>
              </w:rPr>
            </w:pPr>
            <w:r>
              <w:rPr>
                <w:rFonts w:ascii="Calibri" w:hAnsi="Calibri" w:eastAsia="Calibri"/>
                <w:b w:val="0"/>
                <w:sz w:val="18"/>
              </w:rPr>
              <w:t>Environment</w:t>
            </w:r>
          </w:p>
        </w:tc>
        <w:tc>
          <w:tcPr>
            <w:tcW w:type="dxa" w:w="7260"/>
          </w:tcPr>
          <w:p>
            <w:pPr>
              <w:spacing w:after="0"/>
              <w:rPr>
                <w:lang w:val="id-ID"/>
              </w:rPr>
            </w:pPr>
            <w:r>
              <w:rPr>
                <w:rFonts w:ascii="Calibri" w:hAnsi="Calibri" w:eastAsia="Calibri"/>
                <w:b w:val="0"/>
                <w:sz w:val="18"/>
              </w:rPr>
              <w:t>Ambient min/max, solar load, rain, flood, dust, salt, H₂S/chemical, wind/seismic, lightning class</w:t>
            </w:r>
          </w:p>
        </w:tc>
      </w:tr>
      <w:tr>
        <w:trPr>
          <w:cantSplit w:val="true"/>
        </w:trPr>
        <w:tc>
          <w:tcPr>
            <w:tcW w:type="dxa" w:w="2100"/>
          </w:tcPr>
          <w:p>
            <w:pPr>
              <w:spacing w:after="0"/>
              <w:rPr>
                <w:lang w:val="id-ID"/>
              </w:rPr>
            </w:pPr>
            <w:r>
              <w:rPr>
                <w:rFonts w:ascii="Calibri" w:hAnsi="Calibri" w:eastAsia="Calibri"/>
                <w:b w:val="0"/>
                <w:sz w:val="18"/>
              </w:rPr>
              <w:t>Access</w:t>
            </w:r>
          </w:p>
        </w:tc>
        <w:tc>
          <w:tcPr>
            <w:tcW w:type="dxa" w:w="7260"/>
          </w:tcPr>
          <w:p>
            <w:pPr>
              <w:spacing w:after="0"/>
              <w:rPr>
                <w:lang w:val="id-ID"/>
              </w:rPr>
            </w:pPr>
            <w:r>
              <w:rPr>
                <w:rFonts w:ascii="Calibri" w:hAnsi="Calibri" w:eastAsia="Calibri"/>
                <w:b w:val="0"/>
                <w:sz w:val="18"/>
              </w:rPr>
              <w:t>Work-at-height, ladder/scaffold/lifting, maintenance route, emergency egress, tool restriction, permit/JSA</w:t>
            </w:r>
          </w:p>
        </w:tc>
      </w:tr>
      <w:tr>
        <w:trPr>
          <w:cantSplit w:val="true"/>
        </w:trPr>
        <w:tc>
          <w:tcPr>
            <w:tcW w:type="dxa" w:w="2100"/>
          </w:tcPr>
          <w:p>
            <w:pPr>
              <w:spacing w:after="0"/>
              <w:rPr>
                <w:lang w:val="id-ID"/>
              </w:rPr>
            </w:pPr>
            <w:r>
              <w:rPr>
                <w:rFonts w:ascii="Calibri" w:hAnsi="Calibri" w:eastAsia="Calibri"/>
                <w:b w:val="0"/>
                <w:sz w:val="18"/>
              </w:rPr>
              <w:t>Cable</w:t>
            </w:r>
          </w:p>
        </w:tc>
        <w:tc>
          <w:tcPr>
            <w:tcW w:type="dxa" w:w="7260"/>
          </w:tcPr>
          <w:p>
            <w:pPr>
              <w:spacing w:after="0"/>
              <w:rPr>
                <w:lang w:val="id-ID"/>
              </w:rPr>
            </w:pPr>
            <w:r>
              <w:rPr>
                <w:rFonts w:ascii="Calibri" w:hAnsi="Calibri" w:eastAsia="Calibri"/>
                <w:b w:val="0"/>
                <w:sz w:val="18"/>
              </w:rPr>
              <w:t>Source panel, route/length, tray/conduit, cable type/area, gland/armor/shield, separation, fire rating, tagging</w:t>
            </w:r>
          </w:p>
        </w:tc>
      </w:tr>
      <w:tr>
        <w:trPr>
          <w:cantSplit w:val="true"/>
        </w:trPr>
        <w:tc>
          <w:tcPr>
            <w:tcW w:type="dxa" w:w="2100"/>
          </w:tcPr>
          <w:p>
            <w:pPr>
              <w:spacing w:after="0"/>
              <w:rPr>
                <w:lang w:val="id-ID"/>
              </w:rPr>
            </w:pPr>
            <w:r>
              <w:rPr>
                <w:rFonts w:ascii="Calibri" w:hAnsi="Calibri" w:eastAsia="Calibri"/>
                <w:b w:val="0"/>
                <w:sz w:val="18"/>
              </w:rPr>
              <w:t>Antenna</w:t>
            </w:r>
          </w:p>
        </w:tc>
        <w:tc>
          <w:tcPr>
            <w:tcW w:type="dxa" w:w="7260"/>
          </w:tcPr>
          <w:p>
            <w:pPr>
              <w:spacing w:after="0"/>
              <w:rPr>
                <w:lang w:val="id-ID"/>
              </w:rPr>
            </w:pPr>
            <w:r>
              <w:rPr>
                <w:rFonts w:ascii="Calibri" w:hAnsi="Calibri" w:eastAsia="Calibri"/>
                <w:b w:val="0"/>
                <w:sz w:val="18"/>
              </w:rPr>
              <w:t>Height, LOS/obstruction, separation, metal clearance, coax length/loss, rooftop access, grounding, lightning zone</w:t>
            </w:r>
          </w:p>
        </w:tc>
      </w:tr>
      <w:tr>
        <w:trPr>
          <w:cantSplit w:val="true"/>
        </w:trPr>
        <w:tc>
          <w:tcPr>
            <w:tcW w:type="dxa" w:w="2100"/>
          </w:tcPr>
          <w:p>
            <w:pPr>
              <w:spacing w:after="0"/>
              <w:rPr>
                <w:lang w:val="id-ID"/>
              </w:rPr>
            </w:pPr>
            <w:r>
              <w:rPr>
                <w:rFonts w:ascii="Calibri" w:hAnsi="Calibri" w:eastAsia="Calibri"/>
                <w:b w:val="0"/>
                <w:sz w:val="18"/>
              </w:rPr>
              <w:t>Existing detector</w:t>
            </w:r>
          </w:p>
        </w:tc>
        <w:tc>
          <w:tcPr>
            <w:tcW w:type="dxa" w:w="7260"/>
          </w:tcPr>
          <w:p>
            <w:pPr>
              <w:spacing w:after="0"/>
              <w:rPr>
                <w:lang w:val="id-ID"/>
              </w:rPr>
            </w:pPr>
            <w:r>
              <w:rPr>
                <w:rFonts w:ascii="Calibri" w:hAnsi="Calibri" w:eastAsia="Calibri"/>
                <w:b w:val="0"/>
                <w:sz w:val="18"/>
              </w:rPr>
              <w:t>Owner, no-interference distance, calibration envelope, mounting prohibition, power sharing approval</w:t>
            </w:r>
          </w:p>
        </w:tc>
      </w:tr>
    </w:tbl>
    <w:p>
      <w:pPr>
        <w:spacing w:after="0"/>
      </w:pPr>
    </w:p>
    <w:p>
      <w:pPr>
        <w:pStyle w:val="Heading2"/>
        <w:rPr>
          <w:lang w:val="id-ID"/>
        </w:rPr>
      </w:pPr>
      <w:r>
        <w:t>10.4 Visual evidence dan lokasi konsep</w:t>
      </w:r>
    </w:p>
    <w:p>
      <w:pPr>
        <w:jc w:val="center"/>
      </w:pPr>
      <w:r>
        <w:drawing>
          <wp:inline xmlns:a="http://schemas.openxmlformats.org/drawingml/2006/main" xmlns:pic="http://schemas.openxmlformats.org/drawingml/2006/picture">
            <wp:extent cx="5760720" cy="3812877"/>
            <wp:docPr id="4" name="Picture 4" title="RU IV plot map field note" descr="Foto plot map RU IV dengan anotasi kandidat posisi GLD1 A1 A2 A3, CH A4 A5, Gateway indoor dan antenna rooftop, serta staged gas detection plan."/>
            <wp:cNvGraphicFramePr>
              <a:graphicFrameLocks noChangeAspect="1"/>
            </wp:cNvGraphicFramePr>
            <a:graphic>
              <a:graphicData uri="http://schemas.openxmlformats.org/drawingml/2006/picture">
                <pic:pic>
                  <pic:nvPicPr>
                    <pic:cNvPr id="0" name="WhatsApp Image 2026-08-18 at 16.01.54.jpeg"/>
                    <pic:cNvPicPr/>
                  </pic:nvPicPr>
                  <pic:blipFill>
                    <a:blip r:embed="rId14"/>
                    <a:stretch>
                      <a:fillRect/>
                    </a:stretch>
                  </pic:blipFill>
                  <pic:spPr>
                    <a:xfrm>
                      <a:off x="0" y="0"/>
                      <a:ext cx="5760720" cy="3812877"/>
                    </a:xfrm>
                    <a:prstGeom prst="rect"/>
                  </pic:spPr>
                </pic:pic>
              </a:graphicData>
            </a:graphic>
          </wp:inline>
        </w:drawing>
      </w:r>
    </w:p>
    <w:p>
      <w:pPr>
        <w:pStyle w:val="FigureCaption"/>
        <w:jc w:val="center"/>
        <w:rPr>
          <w:lang w:val="id-ID"/>
        </w:rPr>
      </w:pPr>
      <w:r>
        <w:rPr>
          <w:rFonts w:ascii="Calibri" w:hAnsi="Calibri" w:eastAsia="Calibri"/>
        </w:rPr>
        <w:t>Gambar 4. Plot map historical survey 18 Desember 2025/catatan lapangan. Ini input phase discussion, bukan layout aktif, approved plot plan, area-classification drawing, cable route, RF survey, atau installation permit.</w:t>
      </w:r>
    </w:p>
    <w:p>
      <w:pPr>
        <w:pStyle w:val="Heading1"/>
        <w:pageBreakBefore/>
        <w:rPr>
          <w:lang w:val="id-ID"/>
        </w:rPr>
      </w:pPr>
      <w:r>
        <w:t>11. Hazardous area, ATEX/IECEx, dan batas trial</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FCE8E6"/>
          </w:tcPr>
          <w:p>
            <w:pPr>
              <w:spacing w:after="40"/>
              <w:rPr>
                <w:lang w:val="id-ID"/>
              </w:rPr>
            </w:pPr>
            <w:r>
              <w:rPr>
                <w:rFonts w:ascii="Calibri" w:hAnsi="Calibri" w:eastAsia="Calibri"/>
                <w:b/>
                <w:color w:val="C00000"/>
                <w:sz w:val="20"/>
              </w:rPr>
              <w:t xml:space="preserve">SAFETY HOLD  </w:t>
            </w:r>
            <w:r>
              <w:rPr>
                <w:rFonts w:ascii="Calibri" w:hAnsi="Calibri" w:eastAsia="Calibri"/>
                <w:color w:val="243447"/>
                <w:sz w:val="20"/>
              </w:rPr>
              <w:t>Tidak ditemukan certificate/marking ATEX atau IECEx untuk assembly GLD1 maupun CH. Hingga konfigurasi final lengkap disertifikasi dan diterima Pertamina, status yang benar adalah: ‘Engineering prototype — not certified for installation in a hazardous area.’</w:t>
            </w:r>
          </w:p>
        </w:tc>
      </w:tr>
    </w:tbl>
    <w:p>
      <w:pPr>
        <w:spacing w:after="0"/>
      </w:pPr>
    </w:p>
    <w:p>
      <w:pPr>
        <w:pStyle w:val="Heading2"/>
        <w:rPr>
          <w:lang w:val="id-ID"/>
        </w:rPr>
      </w:pPr>
      <w:r>
        <w:t>11.1 Apa arti ATEX/IECEx dalam konteks ini</w:t>
      </w:r>
    </w:p>
    <w:p>
      <w:pPr>
        <w:pStyle w:val="ListBullet"/>
        <w:rPr>
          <w:lang w:val="id-ID"/>
        </w:rPr>
      </w:pPr>
      <w:r>
        <w:rPr>
          <w:rFonts w:ascii="Calibri" w:hAnsi="Calibri" w:eastAsia="Calibri"/>
        </w:rPr>
        <w:t>ATEX Directive 2014/34/EU mengatur equipment/protective systems/components untuk potentially explosive atmospheres di pasar EU; istilah ATEX bukan sinonim umum untuk ‘explosion proof’ dan belum otomatis menjadi satu-satunya acceptance basis Indonesia/site Pertamina.</w:t>
      </w:r>
    </w:p>
    <w:p>
      <w:pPr>
        <w:pStyle w:val="ListBullet"/>
        <w:rPr>
          <w:lang w:val="id-ID"/>
        </w:rPr>
      </w:pPr>
      <w:r>
        <w:rPr>
          <w:rFonts w:ascii="Calibri" w:hAnsi="Calibri" w:eastAsia="Calibri"/>
        </w:rPr>
        <w:t>IECEx Certified Equipment Scheme memakai independent testing dan quality assessment. Ex component certificate masih memerlukan additional certification ketika diintegrasikan ke equipment/assembly.</w:t>
      </w:r>
    </w:p>
    <w:p>
      <w:pPr>
        <w:pStyle w:val="ListBullet"/>
        <w:rPr>
          <w:lang w:val="id-ID"/>
        </w:rPr>
      </w:pPr>
      <w:r>
        <w:rPr>
          <w:rFonts w:ascii="Calibri" w:hAnsi="Calibri" w:eastAsia="Calibri"/>
        </w:rPr>
        <w:t>Area classification gas mengacu pada IEC 60079-10-1; selection/installation/documentation/initial inspection pada IEC 60079-14. Protection concept dapat melibatkan flameproof ‘d’, intrinsic safety ‘i’, atau lain-lain—harus dipilih oleh competent Ex design/certification route.</w:t>
      </w:r>
    </w:p>
    <w:p>
      <w:pPr>
        <w:pStyle w:val="ListBullet"/>
        <w:rPr>
          <w:lang w:val="id-ID"/>
        </w:rPr>
      </w:pPr>
      <w:r>
        <w:rPr>
          <w:rFonts w:ascii="Calibri" w:hAnsi="Calibri" w:eastAsia="Calibri"/>
        </w:rPr>
        <w:t>SNI IEC 60079 editions dan ketentuan Migas/Pertamina yang diterima harus dikonfirmasi. Standard edition, certificate scheme, local approval, dan site procedure tidak boleh diasumsikan.</w:t>
      </w:r>
    </w:p>
    <w:p>
      <w:pPr>
        <w:pStyle w:val="ListBullet"/>
        <w:rPr>
          <w:lang w:val="id-ID"/>
        </w:rPr>
      </w:pPr>
      <w:r>
        <w:rPr>
          <w:rFonts w:ascii="Calibri" w:hAnsi="Calibri" w:eastAsia="Calibri"/>
        </w:rPr>
        <w:t>IP/IK, material metal, physical partition, atau enclosure yang tampak industrial tidak sama dengan Ex certification.</w:t>
      </w:r>
    </w:p>
    <w:p>
      <w:pPr>
        <w:pStyle w:val="Heading2"/>
        <w:rPr>
          <w:lang w:val="id-ID"/>
        </w:rPr>
      </w:pPr>
      <w:r>
        <w:t>11.2 Scope yang harus ikut sertifikat/assessment</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val="true"/>
        </w:trPr>
        <w:tc>
          <w:tcPr>
            <w:tcW w:type="dxa" w:w="23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Subassembly</w:t>
            </w:r>
          </w:p>
        </w:tc>
        <w:tc>
          <w:tcPr>
            <w:tcW w:type="dxa" w:w="70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Pertanyaan sertifikasi</w:t>
            </w:r>
          </w:p>
        </w:tc>
      </w:tr>
      <w:tr>
        <w:trPr>
          <w:cantSplit w:val="true"/>
        </w:trPr>
        <w:tc>
          <w:tcPr>
            <w:tcW w:type="dxa" w:w="2300"/>
          </w:tcPr>
          <w:p>
            <w:pPr>
              <w:spacing w:after="0"/>
              <w:rPr>
                <w:lang w:val="id-ID"/>
              </w:rPr>
            </w:pPr>
            <w:r>
              <w:rPr>
                <w:rFonts w:ascii="Calibri" w:hAnsi="Calibri" w:eastAsia="Calibri"/>
                <w:b w:val="0"/>
                <w:sz w:val="18"/>
              </w:rPr>
              <w:t>GLD1 sensor head</w:t>
            </w:r>
          </w:p>
        </w:tc>
        <w:tc>
          <w:tcPr>
            <w:tcW w:type="dxa" w:w="7060"/>
          </w:tcPr>
          <w:p>
            <w:pPr>
              <w:spacing w:after="0"/>
              <w:rPr>
                <w:lang w:val="id-ID"/>
              </w:rPr>
            </w:pPr>
            <w:r>
              <w:rPr>
                <w:rFonts w:ascii="Calibri" w:hAnsi="Calibri" w:eastAsia="Calibri"/>
                <w:b w:val="0"/>
                <w:sz w:val="18"/>
              </w:rPr>
              <w:t>Gas path, sensing element, hot surface, flame arrestor/flamepath, material, calibration access, contamination</w:t>
            </w:r>
          </w:p>
        </w:tc>
      </w:tr>
      <w:tr>
        <w:trPr>
          <w:cantSplit w:val="true"/>
        </w:trPr>
        <w:tc>
          <w:tcPr>
            <w:tcW w:type="dxa" w:w="2300"/>
          </w:tcPr>
          <w:p>
            <w:pPr>
              <w:spacing w:after="0"/>
              <w:rPr>
                <w:lang w:val="id-ID"/>
              </w:rPr>
            </w:pPr>
            <w:r>
              <w:rPr>
                <w:rFonts w:ascii="Calibri" w:hAnsi="Calibri" w:eastAsia="Calibri"/>
                <w:b w:val="0"/>
                <w:sz w:val="18"/>
              </w:rPr>
              <w:t>GLD1 electronics/power</w:t>
            </w:r>
          </w:p>
        </w:tc>
        <w:tc>
          <w:tcPr>
            <w:tcW w:type="dxa" w:w="7060"/>
          </w:tcPr>
          <w:p>
            <w:pPr>
              <w:spacing w:after="0"/>
              <w:rPr>
                <w:lang w:val="id-ID"/>
              </w:rPr>
            </w:pPr>
            <w:r>
              <w:rPr>
                <w:rFonts w:ascii="Calibri" w:hAnsi="Calibri" w:eastAsia="Calibri"/>
                <w:b w:val="0"/>
                <w:sz w:val="18"/>
              </w:rPr>
              <w:t>Protection concept, component ratings, spacing, thermal/T-class, input protection, fault analysis</w:t>
            </w:r>
          </w:p>
        </w:tc>
      </w:tr>
      <w:tr>
        <w:trPr>
          <w:cantSplit w:val="true"/>
        </w:trPr>
        <w:tc>
          <w:tcPr>
            <w:tcW w:type="dxa" w:w="2300"/>
          </w:tcPr>
          <w:p>
            <w:pPr>
              <w:spacing w:after="0"/>
              <w:rPr>
                <w:lang w:val="id-ID"/>
              </w:rPr>
            </w:pPr>
            <w:r>
              <w:rPr>
                <w:rFonts w:ascii="Calibri" w:hAnsi="Calibri" w:eastAsia="Calibri"/>
                <w:b w:val="0"/>
                <w:sz w:val="18"/>
              </w:rPr>
              <w:t>CH electronics</w:t>
            </w:r>
          </w:p>
        </w:tc>
        <w:tc>
          <w:tcPr>
            <w:tcW w:type="dxa" w:w="7060"/>
          </w:tcPr>
          <w:p>
            <w:pPr>
              <w:spacing w:after="0"/>
              <w:rPr>
                <w:lang w:val="id-ID"/>
              </w:rPr>
            </w:pPr>
            <w:r>
              <w:rPr>
                <w:rFonts w:ascii="Calibri" w:hAnsi="Calibri" w:eastAsia="Calibri"/>
                <w:b w:val="0"/>
                <w:sz w:val="18"/>
              </w:rPr>
              <w:t>Dual radio, charger, battery fault/thermal, enclosure, antenna feedthrough</w:t>
            </w:r>
          </w:p>
        </w:tc>
      </w:tr>
      <w:tr>
        <w:trPr>
          <w:cantSplit w:val="true"/>
        </w:trPr>
        <w:tc>
          <w:tcPr>
            <w:tcW w:type="dxa" w:w="2300"/>
          </w:tcPr>
          <w:p>
            <w:pPr>
              <w:spacing w:after="0"/>
              <w:rPr>
                <w:lang w:val="id-ID"/>
              </w:rPr>
            </w:pPr>
            <w:r>
              <w:rPr>
                <w:rFonts w:ascii="Calibri" w:hAnsi="Calibri" w:eastAsia="Calibri"/>
                <w:b w:val="0"/>
                <w:sz w:val="18"/>
              </w:rPr>
              <w:t>Battery/solar</w:t>
            </w:r>
          </w:p>
        </w:tc>
        <w:tc>
          <w:tcPr>
            <w:tcW w:type="dxa" w:w="7060"/>
          </w:tcPr>
          <w:p>
            <w:pPr>
              <w:spacing w:after="0"/>
              <w:rPr>
                <w:lang w:val="id-ID"/>
              </w:rPr>
            </w:pPr>
            <w:r>
              <w:rPr>
                <w:rFonts w:ascii="Calibri" w:hAnsi="Calibri" w:eastAsia="Calibri"/>
                <w:b w:val="0"/>
                <w:sz w:val="18"/>
              </w:rPr>
              <w:t>Cell/pack, protection, cable, panel, charger, connector, temperature, fault energy; whether inside certificate scope</w:t>
            </w:r>
          </w:p>
        </w:tc>
      </w:tr>
      <w:tr>
        <w:trPr>
          <w:cantSplit w:val="true"/>
        </w:trPr>
        <w:tc>
          <w:tcPr>
            <w:tcW w:type="dxa" w:w="2300"/>
          </w:tcPr>
          <w:p>
            <w:pPr>
              <w:spacing w:after="0"/>
              <w:rPr>
                <w:lang w:val="id-ID"/>
              </w:rPr>
            </w:pPr>
            <w:r>
              <w:rPr>
                <w:rFonts w:ascii="Calibri" w:hAnsi="Calibri" w:eastAsia="Calibri"/>
                <w:b w:val="0"/>
                <w:sz w:val="18"/>
              </w:rPr>
              <w:t>Enclosure/gland/seal</w:t>
            </w:r>
          </w:p>
        </w:tc>
        <w:tc>
          <w:tcPr>
            <w:tcW w:type="dxa" w:w="7060"/>
          </w:tcPr>
          <w:p>
            <w:pPr>
              <w:spacing w:after="0"/>
              <w:rPr>
                <w:lang w:val="id-ID"/>
              </w:rPr>
            </w:pPr>
            <w:r>
              <w:rPr>
                <w:rFonts w:ascii="Calibri" w:hAnsi="Calibri" w:eastAsia="Calibri"/>
                <w:b w:val="0"/>
                <w:sz w:val="18"/>
              </w:rPr>
              <w:t>Exact manufacturer/model, certificate schedule, special conditions, torque, cable range, blanking, ingress, flamepath</w:t>
            </w:r>
          </w:p>
        </w:tc>
      </w:tr>
      <w:tr>
        <w:trPr>
          <w:cantSplit w:val="true"/>
        </w:trPr>
        <w:tc>
          <w:tcPr>
            <w:tcW w:type="dxa" w:w="2300"/>
          </w:tcPr>
          <w:p>
            <w:pPr>
              <w:spacing w:after="0"/>
              <w:rPr>
                <w:lang w:val="id-ID"/>
              </w:rPr>
            </w:pPr>
            <w:r>
              <w:rPr>
                <w:rFonts w:ascii="Calibri" w:hAnsi="Calibri" w:eastAsia="Calibri"/>
                <w:b w:val="0"/>
                <w:sz w:val="18"/>
              </w:rPr>
              <w:t>Antenna/surge/earth</w:t>
            </w:r>
          </w:p>
        </w:tc>
        <w:tc>
          <w:tcPr>
            <w:tcW w:type="dxa" w:w="7060"/>
          </w:tcPr>
          <w:p>
            <w:pPr>
              <w:spacing w:after="0"/>
              <w:rPr>
                <w:lang w:val="id-ID"/>
              </w:rPr>
            </w:pPr>
            <w:r>
              <w:rPr>
                <w:rFonts w:ascii="Calibri" w:hAnsi="Calibri" w:eastAsia="Calibri"/>
                <w:b w:val="0"/>
                <w:sz w:val="18"/>
              </w:rPr>
              <w:t>RF output, antenna/cable/gland/surge/barrier configuration, bonding and installation conditions</w:t>
            </w:r>
          </w:p>
        </w:tc>
      </w:tr>
      <w:tr>
        <w:trPr>
          <w:cantSplit w:val="true"/>
        </w:trPr>
        <w:tc>
          <w:tcPr>
            <w:tcW w:type="dxa" w:w="2300"/>
          </w:tcPr>
          <w:p>
            <w:pPr>
              <w:spacing w:after="0"/>
              <w:rPr>
                <w:lang w:val="id-ID"/>
              </w:rPr>
            </w:pPr>
            <w:r>
              <w:rPr>
                <w:rFonts w:ascii="Calibri" w:hAnsi="Calibri" w:eastAsia="Calibri"/>
                <w:b w:val="0"/>
                <w:sz w:val="18"/>
              </w:rPr>
              <w:t>Final assembly</w:t>
            </w:r>
          </w:p>
        </w:tc>
        <w:tc>
          <w:tcPr>
            <w:tcW w:type="dxa" w:w="7060"/>
          </w:tcPr>
          <w:p>
            <w:pPr>
              <w:spacing w:after="0"/>
              <w:rPr>
                <w:lang w:val="id-ID"/>
              </w:rPr>
            </w:pPr>
            <w:r>
              <w:rPr>
                <w:rFonts w:ascii="Calibri" w:hAnsi="Calibri" w:eastAsia="Calibri"/>
                <w:b w:val="0"/>
                <w:sz w:val="18"/>
              </w:rPr>
              <w:t>Marking, gas group, T-class, EPL/category, ambient, certificate number, QAR/QAN, drawings/BOM revision</w:t>
            </w:r>
          </w:p>
        </w:tc>
      </w:tr>
      <w:tr>
        <w:trPr>
          <w:cantSplit w:val="true"/>
        </w:trPr>
        <w:tc>
          <w:tcPr>
            <w:tcW w:type="dxa" w:w="2300"/>
          </w:tcPr>
          <w:p>
            <w:pPr>
              <w:spacing w:after="0"/>
              <w:rPr>
                <w:lang w:val="id-ID"/>
              </w:rPr>
            </w:pPr>
            <w:r>
              <w:rPr>
                <w:rFonts w:ascii="Calibri" w:hAnsi="Calibri" w:eastAsia="Calibri"/>
                <w:b w:val="0"/>
                <w:sz w:val="18"/>
              </w:rPr>
              <w:t>Installation</w:t>
            </w:r>
          </w:p>
        </w:tc>
        <w:tc>
          <w:tcPr>
            <w:tcW w:type="dxa" w:w="7060"/>
          </w:tcPr>
          <w:p>
            <w:pPr>
              <w:spacing w:after="0"/>
              <w:rPr>
                <w:lang w:val="id-ID"/>
              </w:rPr>
            </w:pPr>
            <w:r>
              <w:rPr>
                <w:rFonts w:ascii="Calibri" w:hAnsi="Calibri" w:eastAsia="Calibri"/>
                <w:b w:val="0"/>
                <w:sz w:val="18"/>
              </w:rPr>
              <w:t>Area drawing, equipment selection, cable/earthing, initial inspection by competent person, dossier and maintenance</w:t>
            </w:r>
          </w:p>
        </w:tc>
      </w:tr>
    </w:tbl>
    <w:p>
      <w:pPr>
        <w:spacing w:after="0"/>
      </w:pPr>
    </w:p>
    <w:p>
      <w:pPr>
        <w:pStyle w:val="Heading2"/>
        <w:rPr>
          <w:lang w:val="id-ID"/>
        </w:rPr>
      </w:pPr>
      <w:r>
        <w:t>11.3 Pemisahan sensor dan power</w:t>
      </w:r>
    </w:p>
    <w:p>
      <w:pPr>
        <w:rPr>
          <w:lang w:val="id-ID"/>
        </w:rPr>
      </w:pPr>
      <w:r>
        <w:rPr>
          <w:rFonts w:ascii="Calibri" w:hAnsi="Calibri" w:eastAsia="Calibri"/>
        </w:rPr>
        <w:t>Pemisahan electronics/power dari sensor dapat menjadi design direction, tetapi partisi biasa tidak cukup. Separation, seal/gland, flamepath, barrier, creepage/clearance, fault energy, thermal path, and every external connection harus berada dalam protection concept dan certificate/drawing scope. Memindahkan trial dari LPG tank ke SRU juga tidak otomatis aman; SRU/H₂S tetap memerlukan area-classification drawing dan keputusan tertulis.</w:t>
      </w:r>
    </w:p>
    <w:p>
      <w:pPr>
        <w:pStyle w:val="Heading2"/>
        <w:rPr>
          <w:lang w:val="id-ID"/>
        </w:rPr>
      </w:pPr>
      <w:r>
        <w:t>11.4 Hold points</w:t>
      </w:r>
    </w:p>
    <w:p>
      <w:pPr>
        <w:pStyle w:val="ListNumber"/>
        <w:numPr>
          <w:ilvl w:val="0"/>
          <w:numId w:val="14"/>
        </w:numPr>
        <w:rPr>
          <w:lang w:val="id-ID"/>
        </w:rPr>
      </w:pPr>
      <w:r>
        <w:rPr>
          <w:rFonts w:ascii="Calibri" w:hAnsi="Calibri" w:eastAsia="Calibri"/>
        </w:rPr>
        <w:t>Pertamina menerbitkan/menyetujui area-classification drawing untuk setiap titik: Zone/non-hazardous, gas group, T-class, EPL/category, gas, ambient, 3D boundary.</w:t>
      </w:r>
    </w:p>
    <w:p>
      <w:pPr>
        <w:pStyle w:val="ListNumber"/>
        <w:numPr>
          <w:ilvl w:val="0"/>
          <w:numId w:val="14"/>
        </w:numPr>
        <w:rPr>
          <w:lang w:val="id-ID"/>
        </w:rPr>
      </w:pPr>
      <w:r>
        <w:rPr>
          <w:rFonts w:ascii="Calibri" w:hAnsi="Calibri" w:eastAsia="Calibri"/>
        </w:rPr>
        <w:t>LGU/vendor memilih protection concept dan certification basis/edition yang diterima Pertamina/Migas/local authority.</w:t>
      </w:r>
    </w:p>
    <w:p>
      <w:pPr>
        <w:pStyle w:val="ListNumber"/>
        <w:numPr>
          <w:ilvl w:val="0"/>
          <w:numId w:val="14"/>
        </w:numPr>
        <w:rPr>
          <w:lang w:val="id-ID"/>
        </w:rPr>
      </w:pPr>
      <w:r>
        <w:rPr>
          <w:rFonts w:ascii="Calibri" w:hAnsi="Calibri" w:eastAsia="Calibri"/>
        </w:rPr>
        <w:t>Complete manufacturer BOM, controlled drawings, enclosure/gland/antenna/battery/solar schedule, risk/fault/thermal analysis selesai.</w:t>
      </w:r>
    </w:p>
    <w:p>
      <w:pPr>
        <w:pStyle w:val="ListNumber"/>
        <w:numPr>
          <w:ilvl w:val="0"/>
          <w:numId w:val="14"/>
        </w:numPr>
        <w:rPr>
          <w:lang w:val="id-ID"/>
        </w:rPr>
      </w:pPr>
      <w:r>
        <w:rPr>
          <w:rFonts w:ascii="Calibri" w:hAnsi="Calibri" w:eastAsia="Calibri"/>
        </w:rPr>
        <w:t>ExCB/laboratory application, quotation, test plan, schedule, certificate scope, QAR/QAN, and special conditions tersedia. Klaim ‘3 minggu’ baru boleh digunakan setelah bukti ini.</w:t>
      </w:r>
    </w:p>
    <w:p>
      <w:pPr>
        <w:pStyle w:val="ListNumber"/>
        <w:numPr>
          <w:ilvl w:val="0"/>
          <w:numId w:val="14"/>
        </w:numPr>
        <w:rPr>
          <w:lang w:val="id-ID"/>
        </w:rPr>
      </w:pPr>
      <w:r>
        <w:rPr>
          <w:rFonts w:ascii="Calibri" w:hAnsi="Calibri" w:eastAsia="Calibri"/>
        </w:rPr>
        <w:t>Certificate authenticity/status diverifikasi pada controlled database; final marking cocok dengan as-built serial/revision.</w:t>
      </w:r>
    </w:p>
    <w:p>
      <w:pPr>
        <w:pStyle w:val="ListNumber"/>
        <w:numPr>
          <w:ilvl w:val="0"/>
          <w:numId w:val="14"/>
        </w:numPr>
        <w:rPr>
          <w:lang w:val="id-ID"/>
        </w:rPr>
      </w:pPr>
      <w:r>
        <w:rPr>
          <w:rFonts w:ascii="Calibri" w:hAnsi="Calibri" w:eastAsia="Calibri"/>
        </w:rPr>
        <w:t>Installation dossier, competency, permit/JSA, cable/earthing, inspection record, and maintenance plan disetujui.</w:t>
      </w:r>
    </w:p>
    <w:p>
      <w:pPr>
        <w:pStyle w:val="ListNumber"/>
        <w:numPr>
          <w:ilvl w:val="0"/>
          <w:numId w:val="14"/>
        </w:numPr>
        <w:rPr>
          <w:lang w:val="id-ID"/>
        </w:rPr>
      </w:pPr>
      <w:r>
        <w:rPr>
          <w:rFonts w:ascii="Calibri" w:hAnsi="Calibri" w:eastAsia="Calibri"/>
        </w:rPr>
        <w:t>Sebelum semua hold point classified ditutup, trial hanya pada lokasi non-hazardous yang ditetapkan Pertamina secara tertulis dan tetap mengikuti permit serta safety control.</w:t>
      </w:r>
    </w:p>
    <w:p>
      <w:pPr>
        <w:pStyle w:val="Heading1"/>
        <w:pageBreakBefore/>
        <w:rPr>
          <w:lang w:val="id-ID"/>
        </w:rPr>
      </w:pPr>
      <w:r>
        <w:t>12. Lokasi kandidat, fase, jadwal, dan pembagian kerja</w:t>
      </w:r>
    </w:p>
    <w:p>
      <w:pPr>
        <w:pStyle w:val="Heading2"/>
        <w:rPr>
          <w:lang w:val="id-ID"/>
        </w:rPr>
      </w:pPr>
      <w:r>
        <w:t>12.1 Status lokasi</w:t>
      </w:r>
    </w:p>
    <w:tbl>
      <w:tblPr>
        <w:tblStyle w:val="TableGrid"/>
        <w:tblW w:type="dxa" w:w="9360"/>
        <w:jc w:val="center"/>
        <w:tblLayout w:type="fixed"/>
        <w:tblLook w:firstColumn="1" w:firstRow="1" w:lastColumn="0" w:lastRow="0" w:noHBand="0" w:noVBand="1" w:val="04A0"/>
        <w:tblInd w:w="120" w:type="dxa"/>
      </w:tblPr>
      <w:tblGrid>
        <w:gridCol w:w="2650"/>
        <w:gridCol w:w="2500"/>
        <w:gridCol w:w="4210"/>
      </w:tblGrid>
      <w:tr>
        <w:trPr>
          <w:tblHeader w:val="true"/>
          <w:cantSplit w:val="true"/>
        </w:trPr>
        <w:tc>
          <w:tcPr>
            <w:tcW w:type="dxa" w:w="26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Lokasi/fase dari catatan</w:t>
            </w:r>
          </w:p>
        </w:tc>
        <w:tc>
          <w:tcPr>
            <w:tcW w:type="dxa" w:w="2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Gas/quantity</w:t>
            </w:r>
          </w:p>
        </w:tc>
        <w:tc>
          <w:tcPr>
            <w:tcW w:type="dxa" w:w="421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Status keputusan</w:t>
            </w:r>
          </w:p>
        </w:tc>
      </w:tr>
      <w:tr>
        <w:trPr>
          <w:cantSplit w:val="true"/>
        </w:trPr>
        <w:tc>
          <w:tcPr>
            <w:tcW w:type="dxa" w:w="2650"/>
          </w:tcPr>
          <w:p>
            <w:pPr>
              <w:spacing w:after="0"/>
              <w:rPr>
                <w:lang w:val="id-ID"/>
              </w:rPr>
            </w:pPr>
            <w:r>
              <w:rPr>
                <w:rFonts w:ascii="Calibri" w:hAnsi="Calibri" w:eastAsia="Calibri"/>
                <w:b w:val="0"/>
                <w:sz w:val="18"/>
              </w:rPr>
              <w:t>OM47 tahap 1</w:t>
            </w:r>
          </w:p>
        </w:tc>
        <w:tc>
          <w:tcPr>
            <w:tcW w:type="dxa" w:w="2500"/>
          </w:tcPr>
          <w:p>
            <w:pPr>
              <w:spacing w:after="0"/>
              <w:rPr>
                <w:lang w:val="id-ID"/>
              </w:rPr>
            </w:pPr>
            <w:r>
              <w:rPr>
                <w:rFonts w:ascii="Calibri" w:hAnsi="Calibri" w:eastAsia="Calibri"/>
                <w:b w:val="0"/>
                <w:sz w:val="18"/>
              </w:rPr>
              <w:t>LPG, 3 sensor</w:t>
            </w:r>
          </w:p>
        </w:tc>
        <w:tc>
          <w:tcPr>
            <w:tcW w:type="dxa" w:w="4210"/>
          </w:tcPr>
          <w:p>
            <w:pPr>
              <w:spacing w:after="0"/>
              <w:rPr>
                <w:lang w:val="id-ID"/>
              </w:rPr>
            </w:pPr>
            <w:r>
              <w:rPr>
                <w:rFonts w:ascii="Calibri" w:hAnsi="Calibri" w:eastAsia="Calibri"/>
                <w:b w:val="0"/>
                <w:sz w:val="18"/>
              </w:rPr>
              <w:t>Printed plot input; handwritten A1/A2/A3 GLD1 dan A4/A5 CH; belum freeze</w:t>
            </w:r>
          </w:p>
        </w:tc>
      </w:tr>
      <w:tr>
        <w:trPr>
          <w:cantSplit w:val="true"/>
        </w:trPr>
        <w:tc>
          <w:tcPr>
            <w:tcW w:type="dxa" w:w="2650"/>
          </w:tcPr>
          <w:p>
            <w:pPr>
              <w:spacing w:after="0"/>
              <w:rPr>
                <w:lang w:val="id-ID"/>
              </w:rPr>
            </w:pPr>
            <w:r>
              <w:rPr>
                <w:rFonts w:ascii="Calibri" w:hAnsi="Calibri" w:eastAsia="Calibri"/>
                <w:b w:val="0"/>
                <w:sz w:val="18"/>
              </w:rPr>
              <w:t>OM47 tahap 2</w:t>
            </w:r>
          </w:p>
        </w:tc>
        <w:tc>
          <w:tcPr>
            <w:tcW w:type="dxa" w:w="2500"/>
          </w:tcPr>
          <w:p>
            <w:pPr>
              <w:spacing w:after="0"/>
              <w:rPr>
                <w:lang w:val="id-ID"/>
              </w:rPr>
            </w:pPr>
            <w:r>
              <w:rPr>
                <w:rFonts w:ascii="Calibri" w:hAnsi="Calibri" w:eastAsia="Calibri"/>
                <w:b w:val="0"/>
                <w:sz w:val="18"/>
              </w:rPr>
              <w:t>LPG, 3 sensor</w:t>
            </w:r>
          </w:p>
        </w:tc>
        <w:tc>
          <w:tcPr>
            <w:tcW w:type="dxa" w:w="4210"/>
          </w:tcPr>
          <w:p>
            <w:pPr>
              <w:spacing w:after="0"/>
              <w:rPr>
                <w:lang w:val="id-ID"/>
              </w:rPr>
            </w:pPr>
            <w:r>
              <w:rPr>
                <w:rFonts w:ascii="Calibri" w:hAnsi="Calibri" w:eastAsia="Calibri"/>
                <w:b w:val="0"/>
                <w:sz w:val="18"/>
              </w:rPr>
              <w:t>Roadmap input; hazardous/site approval TBD</w:t>
            </w:r>
          </w:p>
        </w:tc>
      </w:tr>
      <w:tr>
        <w:trPr>
          <w:cantSplit w:val="true"/>
        </w:trPr>
        <w:tc>
          <w:tcPr>
            <w:tcW w:type="dxa" w:w="2650"/>
          </w:tcPr>
          <w:p>
            <w:pPr>
              <w:spacing w:after="0"/>
              <w:rPr>
                <w:lang w:val="id-ID"/>
              </w:rPr>
            </w:pPr>
            <w:r>
              <w:rPr>
                <w:rFonts w:ascii="Calibri" w:hAnsi="Calibri" w:eastAsia="Calibri"/>
                <w:b w:val="0"/>
                <w:sz w:val="18"/>
              </w:rPr>
              <w:t>KPC tahap 3</w:t>
            </w:r>
          </w:p>
        </w:tc>
        <w:tc>
          <w:tcPr>
            <w:tcW w:type="dxa" w:w="2500"/>
          </w:tcPr>
          <w:p>
            <w:pPr>
              <w:spacing w:after="0"/>
              <w:rPr>
                <w:lang w:val="id-ID"/>
              </w:rPr>
            </w:pPr>
            <w:r>
              <w:rPr>
                <w:rFonts w:ascii="Calibri" w:hAnsi="Calibri" w:eastAsia="Calibri"/>
                <w:b w:val="0"/>
                <w:sz w:val="18"/>
              </w:rPr>
              <w:t>H₂/butane/ethane, 11</w:t>
            </w:r>
          </w:p>
        </w:tc>
        <w:tc>
          <w:tcPr>
            <w:tcW w:type="dxa" w:w="4210"/>
          </w:tcPr>
          <w:p>
            <w:pPr>
              <w:spacing w:after="0"/>
              <w:rPr>
                <w:lang w:val="id-ID"/>
              </w:rPr>
            </w:pPr>
            <w:r>
              <w:rPr>
                <w:rFonts w:ascii="Calibri" w:hAnsi="Calibri" w:eastAsia="Calibri"/>
                <w:b w:val="0"/>
                <w:sz w:val="18"/>
              </w:rPr>
              <w:t>Roadmap input; scope/contract TBD</w:t>
            </w:r>
          </w:p>
        </w:tc>
      </w:tr>
      <w:tr>
        <w:trPr>
          <w:cantSplit w:val="true"/>
        </w:trPr>
        <w:tc>
          <w:tcPr>
            <w:tcW w:type="dxa" w:w="2650"/>
          </w:tcPr>
          <w:p>
            <w:pPr>
              <w:spacing w:after="0"/>
              <w:rPr>
                <w:lang w:val="id-ID"/>
              </w:rPr>
            </w:pPr>
            <w:r>
              <w:rPr>
                <w:rFonts w:ascii="Calibri" w:hAnsi="Calibri" w:eastAsia="Calibri"/>
                <w:b w:val="0"/>
                <w:sz w:val="18"/>
              </w:rPr>
              <w:t>FOC II tahap 4</w:t>
            </w:r>
          </w:p>
        </w:tc>
        <w:tc>
          <w:tcPr>
            <w:tcW w:type="dxa" w:w="2500"/>
          </w:tcPr>
          <w:p>
            <w:pPr>
              <w:spacing w:after="0"/>
              <w:rPr>
                <w:lang w:val="id-ID"/>
              </w:rPr>
            </w:pPr>
            <w:r>
              <w:rPr>
                <w:rFonts w:ascii="Calibri" w:hAnsi="Calibri" w:eastAsia="Calibri"/>
                <w:b w:val="0"/>
                <w:sz w:val="18"/>
              </w:rPr>
              <w:t>LPG/butane/ethane/propane, 6</w:t>
            </w:r>
          </w:p>
        </w:tc>
        <w:tc>
          <w:tcPr>
            <w:tcW w:type="dxa" w:w="4210"/>
          </w:tcPr>
          <w:p>
            <w:pPr>
              <w:spacing w:after="0"/>
              <w:rPr>
                <w:lang w:val="id-ID"/>
              </w:rPr>
            </w:pPr>
            <w:r>
              <w:rPr>
                <w:rFonts w:ascii="Calibri" w:hAnsi="Calibri" w:eastAsia="Calibri"/>
                <w:b w:val="0"/>
                <w:sz w:val="18"/>
              </w:rPr>
              <w:t>Roadmap input; scope/contract TBD</w:t>
            </w:r>
          </w:p>
        </w:tc>
      </w:tr>
      <w:tr>
        <w:trPr>
          <w:cantSplit w:val="true"/>
        </w:trPr>
        <w:tc>
          <w:tcPr>
            <w:tcW w:type="dxa" w:w="2650"/>
          </w:tcPr>
          <w:p>
            <w:pPr>
              <w:spacing w:after="0"/>
              <w:rPr>
                <w:lang w:val="id-ID"/>
              </w:rPr>
            </w:pPr>
            <w:r>
              <w:rPr>
                <w:rFonts w:ascii="Calibri" w:hAnsi="Calibri" w:eastAsia="Calibri"/>
                <w:b w:val="0"/>
                <w:sz w:val="18"/>
              </w:rPr>
              <w:t>SRU/PSU candidate</w:t>
            </w:r>
          </w:p>
        </w:tc>
        <w:tc>
          <w:tcPr>
            <w:tcW w:type="dxa" w:w="2500"/>
          </w:tcPr>
          <w:p>
            <w:pPr>
              <w:spacing w:after="0"/>
              <w:rPr>
                <w:lang w:val="id-ID"/>
              </w:rPr>
            </w:pPr>
            <w:r>
              <w:rPr>
                <w:rFonts w:ascii="Calibri" w:hAnsi="Calibri" w:eastAsia="Calibri"/>
                <w:b w:val="0"/>
                <w:sz w:val="18"/>
              </w:rPr>
              <w:t>H₂S/NH₃ mentioned</w:t>
            </w:r>
          </w:p>
        </w:tc>
        <w:tc>
          <w:tcPr>
            <w:tcW w:type="dxa" w:w="4210"/>
          </w:tcPr>
          <w:p>
            <w:pPr>
              <w:spacing w:after="0"/>
              <w:rPr>
                <w:lang w:val="id-ID"/>
              </w:rPr>
            </w:pPr>
            <w:r>
              <w:rPr>
                <w:rFonts w:ascii="Calibri" w:hAnsi="Calibri" w:eastAsia="Calibri"/>
                <w:b w:val="0"/>
                <w:sz w:val="18"/>
              </w:rPr>
              <w:t>Relocation/trial discussion; not automatically safe; classification TBD</w:t>
            </w:r>
          </w:p>
        </w:tc>
      </w:tr>
      <w:tr>
        <w:trPr>
          <w:cantSplit w:val="true"/>
        </w:trPr>
        <w:tc>
          <w:tcPr>
            <w:tcW w:type="dxa" w:w="2650"/>
          </w:tcPr>
          <w:p>
            <w:pPr>
              <w:spacing w:after="0"/>
              <w:rPr>
                <w:lang w:val="id-ID"/>
              </w:rPr>
            </w:pPr>
            <w:r>
              <w:rPr>
                <w:rFonts w:ascii="Calibri" w:hAnsi="Calibri" w:eastAsia="Calibri"/>
                <w:b w:val="0"/>
                <w:sz w:val="18"/>
              </w:rPr>
              <w:t>Sampit candidate</w:t>
            </w:r>
          </w:p>
        </w:tc>
        <w:tc>
          <w:tcPr>
            <w:tcW w:type="dxa" w:w="2500"/>
          </w:tcPr>
          <w:p>
            <w:pPr>
              <w:spacing w:after="0"/>
              <w:rPr>
                <w:lang w:val="id-ID"/>
              </w:rPr>
            </w:pPr>
            <w:r>
              <w:rPr>
                <w:rFonts w:ascii="Calibri" w:hAnsi="Calibri" w:eastAsia="Calibri"/>
                <w:b w:val="0"/>
                <w:sz w:val="18"/>
              </w:rPr>
              <w:t>LPG/methane/H₂S mentioned</w:t>
            </w:r>
          </w:p>
        </w:tc>
        <w:tc>
          <w:tcPr>
            <w:tcW w:type="dxa" w:w="4210"/>
          </w:tcPr>
          <w:p>
            <w:pPr>
              <w:spacing w:after="0"/>
              <w:rPr>
                <w:lang w:val="id-ID"/>
              </w:rPr>
            </w:pPr>
            <w:r>
              <w:rPr>
                <w:rFonts w:ascii="Calibri" w:hAnsi="Calibri" w:eastAsia="Calibri"/>
                <w:b w:val="0"/>
                <w:sz w:val="18"/>
              </w:rPr>
              <w:t>Meeting note only; site/scope/date TBD</w:t>
            </w:r>
          </w:p>
        </w:tc>
      </w:tr>
    </w:tbl>
    <w:p>
      <w:pPr>
        <w:spacing w:after="0"/>
      </w:pPr>
    </w:p>
    <w:p>
      <w:pPr>
        <w:pStyle w:val="Heading2"/>
        <w:rPr>
          <w:lang w:val="id-ID"/>
        </w:rPr>
      </w:pPr>
      <w:r>
        <w:t>12.2 Rencana kerja berbasis tanggal</w:t>
      </w:r>
    </w:p>
    <w:tbl>
      <w:tblPr>
        <w:tblStyle w:val="TableGrid"/>
        <w:tblW w:type="dxa" w:w="9360"/>
        <w:jc w:val="center"/>
        <w:tblLayout w:type="fixed"/>
        <w:tblLook w:firstColumn="1" w:firstRow="1" w:lastColumn="0" w:lastRow="0" w:noHBand="0" w:noVBand="1" w:val="04A0"/>
        <w:tblInd w:w="120" w:type="dxa"/>
      </w:tblPr>
      <w:tblGrid>
        <w:gridCol w:w="1500"/>
        <w:gridCol w:w="3300"/>
        <w:gridCol w:w="1750"/>
        <w:gridCol w:w="2810"/>
      </w:tblGrid>
      <w:tr>
        <w:trPr>
          <w:tblHeader w:val="true"/>
          <w:cantSplit w:val="true"/>
        </w:trPr>
        <w:tc>
          <w:tcPr>
            <w:tcW w:type="dxa" w:w="1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Tanggal target</w:t>
            </w:r>
          </w:p>
        </w:tc>
        <w:tc>
          <w:tcPr>
            <w:tcW w:type="dxa" w:w="33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Deliverable</w:t>
            </w:r>
          </w:p>
        </w:tc>
        <w:tc>
          <w:tcPr>
            <w:tcW w:type="dxa" w:w="17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Owner utama</w:t>
            </w:r>
          </w:p>
        </w:tc>
        <w:tc>
          <w:tcPr>
            <w:tcW w:type="dxa" w:w="281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Exit criteria</w:t>
            </w:r>
          </w:p>
        </w:tc>
      </w:tr>
      <w:tr>
        <w:trPr>
          <w:cantSplit w:val="true"/>
        </w:trPr>
        <w:tc>
          <w:tcPr>
            <w:tcW w:type="dxa" w:w="1500"/>
          </w:tcPr>
          <w:p>
            <w:pPr>
              <w:spacing w:after="0"/>
              <w:rPr>
                <w:lang w:val="id-ID"/>
              </w:rPr>
            </w:pPr>
            <w:r>
              <w:rPr>
                <w:rFonts w:ascii="Calibri" w:hAnsi="Calibri" w:eastAsia="Calibri"/>
                <w:b w:val="0"/>
                <w:sz w:val="16"/>
              </w:rPr>
              <w:t>20 Aug 2026</w:t>
            </w:r>
          </w:p>
        </w:tc>
        <w:tc>
          <w:tcPr>
            <w:tcW w:type="dxa" w:w="3300"/>
          </w:tcPr>
          <w:p>
            <w:pPr>
              <w:spacing w:after="0"/>
              <w:rPr>
                <w:lang w:val="id-ID"/>
              </w:rPr>
            </w:pPr>
            <w:r>
              <w:rPr>
                <w:rFonts w:ascii="Calibri" w:hAnsi="Calibri" w:eastAsia="Calibri"/>
                <w:b w:val="0"/>
                <w:sz w:val="16"/>
              </w:rPr>
              <w:t>Internal decision pack</w:t>
            </w:r>
          </w:p>
        </w:tc>
        <w:tc>
          <w:tcPr>
            <w:tcW w:type="dxa" w:w="1750"/>
          </w:tcPr>
          <w:p>
            <w:pPr>
              <w:spacing w:after="0"/>
              <w:rPr>
                <w:lang w:val="id-ID"/>
              </w:rPr>
            </w:pPr>
            <w:r>
              <w:rPr>
                <w:rFonts w:ascii="Calibri" w:hAnsi="Calibri" w:eastAsia="Calibri"/>
                <w:b w:val="0"/>
                <w:sz w:val="16"/>
              </w:rPr>
              <w:t>LGU</w:t>
            </w:r>
          </w:p>
        </w:tc>
        <w:tc>
          <w:tcPr>
            <w:tcW w:type="dxa" w:w="2810"/>
          </w:tcPr>
          <w:p>
            <w:pPr>
              <w:spacing w:after="0"/>
              <w:rPr>
                <w:lang w:val="id-ID"/>
              </w:rPr>
            </w:pPr>
            <w:r>
              <w:rPr>
                <w:rFonts w:ascii="Calibri" w:hAnsi="Calibri" w:eastAsia="Calibri"/>
                <w:b w:val="0"/>
                <w:sz w:val="16"/>
              </w:rPr>
              <w:t>Enam keputusan disetujui; P0/P1 owner ditetapkan</w:t>
            </w:r>
          </w:p>
        </w:tc>
      </w:tr>
      <w:tr>
        <w:trPr>
          <w:cantSplit w:val="true"/>
        </w:trPr>
        <w:tc>
          <w:tcPr>
            <w:tcW w:type="dxa" w:w="1500"/>
          </w:tcPr>
          <w:p>
            <w:pPr>
              <w:spacing w:after="0"/>
              <w:rPr>
                <w:lang w:val="id-ID"/>
              </w:rPr>
            </w:pPr>
            <w:r>
              <w:rPr>
                <w:rFonts w:ascii="Calibri" w:hAnsi="Calibri" w:eastAsia="Calibri"/>
                <w:b w:val="0"/>
                <w:sz w:val="16"/>
              </w:rPr>
              <w:t>21–25 Aug</w:t>
            </w:r>
          </w:p>
        </w:tc>
        <w:tc>
          <w:tcPr>
            <w:tcW w:type="dxa" w:w="3300"/>
          </w:tcPr>
          <w:p>
            <w:pPr>
              <w:spacing w:after="0"/>
              <w:rPr>
                <w:lang w:val="id-ID"/>
              </w:rPr>
            </w:pPr>
            <w:r>
              <w:rPr>
                <w:rFonts w:ascii="Calibri" w:hAnsi="Calibri" w:eastAsia="Calibri"/>
                <w:b w:val="0"/>
                <w:sz w:val="16"/>
              </w:rPr>
              <w:t>RFI terkonsolidasi</w:t>
            </w:r>
          </w:p>
        </w:tc>
        <w:tc>
          <w:tcPr>
            <w:tcW w:type="dxa" w:w="1750"/>
          </w:tcPr>
          <w:p>
            <w:pPr>
              <w:spacing w:after="0"/>
              <w:rPr>
                <w:lang w:val="id-ID"/>
              </w:rPr>
            </w:pPr>
            <w:r>
              <w:rPr>
                <w:rFonts w:ascii="Calibri" w:hAnsi="Calibri" w:eastAsia="Calibri"/>
                <w:b w:val="0"/>
                <w:sz w:val="16"/>
              </w:rPr>
              <w:t>LGU → Pertamina/vendor</w:t>
            </w:r>
          </w:p>
        </w:tc>
        <w:tc>
          <w:tcPr>
            <w:tcW w:type="dxa" w:w="2810"/>
          </w:tcPr>
          <w:p>
            <w:pPr>
              <w:spacing w:after="0"/>
              <w:rPr>
                <w:lang w:val="id-ID"/>
              </w:rPr>
            </w:pPr>
            <w:r>
              <w:rPr>
                <w:rFonts w:ascii="Calibri" w:hAnsi="Calibri" w:eastAsia="Calibri"/>
                <w:b w:val="0"/>
                <w:sz w:val="16"/>
              </w:rPr>
              <w:t>Network/HSE/power/mechanical/server/contract questions terkirim</w:t>
            </w:r>
          </w:p>
        </w:tc>
      </w:tr>
      <w:tr>
        <w:trPr>
          <w:cantSplit w:val="true"/>
        </w:trPr>
        <w:tc>
          <w:tcPr>
            <w:tcW w:type="dxa" w:w="1500"/>
          </w:tcPr>
          <w:p>
            <w:pPr>
              <w:spacing w:after="0"/>
              <w:rPr>
                <w:lang w:val="id-ID"/>
              </w:rPr>
            </w:pPr>
            <w:r>
              <w:rPr>
                <w:rFonts w:ascii="Calibri" w:hAnsi="Calibri" w:eastAsia="Calibri"/>
                <w:b w:val="0"/>
                <w:sz w:val="16"/>
              </w:rPr>
              <w:t>≤28 Aug</w:t>
            </w:r>
          </w:p>
        </w:tc>
        <w:tc>
          <w:tcPr>
            <w:tcW w:type="dxa" w:w="3300"/>
          </w:tcPr>
          <w:p>
            <w:pPr>
              <w:spacing w:after="0"/>
              <w:rPr>
                <w:lang w:val="id-ID"/>
              </w:rPr>
            </w:pPr>
            <w:r>
              <w:rPr>
                <w:rFonts w:ascii="Calibri" w:hAnsi="Calibri" w:eastAsia="Calibri"/>
                <w:b w:val="0"/>
                <w:sz w:val="16"/>
              </w:rPr>
              <w:t>Datasheet Rev A + measurement plan</w:t>
            </w:r>
          </w:p>
        </w:tc>
        <w:tc>
          <w:tcPr>
            <w:tcW w:type="dxa" w:w="1750"/>
          </w:tcPr>
          <w:p>
            <w:pPr>
              <w:spacing w:after="0"/>
              <w:rPr>
                <w:lang w:val="id-ID"/>
              </w:rPr>
            </w:pPr>
            <w:r>
              <w:rPr>
                <w:rFonts w:ascii="Calibri" w:hAnsi="Calibri" w:eastAsia="Calibri"/>
                <w:b w:val="0"/>
                <w:sz w:val="16"/>
              </w:rPr>
              <w:t>GLD1/CH/GW/server leads</w:t>
            </w:r>
          </w:p>
        </w:tc>
        <w:tc>
          <w:tcPr>
            <w:tcW w:type="dxa" w:w="2810"/>
          </w:tcPr>
          <w:p>
            <w:pPr>
              <w:spacing w:after="0"/>
              <w:rPr>
                <w:lang w:val="id-ID"/>
              </w:rPr>
            </w:pPr>
            <w:r>
              <w:rPr>
                <w:rFonts w:ascii="Calibri" w:hAnsi="Calibri" w:eastAsia="Calibri"/>
                <w:b w:val="0"/>
                <w:sz w:val="16"/>
              </w:rPr>
              <w:t>Controlled fields, TBD register, FAT instruments/samples</w:t>
            </w:r>
          </w:p>
        </w:tc>
      </w:tr>
      <w:tr>
        <w:trPr>
          <w:cantSplit w:val="true"/>
        </w:trPr>
        <w:tc>
          <w:tcPr>
            <w:tcW w:type="dxa" w:w="1500"/>
          </w:tcPr>
          <w:p>
            <w:pPr>
              <w:spacing w:after="0"/>
              <w:rPr>
                <w:lang w:val="id-ID"/>
              </w:rPr>
            </w:pPr>
            <w:r>
              <w:rPr>
                <w:rFonts w:ascii="Calibri" w:hAnsi="Calibri" w:eastAsia="Calibri"/>
                <w:b w:val="0"/>
                <w:sz w:val="16"/>
              </w:rPr>
              <w:t>1–11 Sep</w:t>
            </w:r>
          </w:p>
        </w:tc>
        <w:tc>
          <w:tcPr>
            <w:tcW w:type="dxa" w:w="3300"/>
          </w:tcPr>
          <w:p>
            <w:pPr>
              <w:spacing w:after="0"/>
              <w:rPr>
                <w:lang w:val="id-ID"/>
              </w:rPr>
            </w:pPr>
            <w:r>
              <w:rPr>
                <w:rFonts w:ascii="Calibri" w:hAnsi="Calibri" w:eastAsia="Calibri"/>
                <w:b w:val="0"/>
                <w:sz w:val="16"/>
              </w:rPr>
              <w:t>Pre-survey pack</w:t>
            </w:r>
          </w:p>
        </w:tc>
        <w:tc>
          <w:tcPr>
            <w:tcW w:type="dxa" w:w="1750"/>
          </w:tcPr>
          <w:p>
            <w:pPr>
              <w:spacing w:after="0"/>
              <w:rPr>
                <w:lang w:val="id-ID"/>
              </w:rPr>
            </w:pPr>
            <w:r>
              <w:rPr>
                <w:rFonts w:ascii="Calibri" w:hAnsi="Calibri" w:eastAsia="Calibri"/>
                <w:b w:val="0"/>
                <w:sz w:val="16"/>
              </w:rPr>
              <w:t>LGU + Pertamina</w:t>
            </w:r>
          </w:p>
        </w:tc>
        <w:tc>
          <w:tcPr>
            <w:tcW w:type="dxa" w:w="2810"/>
          </w:tcPr>
          <w:p>
            <w:pPr>
              <w:spacing w:after="0"/>
              <w:rPr>
                <w:lang w:val="id-ID"/>
              </w:rPr>
            </w:pPr>
            <w:r>
              <w:rPr>
                <w:rFonts w:ascii="Calibri" w:hAnsi="Calibri" w:eastAsia="Calibri"/>
                <w:b w:val="0"/>
                <w:sz w:val="16"/>
              </w:rPr>
              <w:t>Point list, drawing request, permit/JSA, survey template, IT ticket draft</w:t>
            </w:r>
          </w:p>
        </w:tc>
      </w:tr>
      <w:tr>
        <w:trPr>
          <w:cantSplit w:val="true"/>
        </w:trPr>
        <w:tc>
          <w:tcPr>
            <w:tcW w:type="dxa" w:w="1500"/>
          </w:tcPr>
          <w:p>
            <w:pPr>
              <w:spacing w:after="0"/>
              <w:rPr>
                <w:lang w:val="id-ID"/>
              </w:rPr>
            </w:pPr>
            <w:r>
              <w:rPr>
                <w:rFonts w:ascii="Calibri" w:hAnsi="Calibri" w:eastAsia="Calibri"/>
                <w:b w:val="0"/>
                <w:sz w:val="16"/>
              </w:rPr>
              <w:t>Next site visit</w:t>
            </w:r>
          </w:p>
        </w:tc>
        <w:tc>
          <w:tcPr>
            <w:tcW w:type="dxa" w:w="3300"/>
          </w:tcPr>
          <w:p>
            <w:pPr>
              <w:spacing w:after="0"/>
              <w:rPr>
                <w:lang w:val="id-ID"/>
              </w:rPr>
            </w:pPr>
            <w:r>
              <w:rPr>
                <w:rFonts w:ascii="Calibri" w:hAnsi="Calibri" w:eastAsia="Calibri"/>
                <w:b w:val="0"/>
                <w:sz w:val="16"/>
              </w:rPr>
              <w:t>Dimensional/HSE/power/RF/network survey</w:t>
            </w:r>
          </w:p>
        </w:tc>
        <w:tc>
          <w:tcPr>
            <w:tcW w:type="dxa" w:w="1750"/>
          </w:tcPr>
          <w:p>
            <w:pPr>
              <w:spacing w:after="0"/>
              <w:rPr>
                <w:lang w:val="id-ID"/>
              </w:rPr>
            </w:pPr>
            <w:r>
              <w:rPr>
                <w:rFonts w:ascii="Calibri" w:hAnsi="Calibri" w:eastAsia="Calibri"/>
                <w:b w:val="0"/>
                <w:sz w:val="16"/>
              </w:rPr>
              <w:t>Joint team</w:t>
            </w:r>
          </w:p>
        </w:tc>
        <w:tc>
          <w:tcPr>
            <w:tcW w:type="dxa" w:w="2810"/>
          </w:tcPr>
          <w:p>
            <w:pPr>
              <w:spacing w:after="0"/>
              <w:rPr>
                <w:lang w:val="id-ID"/>
              </w:rPr>
            </w:pPr>
            <w:r>
              <w:rPr>
                <w:rFonts w:ascii="Calibri" w:hAnsi="Calibri" w:eastAsia="Calibri"/>
                <w:b w:val="0"/>
                <w:sz w:val="16"/>
              </w:rPr>
              <w:t>Signed measurements, photos, routes, classification, RF/network evidence</w:t>
            </w:r>
          </w:p>
        </w:tc>
      </w:tr>
      <w:tr>
        <w:trPr>
          <w:cantSplit w:val="true"/>
        </w:trPr>
        <w:tc>
          <w:tcPr>
            <w:tcW w:type="dxa" w:w="1500"/>
          </w:tcPr>
          <w:p>
            <w:pPr>
              <w:spacing w:after="0"/>
              <w:rPr>
                <w:lang w:val="id-ID"/>
              </w:rPr>
            </w:pPr>
            <w:r>
              <w:rPr>
                <w:rFonts w:ascii="Calibri" w:hAnsi="Calibri" w:eastAsia="Calibri"/>
                <w:b w:val="0"/>
                <w:sz w:val="16"/>
              </w:rPr>
              <w:t>≤18 Sep</w:t>
            </w:r>
          </w:p>
        </w:tc>
        <w:tc>
          <w:tcPr>
            <w:tcW w:type="dxa" w:w="3300"/>
          </w:tcPr>
          <w:p>
            <w:pPr>
              <w:spacing w:after="0"/>
              <w:rPr>
                <w:lang w:val="id-ID"/>
              </w:rPr>
            </w:pPr>
            <w:r>
              <w:rPr>
                <w:rFonts w:ascii="Calibri" w:hAnsi="Calibri" w:eastAsia="Calibri"/>
                <w:b w:val="0"/>
                <w:sz w:val="16"/>
              </w:rPr>
              <w:t>Freeze phase-1 interface</w:t>
            </w:r>
          </w:p>
        </w:tc>
        <w:tc>
          <w:tcPr>
            <w:tcW w:type="dxa" w:w="1750"/>
          </w:tcPr>
          <w:p>
            <w:pPr>
              <w:spacing w:after="0"/>
              <w:rPr>
                <w:lang w:val="id-ID"/>
              </w:rPr>
            </w:pPr>
            <w:r>
              <w:rPr>
                <w:rFonts w:ascii="Calibri" w:hAnsi="Calibri" w:eastAsia="Calibri"/>
                <w:b w:val="0"/>
                <w:sz w:val="16"/>
              </w:rPr>
              <w:t>LGU + Pertamina</w:t>
            </w:r>
          </w:p>
        </w:tc>
        <w:tc>
          <w:tcPr>
            <w:tcW w:type="dxa" w:w="2810"/>
          </w:tcPr>
          <w:p>
            <w:pPr>
              <w:spacing w:after="0"/>
              <w:rPr>
                <w:lang w:val="id-ID"/>
              </w:rPr>
            </w:pPr>
            <w:r>
              <w:rPr>
                <w:rFonts w:ascii="Calibri" w:hAnsi="Calibri" w:eastAsia="Calibri"/>
                <w:b w:val="0"/>
                <w:sz w:val="16"/>
              </w:rPr>
              <w:t>Location, pole, cable, power, antenna, network, owner approved</w:t>
            </w:r>
          </w:p>
        </w:tc>
      </w:tr>
      <w:tr>
        <w:trPr>
          <w:cantSplit w:val="true"/>
        </w:trPr>
        <w:tc>
          <w:tcPr>
            <w:tcW w:type="dxa" w:w="1500"/>
          </w:tcPr>
          <w:p>
            <w:pPr>
              <w:spacing w:after="0"/>
              <w:rPr>
                <w:lang w:val="id-ID"/>
              </w:rPr>
            </w:pPr>
            <w:r>
              <w:rPr>
                <w:rFonts w:ascii="Calibri" w:hAnsi="Calibri" w:eastAsia="Calibri"/>
                <w:b w:val="0"/>
                <w:sz w:val="16"/>
              </w:rPr>
              <w:t>≤25 Sep</w:t>
            </w:r>
          </w:p>
        </w:tc>
        <w:tc>
          <w:tcPr>
            <w:tcW w:type="dxa" w:w="3300"/>
          </w:tcPr>
          <w:p>
            <w:pPr>
              <w:spacing w:after="0"/>
              <w:rPr>
                <w:lang w:val="id-ID"/>
              </w:rPr>
            </w:pPr>
            <w:r>
              <w:rPr>
                <w:rFonts w:ascii="Calibri" w:hAnsi="Calibri" w:eastAsia="Calibri"/>
                <w:b w:val="0"/>
                <w:sz w:val="16"/>
              </w:rPr>
              <w:t>Support/cable/pole submission</w:t>
            </w:r>
          </w:p>
        </w:tc>
        <w:tc>
          <w:tcPr>
            <w:tcW w:type="dxa" w:w="1750"/>
          </w:tcPr>
          <w:p>
            <w:pPr>
              <w:spacing w:after="0"/>
              <w:rPr>
                <w:lang w:val="id-ID"/>
              </w:rPr>
            </w:pPr>
            <w:r>
              <w:rPr>
                <w:rFonts w:ascii="Calibri" w:hAnsi="Calibri" w:eastAsia="Calibri"/>
                <w:b w:val="0"/>
                <w:sz w:val="16"/>
              </w:rPr>
              <w:t>LGU mechanical/electrical</w:t>
            </w:r>
          </w:p>
        </w:tc>
        <w:tc>
          <w:tcPr>
            <w:tcW w:type="dxa" w:w="2810"/>
          </w:tcPr>
          <w:p>
            <w:pPr>
              <w:spacing w:after="0"/>
              <w:rPr>
                <w:lang w:val="id-ID"/>
              </w:rPr>
            </w:pPr>
            <w:r>
              <w:rPr>
                <w:rFonts w:ascii="Calibri" w:hAnsi="Calibri" w:eastAsia="Calibri"/>
                <w:b w:val="0"/>
                <w:sz w:val="16"/>
              </w:rPr>
              <w:t>Drawing/BoQ before end-Sep target; assumptions closed</w:t>
            </w:r>
          </w:p>
        </w:tc>
      </w:tr>
      <w:tr>
        <w:trPr>
          <w:cantSplit w:val="true"/>
        </w:trPr>
        <w:tc>
          <w:tcPr>
            <w:tcW w:type="dxa" w:w="1500"/>
          </w:tcPr>
          <w:p>
            <w:pPr>
              <w:spacing w:after="0"/>
              <w:rPr>
                <w:lang w:val="id-ID"/>
              </w:rPr>
            </w:pPr>
            <w:r>
              <w:rPr>
                <w:rFonts w:ascii="Calibri" w:hAnsi="Calibri" w:eastAsia="Calibri"/>
                <w:b w:val="0"/>
                <w:sz w:val="16"/>
              </w:rPr>
              <w:t>Aug–Dec 2026</w:t>
            </w:r>
          </w:p>
        </w:tc>
        <w:tc>
          <w:tcPr>
            <w:tcW w:type="dxa" w:w="3300"/>
          </w:tcPr>
          <w:p>
            <w:pPr>
              <w:spacing w:after="0"/>
              <w:rPr>
                <w:lang w:val="id-ID"/>
              </w:rPr>
            </w:pPr>
            <w:r>
              <w:rPr>
                <w:rFonts w:ascii="Calibri" w:hAnsi="Calibri" w:eastAsia="Calibri"/>
                <w:b w:val="0"/>
                <w:sz w:val="16"/>
              </w:rPr>
              <w:t>Certification application/workstream</w:t>
            </w:r>
          </w:p>
        </w:tc>
        <w:tc>
          <w:tcPr>
            <w:tcW w:type="dxa" w:w="1750"/>
          </w:tcPr>
          <w:p>
            <w:pPr>
              <w:spacing w:after="0"/>
              <w:rPr>
                <w:lang w:val="id-ID"/>
              </w:rPr>
            </w:pPr>
            <w:r>
              <w:rPr>
                <w:rFonts w:ascii="Calibri" w:hAnsi="Calibri" w:eastAsia="Calibri"/>
                <w:b w:val="0"/>
                <w:sz w:val="16"/>
              </w:rPr>
              <w:t>LGU/vendor/ExCB</w:t>
            </w:r>
          </w:p>
        </w:tc>
        <w:tc>
          <w:tcPr>
            <w:tcW w:type="dxa" w:w="2810"/>
          </w:tcPr>
          <w:p>
            <w:pPr>
              <w:spacing w:after="0"/>
              <w:rPr>
                <w:lang w:val="id-ID"/>
              </w:rPr>
            </w:pPr>
            <w:r>
              <w:rPr>
                <w:rFonts w:ascii="Calibri" w:hAnsi="Calibri" w:eastAsia="Calibri"/>
                <w:b w:val="0"/>
                <w:sz w:val="16"/>
              </w:rPr>
              <w:t>ExCB/application/test schedule evidenced; release date remains TBD; end-2026 is aspiration only</w:t>
            </w:r>
          </w:p>
        </w:tc>
      </w:tr>
      <w:tr>
        <w:trPr>
          <w:cantSplit w:val="true"/>
        </w:trPr>
        <w:tc>
          <w:tcPr>
            <w:tcW w:type="dxa" w:w="1500"/>
          </w:tcPr>
          <w:p>
            <w:pPr>
              <w:spacing w:after="0"/>
              <w:rPr>
                <w:lang w:val="id-ID"/>
              </w:rPr>
            </w:pPr>
            <w:r>
              <w:rPr>
                <w:rFonts w:ascii="Calibri" w:hAnsi="Calibri" w:eastAsia="Calibri"/>
                <w:b w:val="0"/>
                <w:sz w:val="16"/>
              </w:rPr>
              <w:t>Oct 2026 onward</w:t>
            </w:r>
          </w:p>
        </w:tc>
        <w:tc>
          <w:tcPr>
            <w:tcW w:type="dxa" w:w="3300"/>
          </w:tcPr>
          <w:p>
            <w:pPr>
              <w:spacing w:after="0"/>
              <w:rPr>
                <w:lang w:val="id-ID"/>
              </w:rPr>
            </w:pPr>
            <w:r>
              <w:rPr>
                <w:rFonts w:ascii="Calibri" w:hAnsi="Calibri" w:eastAsia="Calibri"/>
                <w:b w:val="0"/>
                <w:sz w:val="16"/>
              </w:rPr>
              <w:t>Design closure + FAT</w:t>
            </w:r>
          </w:p>
        </w:tc>
        <w:tc>
          <w:tcPr>
            <w:tcW w:type="dxa" w:w="1750"/>
          </w:tcPr>
          <w:p>
            <w:pPr>
              <w:spacing w:after="0"/>
              <w:rPr>
                <w:lang w:val="id-ID"/>
              </w:rPr>
            </w:pPr>
            <w:r>
              <w:rPr>
                <w:rFonts w:ascii="Calibri" w:hAnsi="Calibri" w:eastAsia="Calibri"/>
                <w:b w:val="0"/>
                <w:sz w:val="16"/>
              </w:rPr>
              <w:t>LGU/vendor</w:t>
            </w:r>
          </w:p>
        </w:tc>
        <w:tc>
          <w:tcPr>
            <w:tcW w:type="dxa" w:w="2810"/>
          </w:tcPr>
          <w:p>
            <w:pPr>
              <w:spacing w:after="0"/>
              <w:rPr>
                <w:lang w:val="id-ID"/>
              </w:rPr>
            </w:pPr>
            <w:r>
              <w:rPr>
                <w:rFonts w:ascii="Calibri" w:hAnsi="Calibri" w:eastAsia="Calibri"/>
                <w:b w:val="0"/>
                <w:sz w:val="16"/>
              </w:rPr>
              <w:t>P0 closed; controlled BOM/drawing; FAT milestones baselined</w:t>
            </w:r>
          </w:p>
        </w:tc>
      </w:tr>
      <w:tr>
        <w:trPr>
          <w:cantSplit w:val="true"/>
        </w:trPr>
        <w:tc>
          <w:tcPr>
            <w:tcW w:type="dxa" w:w="1500"/>
          </w:tcPr>
          <w:p>
            <w:pPr>
              <w:spacing w:after="0"/>
              <w:rPr>
                <w:lang w:val="id-ID"/>
              </w:rPr>
            </w:pPr>
            <w:r>
              <w:rPr>
                <w:rFonts w:ascii="Calibri" w:hAnsi="Calibri" w:eastAsia="Calibri"/>
                <w:b w:val="0"/>
                <w:sz w:val="16"/>
              </w:rPr>
              <w:t>Before Sep 2027</w:t>
            </w:r>
          </w:p>
        </w:tc>
        <w:tc>
          <w:tcPr>
            <w:tcW w:type="dxa" w:w="3300"/>
          </w:tcPr>
          <w:p>
            <w:pPr>
              <w:spacing w:after="0"/>
              <w:rPr>
                <w:lang w:val="id-ID"/>
              </w:rPr>
            </w:pPr>
            <w:r>
              <w:rPr>
                <w:rFonts w:ascii="Calibri" w:hAnsi="Calibri" w:eastAsia="Calibri"/>
                <w:b w:val="0"/>
                <w:sz w:val="16"/>
              </w:rPr>
              <w:t>SAT readiness for 3 GLD1 + CH</w:t>
            </w:r>
          </w:p>
        </w:tc>
        <w:tc>
          <w:tcPr>
            <w:tcW w:type="dxa" w:w="1750"/>
          </w:tcPr>
          <w:p>
            <w:pPr>
              <w:spacing w:after="0"/>
              <w:rPr>
                <w:lang w:val="id-ID"/>
              </w:rPr>
            </w:pPr>
            <w:r>
              <w:rPr>
                <w:rFonts w:ascii="Calibri" w:hAnsi="Calibri" w:eastAsia="Calibri"/>
                <w:b w:val="0"/>
                <w:sz w:val="16"/>
              </w:rPr>
              <w:t>Joint program</w:t>
            </w:r>
          </w:p>
        </w:tc>
        <w:tc>
          <w:tcPr>
            <w:tcW w:type="dxa" w:w="2810"/>
          </w:tcPr>
          <w:p>
            <w:pPr>
              <w:spacing w:after="0"/>
              <w:rPr>
                <w:lang w:val="id-ID"/>
              </w:rPr>
            </w:pPr>
            <w:r>
              <w:rPr>
                <w:rFonts w:ascii="Calibri" w:hAnsi="Calibri" w:eastAsia="Calibri"/>
                <w:b w:val="0"/>
                <w:sz w:val="16"/>
              </w:rPr>
              <w:t>Contract/scope, certificate, network, installation, training, spares, FAT pass</w:t>
            </w:r>
          </w:p>
        </w:tc>
      </w:tr>
      <w:tr>
        <w:trPr>
          <w:cantSplit w:val="true"/>
        </w:trPr>
        <w:tc>
          <w:tcPr>
            <w:tcW w:type="dxa" w:w="1500"/>
          </w:tcPr>
          <w:p>
            <w:pPr>
              <w:spacing w:after="0"/>
              <w:rPr>
                <w:lang w:val="id-ID"/>
              </w:rPr>
            </w:pPr>
            <w:r>
              <w:rPr>
                <w:rFonts w:ascii="Calibri" w:hAnsi="Calibri" w:eastAsia="Calibri"/>
                <w:b w:val="0"/>
                <w:sz w:val="16"/>
              </w:rPr>
              <w:t>Sep 2027 target</w:t>
            </w:r>
          </w:p>
        </w:tc>
        <w:tc>
          <w:tcPr>
            <w:tcW w:type="dxa" w:w="3300"/>
          </w:tcPr>
          <w:p>
            <w:pPr>
              <w:spacing w:after="0"/>
              <w:rPr>
                <w:lang w:val="id-ID"/>
              </w:rPr>
            </w:pPr>
            <w:r>
              <w:rPr>
                <w:rFonts w:ascii="Calibri" w:hAnsi="Calibri" w:eastAsia="Calibri"/>
                <w:b w:val="0"/>
                <w:sz w:val="16"/>
              </w:rPr>
              <w:t>Phase-1 field acceptance</w:t>
            </w:r>
          </w:p>
        </w:tc>
        <w:tc>
          <w:tcPr>
            <w:tcW w:type="dxa" w:w="1750"/>
          </w:tcPr>
          <w:p>
            <w:pPr>
              <w:spacing w:after="0"/>
              <w:rPr>
                <w:lang w:val="id-ID"/>
              </w:rPr>
            </w:pPr>
            <w:r>
              <w:rPr>
                <w:rFonts w:ascii="Calibri" w:hAnsi="Calibri" w:eastAsia="Calibri"/>
                <w:b w:val="0"/>
                <w:sz w:val="16"/>
              </w:rPr>
              <w:t>Pertamina signatory</w:t>
            </w:r>
          </w:p>
        </w:tc>
        <w:tc>
          <w:tcPr>
            <w:tcW w:type="dxa" w:w="2810"/>
          </w:tcPr>
          <w:p>
            <w:pPr>
              <w:spacing w:after="0"/>
              <w:rPr>
                <w:lang w:val="id-ID"/>
              </w:rPr>
            </w:pPr>
            <w:r>
              <w:rPr>
                <w:rFonts w:ascii="Calibri" w:hAnsi="Calibri" w:eastAsia="Calibri"/>
                <w:b w:val="0"/>
                <w:sz w:val="16"/>
              </w:rPr>
              <w:t>SAT evidence + punch-list closure; target must be confirmed</w:t>
            </w:r>
          </w:p>
        </w:tc>
      </w:tr>
    </w:tbl>
    <w:p>
      <w:pPr>
        <w:spacing w:after="0"/>
      </w:pPr>
    </w:p>
    <w:p>
      <w:pPr>
        <w:pStyle w:val="Heading2"/>
        <w:rPr>
          <w:lang w:val="id-ID"/>
        </w:rPr>
      </w:pPr>
      <w:r>
        <w:t>12.3 Pembagian tanggung jawab</w:t>
      </w:r>
    </w:p>
    <w:tbl>
      <w:tblPr>
        <w:tblStyle w:val="TableGrid"/>
        <w:tblW w:type="dxa" w:w="9360"/>
        <w:jc w:val="center"/>
        <w:tblLayout w:type="fixed"/>
        <w:tblLook w:firstColumn="1" w:firstRow="1" w:lastColumn="0" w:lastRow="0" w:noHBand="0" w:noVBand="1" w:val="04A0"/>
        <w:tblInd w:w="120" w:type="dxa"/>
      </w:tblPr>
      <w:tblGrid>
        <w:gridCol w:w="2100"/>
        <w:gridCol w:w="2700"/>
        <w:gridCol w:w="3060"/>
        <w:gridCol w:w="1500"/>
      </w:tblGrid>
      <w:tr>
        <w:trPr>
          <w:tblHeader w:val="true"/>
          <w:cantSplit w:val="true"/>
        </w:trPr>
        <w:tc>
          <w:tcPr>
            <w:tcW w:type="dxa" w:w="21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Deliverable</w:t>
            </w:r>
          </w:p>
        </w:tc>
        <w:tc>
          <w:tcPr>
            <w:tcW w:type="dxa" w:w="27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LGU</w:t>
            </w:r>
          </w:p>
        </w:tc>
        <w:tc>
          <w:tcPr>
            <w:tcW w:type="dxa" w:w="30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Pertamina RU IV / IT / HSE</w:t>
            </w:r>
          </w:p>
        </w:tc>
        <w:tc>
          <w:tcPr>
            <w:tcW w:type="dxa" w:w="15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Vendor/ExCB</w:t>
            </w:r>
          </w:p>
        </w:tc>
      </w:tr>
      <w:tr>
        <w:trPr>
          <w:cantSplit w:val="true"/>
        </w:trPr>
        <w:tc>
          <w:tcPr>
            <w:tcW w:type="dxa" w:w="2100"/>
          </w:tcPr>
          <w:p>
            <w:pPr>
              <w:spacing w:after="0"/>
              <w:rPr>
                <w:lang w:val="id-ID"/>
              </w:rPr>
            </w:pPr>
            <w:r>
              <w:rPr>
                <w:rFonts w:ascii="Calibri" w:hAnsi="Calibri" w:eastAsia="Calibri"/>
                <w:b w:val="0"/>
                <w:sz w:val="16"/>
              </w:rPr>
              <w:t>Controlled device datasheets</w:t>
            </w:r>
          </w:p>
        </w:tc>
        <w:tc>
          <w:tcPr>
            <w:tcW w:type="dxa" w:w="2700"/>
          </w:tcPr>
          <w:p>
            <w:pPr>
              <w:spacing w:after="0"/>
              <w:rPr>
                <w:lang w:val="id-ID"/>
              </w:rPr>
            </w:pPr>
            <w:r>
              <w:rPr>
                <w:rFonts w:ascii="Calibri" w:hAnsi="Calibri" w:eastAsia="Calibri"/>
                <w:b w:val="0"/>
                <w:sz w:val="16"/>
              </w:rPr>
              <w:t>R/A: content, BOM, revision, evidence status</w:t>
            </w:r>
          </w:p>
        </w:tc>
        <w:tc>
          <w:tcPr>
            <w:tcW w:type="dxa" w:w="3060"/>
          </w:tcPr>
          <w:p>
            <w:pPr>
              <w:spacing w:after="0"/>
              <w:rPr>
                <w:lang w:val="id-ID"/>
              </w:rPr>
            </w:pPr>
            <w:r>
              <w:rPr>
                <w:rFonts w:ascii="Calibri" w:hAnsi="Calibri" w:eastAsia="Calibri"/>
                <w:b w:val="0"/>
                <w:sz w:val="16"/>
              </w:rPr>
              <w:t>C: site requirement/approval</w:t>
            </w:r>
          </w:p>
        </w:tc>
        <w:tc>
          <w:tcPr>
            <w:tcW w:type="dxa" w:w="1500"/>
          </w:tcPr>
          <w:p>
            <w:pPr>
              <w:spacing w:after="0"/>
              <w:rPr>
                <w:lang w:val="id-ID"/>
              </w:rPr>
            </w:pPr>
            <w:r>
              <w:rPr>
                <w:rFonts w:ascii="Calibri" w:hAnsi="Calibri" w:eastAsia="Calibri"/>
                <w:b w:val="0"/>
                <w:sz w:val="16"/>
              </w:rPr>
              <w:t>C: vendor/certificate data</w:t>
            </w:r>
          </w:p>
        </w:tc>
      </w:tr>
      <w:tr>
        <w:trPr>
          <w:cantSplit w:val="true"/>
        </w:trPr>
        <w:tc>
          <w:tcPr>
            <w:tcW w:type="dxa" w:w="2100"/>
          </w:tcPr>
          <w:p>
            <w:pPr>
              <w:spacing w:after="0"/>
              <w:rPr>
                <w:lang w:val="id-ID"/>
              </w:rPr>
            </w:pPr>
            <w:r>
              <w:rPr>
                <w:rFonts w:ascii="Calibri" w:hAnsi="Calibri" w:eastAsia="Calibri"/>
                <w:b w:val="0"/>
                <w:sz w:val="16"/>
              </w:rPr>
              <w:t>Area classification &amp; acceptance basis</w:t>
            </w:r>
          </w:p>
        </w:tc>
        <w:tc>
          <w:tcPr>
            <w:tcW w:type="dxa" w:w="2700"/>
          </w:tcPr>
          <w:p>
            <w:pPr>
              <w:spacing w:after="0"/>
              <w:rPr>
                <w:lang w:val="id-ID"/>
              </w:rPr>
            </w:pPr>
            <w:r>
              <w:rPr>
                <w:rFonts w:ascii="Calibri" w:hAnsi="Calibri" w:eastAsia="Calibri"/>
                <w:b w:val="0"/>
                <w:sz w:val="16"/>
              </w:rPr>
              <w:t>C: design input</w:t>
            </w:r>
          </w:p>
        </w:tc>
        <w:tc>
          <w:tcPr>
            <w:tcW w:type="dxa" w:w="3060"/>
          </w:tcPr>
          <w:p>
            <w:pPr>
              <w:spacing w:after="0"/>
              <w:rPr>
                <w:lang w:val="id-ID"/>
              </w:rPr>
            </w:pPr>
            <w:r>
              <w:rPr>
                <w:rFonts w:ascii="Calibri" w:hAnsi="Calibri" w:eastAsia="Calibri"/>
                <w:b w:val="0"/>
                <w:sz w:val="16"/>
              </w:rPr>
              <w:t>R/A: site drawing, gas/T-class/EPL, procedure</w:t>
            </w:r>
          </w:p>
        </w:tc>
        <w:tc>
          <w:tcPr>
            <w:tcW w:type="dxa" w:w="1500"/>
          </w:tcPr>
          <w:p>
            <w:pPr>
              <w:spacing w:after="0"/>
              <w:rPr>
                <w:lang w:val="id-ID"/>
              </w:rPr>
            </w:pPr>
            <w:r>
              <w:rPr>
                <w:rFonts w:ascii="Calibri" w:hAnsi="Calibri" w:eastAsia="Calibri"/>
                <w:b w:val="0"/>
                <w:sz w:val="16"/>
              </w:rPr>
              <w:t>C: certification route</w:t>
            </w:r>
          </w:p>
        </w:tc>
      </w:tr>
      <w:tr>
        <w:trPr>
          <w:cantSplit w:val="true"/>
        </w:trPr>
        <w:tc>
          <w:tcPr>
            <w:tcW w:type="dxa" w:w="2100"/>
          </w:tcPr>
          <w:p>
            <w:pPr>
              <w:spacing w:after="0"/>
              <w:rPr>
                <w:lang w:val="id-ID"/>
              </w:rPr>
            </w:pPr>
            <w:r>
              <w:rPr>
                <w:rFonts w:ascii="Calibri" w:hAnsi="Calibri" w:eastAsia="Calibri"/>
                <w:b w:val="0"/>
                <w:sz w:val="16"/>
              </w:rPr>
              <w:t>GLD1 power design/FAT</w:t>
            </w:r>
          </w:p>
        </w:tc>
        <w:tc>
          <w:tcPr>
            <w:tcW w:type="dxa" w:w="2700"/>
          </w:tcPr>
          <w:p>
            <w:pPr>
              <w:spacing w:after="0"/>
              <w:rPr>
                <w:lang w:val="id-ID"/>
              </w:rPr>
            </w:pPr>
            <w:r>
              <w:rPr>
                <w:rFonts w:ascii="Calibri" w:hAnsi="Calibri" w:eastAsia="Calibri"/>
                <w:b w:val="0"/>
                <w:sz w:val="16"/>
              </w:rPr>
              <w:t>R/A: protection, sizing, fan/alarm, test</w:t>
            </w:r>
          </w:p>
        </w:tc>
        <w:tc>
          <w:tcPr>
            <w:tcW w:type="dxa" w:w="3060"/>
          </w:tcPr>
          <w:p>
            <w:pPr>
              <w:spacing w:after="0"/>
              <w:rPr>
                <w:lang w:val="id-ID"/>
              </w:rPr>
            </w:pPr>
            <w:r>
              <w:rPr>
                <w:rFonts w:ascii="Calibri" w:hAnsi="Calibri" w:eastAsia="Calibri"/>
                <w:b w:val="0"/>
                <w:sz w:val="16"/>
              </w:rPr>
              <w:t>C: supply/cable/permit</w:t>
            </w:r>
          </w:p>
        </w:tc>
        <w:tc>
          <w:tcPr>
            <w:tcW w:type="dxa" w:w="1500"/>
          </w:tcPr>
          <w:p>
            <w:pPr>
              <w:spacing w:after="0"/>
              <w:rPr>
                <w:lang w:val="id-ID"/>
              </w:rPr>
            </w:pPr>
            <w:r>
              <w:rPr>
                <w:rFonts w:ascii="Calibri" w:hAnsi="Calibri" w:eastAsia="Calibri"/>
                <w:b w:val="0"/>
                <w:sz w:val="16"/>
              </w:rPr>
              <w:t>C: PSU/part data</w:t>
            </w:r>
          </w:p>
        </w:tc>
      </w:tr>
      <w:tr>
        <w:trPr>
          <w:cantSplit w:val="true"/>
        </w:trPr>
        <w:tc>
          <w:tcPr>
            <w:tcW w:type="dxa" w:w="2100"/>
          </w:tcPr>
          <w:p>
            <w:pPr>
              <w:spacing w:after="0"/>
              <w:rPr>
                <w:lang w:val="id-ID"/>
              </w:rPr>
            </w:pPr>
            <w:r>
              <w:rPr>
                <w:rFonts w:ascii="Calibri" w:hAnsi="Calibri" w:eastAsia="Calibri"/>
                <w:b w:val="0"/>
                <w:sz w:val="16"/>
              </w:rPr>
              <w:t>CH energy/mechanical</w:t>
            </w:r>
          </w:p>
        </w:tc>
        <w:tc>
          <w:tcPr>
            <w:tcW w:type="dxa" w:w="2700"/>
          </w:tcPr>
          <w:p>
            <w:pPr>
              <w:spacing w:after="0"/>
              <w:rPr>
                <w:lang w:val="id-ID"/>
              </w:rPr>
            </w:pPr>
            <w:r>
              <w:rPr>
                <w:rFonts w:ascii="Calibri" w:hAnsi="Calibri" w:eastAsia="Calibri"/>
                <w:b w:val="0"/>
                <w:sz w:val="16"/>
              </w:rPr>
              <w:t>R/A: panel/cell/profile/bracket</w:t>
            </w:r>
          </w:p>
        </w:tc>
        <w:tc>
          <w:tcPr>
            <w:tcW w:type="dxa" w:w="3060"/>
          </w:tcPr>
          <w:p>
            <w:pPr>
              <w:spacing w:after="0"/>
              <w:rPr>
                <w:lang w:val="id-ID"/>
              </w:rPr>
            </w:pPr>
            <w:r>
              <w:rPr>
                <w:rFonts w:ascii="Calibri" w:hAnsi="Calibri" w:eastAsia="Calibri"/>
                <w:b w:val="0"/>
                <w:sz w:val="16"/>
              </w:rPr>
              <w:t>C: autonomy, pole/load, environment</w:t>
            </w:r>
          </w:p>
        </w:tc>
        <w:tc>
          <w:tcPr>
            <w:tcW w:type="dxa" w:w="1500"/>
          </w:tcPr>
          <w:p>
            <w:pPr>
              <w:spacing w:after="0"/>
              <w:rPr>
                <w:lang w:val="id-ID"/>
              </w:rPr>
            </w:pPr>
            <w:r>
              <w:rPr>
                <w:rFonts w:ascii="Calibri" w:hAnsi="Calibri" w:eastAsia="Calibri"/>
                <w:b w:val="0"/>
                <w:sz w:val="16"/>
              </w:rPr>
              <w:t>C: battery/solar/enclosure certificates</w:t>
            </w:r>
          </w:p>
        </w:tc>
      </w:tr>
      <w:tr>
        <w:trPr>
          <w:cantSplit w:val="true"/>
        </w:trPr>
        <w:tc>
          <w:tcPr>
            <w:tcW w:type="dxa" w:w="2100"/>
          </w:tcPr>
          <w:p>
            <w:pPr>
              <w:spacing w:after="0"/>
              <w:rPr>
                <w:lang w:val="id-ID"/>
              </w:rPr>
            </w:pPr>
            <w:r>
              <w:rPr>
                <w:rFonts w:ascii="Calibri" w:hAnsi="Calibri" w:eastAsia="Calibri"/>
                <w:b w:val="0"/>
                <w:sz w:val="16"/>
              </w:rPr>
              <w:t>Gateway/network</w:t>
            </w:r>
          </w:p>
        </w:tc>
        <w:tc>
          <w:tcPr>
            <w:tcW w:type="dxa" w:w="2700"/>
          </w:tcPr>
          <w:p>
            <w:pPr>
              <w:spacing w:after="0"/>
              <w:rPr>
                <w:lang w:val="id-ID"/>
              </w:rPr>
            </w:pPr>
            <w:r>
              <w:rPr>
                <w:rFonts w:ascii="Calibri" w:hAnsi="Calibri" w:eastAsia="Calibri"/>
                <w:b w:val="0"/>
                <w:sz w:val="16"/>
              </w:rPr>
              <w:t>R: MAC/device/config/test support</w:t>
            </w:r>
          </w:p>
        </w:tc>
        <w:tc>
          <w:tcPr>
            <w:tcW w:type="dxa" w:w="3060"/>
          </w:tcPr>
          <w:p>
            <w:pPr>
              <w:spacing w:after="0"/>
              <w:rPr>
                <w:lang w:val="id-ID"/>
              </w:rPr>
            </w:pPr>
            <w:r>
              <w:rPr>
                <w:rFonts w:ascii="Calibri" w:hAnsi="Calibri" w:eastAsia="Calibri"/>
                <w:b w:val="0"/>
                <w:sz w:val="16"/>
              </w:rPr>
              <w:t>A: VLAN/NAC/firewall/FQDN/port/TLS policy</w:t>
            </w:r>
          </w:p>
        </w:tc>
        <w:tc>
          <w:tcPr>
            <w:tcW w:type="dxa" w:w="1500"/>
          </w:tcPr>
          <w:p>
            <w:pPr>
              <w:spacing w:after="0"/>
              <w:rPr>
                <w:lang w:val="id-ID"/>
              </w:rPr>
            </w:pPr>
            <w:r>
              <w:rPr>
                <w:rFonts w:ascii="Calibri" w:hAnsi="Calibri" w:eastAsia="Calibri"/>
                <w:b w:val="0"/>
                <w:sz w:val="16"/>
              </w:rPr>
              <w:t>C: antenna/surge</w:t>
            </w:r>
          </w:p>
        </w:tc>
      </w:tr>
      <w:tr>
        <w:trPr>
          <w:cantSplit w:val="true"/>
        </w:trPr>
        <w:tc>
          <w:tcPr>
            <w:tcW w:type="dxa" w:w="2100"/>
          </w:tcPr>
          <w:p>
            <w:pPr>
              <w:spacing w:after="0"/>
              <w:rPr>
                <w:lang w:val="id-ID"/>
              </w:rPr>
            </w:pPr>
            <w:r>
              <w:rPr>
                <w:rFonts w:ascii="Calibri" w:hAnsi="Calibri" w:eastAsia="Calibri"/>
                <w:b w:val="0"/>
                <w:sz w:val="16"/>
              </w:rPr>
              <w:t>Server deployment</w:t>
            </w:r>
          </w:p>
        </w:tc>
        <w:tc>
          <w:tcPr>
            <w:tcW w:type="dxa" w:w="2700"/>
          </w:tcPr>
          <w:p>
            <w:pPr>
              <w:spacing w:after="0"/>
              <w:rPr>
                <w:lang w:val="id-ID"/>
              </w:rPr>
            </w:pPr>
            <w:r>
              <w:rPr>
                <w:rFonts w:ascii="Calibri" w:hAnsi="Calibri" w:eastAsia="Calibri"/>
                <w:b w:val="0"/>
                <w:sz w:val="16"/>
              </w:rPr>
              <w:t>R: package/flow/test/runbook</w:t>
            </w:r>
          </w:p>
        </w:tc>
        <w:tc>
          <w:tcPr>
            <w:tcW w:type="dxa" w:w="3060"/>
          </w:tcPr>
          <w:p>
            <w:pPr>
              <w:spacing w:after="0"/>
              <w:rPr>
                <w:lang w:val="id-ID"/>
              </w:rPr>
            </w:pPr>
            <w:r>
              <w:rPr>
                <w:rFonts w:ascii="Calibri" w:hAnsi="Calibri" w:eastAsia="Calibri"/>
                <w:b w:val="0"/>
                <w:sz w:val="16"/>
              </w:rPr>
              <w:t>A/C: platform/security/operations</w:t>
            </w:r>
          </w:p>
        </w:tc>
        <w:tc>
          <w:tcPr>
            <w:tcW w:type="dxa" w:w="1500"/>
          </w:tcPr>
          <w:p>
            <w:pPr>
              <w:spacing w:after="0"/>
              <w:rPr>
                <w:lang w:val="id-ID"/>
              </w:rPr>
            </w:pPr>
            <w:r>
              <w:rPr>
                <w:rFonts w:ascii="Calibri" w:hAnsi="Calibri" w:eastAsia="Calibri"/>
                <w:b w:val="0"/>
                <w:sz w:val="16"/>
              </w:rPr>
              <w:t>C: platform support</w:t>
            </w:r>
          </w:p>
        </w:tc>
      </w:tr>
      <w:tr>
        <w:trPr>
          <w:cantSplit w:val="true"/>
        </w:trPr>
        <w:tc>
          <w:tcPr>
            <w:tcW w:type="dxa" w:w="2100"/>
          </w:tcPr>
          <w:p>
            <w:pPr>
              <w:spacing w:after="0"/>
              <w:rPr>
                <w:lang w:val="id-ID"/>
              </w:rPr>
            </w:pPr>
            <w:r>
              <w:rPr>
                <w:rFonts w:ascii="Calibri" w:hAnsi="Calibri" w:eastAsia="Calibri"/>
                <w:b w:val="0"/>
                <w:sz w:val="16"/>
              </w:rPr>
              <w:t>Certification</w:t>
            </w:r>
          </w:p>
        </w:tc>
        <w:tc>
          <w:tcPr>
            <w:tcW w:type="dxa" w:w="2700"/>
          </w:tcPr>
          <w:p>
            <w:pPr>
              <w:spacing w:after="0"/>
              <w:rPr>
                <w:lang w:val="id-ID"/>
              </w:rPr>
            </w:pPr>
            <w:r>
              <w:rPr>
                <w:rFonts w:ascii="Calibri" w:hAnsi="Calibri" w:eastAsia="Calibri"/>
                <w:b w:val="0"/>
                <w:sz w:val="16"/>
              </w:rPr>
              <w:t>R: controlled design dossier and samples</w:t>
            </w:r>
          </w:p>
        </w:tc>
        <w:tc>
          <w:tcPr>
            <w:tcW w:type="dxa" w:w="3060"/>
          </w:tcPr>
          <w:p>
            <w:pPr>
              <w:spacing w:after="0"/>
              <w:rPr>
                <w:lang w:val="id-ID"/>
              </w:rPr>
            </w:pPr>
            <w:r>
              <w:rPr>
                <w:rFonts w:ascii="Calibri" w:hAnsi="Calibri" w:eastAsia="Calibri"/>
                <w:b w:val="0"/>
                <w:sz w:val="16"/>
              </w:rPr>
              <w:t>A/C: accepted scheme/site interface</w:t>
            </w:r>
          </w:p>
        </w:tc>
        <w:tc>
          <w:tcPr>
            <w:tcW w:type="dxa" w:w="1500"/>
          </w:tcPr>
          <w:p>
            <w:pPr>
              <w:spacing w:after="0"/>
              <w:rPr>
                <w:lang w:val="id-ID"/>
              </w:rPr>
            </w:pPr>
            <w:r>
              <w:rPr>
                <w:rFonts w:ascii="Calibri" w:hAnsi="Calibri" w:eastAsia="Calibri"/>
                <w:b w:val="0"/>
                <w:sz w:val="16"/>
              </w:rPr>
              <w:t>R/A: assessment/test/certificate in own scope</w:t>
            </w:r>
          </w:p>
        </w:tc>
      </w:tr>
      <w:tr>
        <w:trPr>
          <w:cantSplit w:val="true"/>
        </w:trPr>
        <w:tc>
          <w:tcPr>
            <w:tcW w:type="dxa" w:w="2100"/>
          </w:tcPr>
          <w:p>
            <w:pPr>
              <w:spacing w:after="0"/>
              <w:rPr>
                <w:lang w:val="id-ID"/>
              </w:rPr>
            </w:pPr>
            <w:r>
              <w:rPr>
                <w:rFonts w:ascii="Calibri" w:hAnsi="Calibri" w:eastAsia="Calibri"/>
                <w:b w:val="0"/>
                <w:sz w:val="16"/>
              </w:rPr>
              <w:t>Installation/SAT</w:t>
            </w:r>
          </w:p>
        </w:tc>
        <w:tc>
          <w:tcPr>
            <w:tcW w:type="dxa" w:w="2700"/>
          </w:tcPr>
          <w:p>
            <w:pPr>
              <w:spacing w:after="0"/>
              <w:rPr>
                <w:lang w:val="id-ID"/>
              </w:rPr>
            </w:pPr>
            <w:r>
              <w:rPr>
                <w:rFonts w:ascii="Calibri" w:hAnsi="Calibri" w:eastAsia="Calibri"/>
                <w:b w:val="0"/>
                <w:sz w:val="16"/>
              </w:rPr>
              <w:t>R: commissioning/test evidence</w:t>
            </w:r>
          </w:p>
        </w:tc>
        <w:tc>
          <w:tcPr>
            <w:tcW w:type="dxa" w:w="3060"/>
          </w:tcPr>
          <w:p>
            <w:pPr>
              <w:spacing w:after="0"/>
              <w:rPr>
                <w:lang w:val="id-ID"/>
              </w:rPr>
            </w:pPr>
            <w:r>
              <w:rPr>
                <w:rFonts w:ascii="Calibri" w:hAnsi="Calibri" w:eastAsia="Calibri"/>
                <w:b w:val="0"/>
                <w:sz w:val="16"/>
              </w:rPr>
              <w:t>A: permit, execution owner, sign-off</w:t>
            </w:r>
          </w:p>
        </w:tc>
        <w:tc>
          <w:tcPr>
            <w:tcW w:type="dxa" w:w="1500"/>
          </w:tcPr>
          <w:p>
            <w:pPr>
              <w:spacing w:after="0"/>
              <w:rPr>
                <w:lang w:val="id-ID"/>
              </w:rPr>
            </w:pPr>
            <w:r>
              <w:rPr>
                <w:rFonts w:ascii="Calibri" w:hAnsi="Calibri" w:eastAsia="Calibri"/>
                <w:b w:val="0"/>
                <w:sz w:val="16"/>
              </w:rPr>
              <w:t>C: special conditions/inspection support</w:t>
            </w:r>
          </w:p>
        </w:tc>
      </w:tr>
    </w:tbl>
    <w:p>
      <w:pPr>
        <w:spacing w:after="0"/>
      </w:pPr>
    </w:p>
    <w:p>
      <w:pPr>
        <w:pStyle w:val="SmallNote"/>
        <w:rPr>
          <w:lang w:val="id-ID"/>
        </w:rPr>
      </w:pPr>
      <w:r>
        <w:rPr>
          <w:rFonts w:ascii="Calibri" w:hAnsi="Calibri" w:eastAsia="Calibri"/>
        </w:rPr>
        <w:t>R = Responsible, A = Accountable, C = Consulted. Nama orang, kontrak boundary, procurement owner, and signatory masih TBD dan harus menggantikan role generik sebelum distribusi eksternal.</w:t>
      </w:r>
    </w:p>
    <w:p>
      <w:pPr>
        <w:pStyle w:val="Heading1"/>
        <w:pageBreakBefore/>
        <w:rPr>
          <w:lang w:val="id-ID"/>
        </w:rPr>
      </w:pPr>
      <w:r>
        <w:t>13. RFI/pernyataan yang harus ditutup</w:t>
      </w:r>
    </w:p>
    <w:p>
      <w:pPr>
        <w:pStyle w:val="Heading2"/>
        <w:rPr>
          <w:lang w:val="id-ID"/>
        </w:rPr>
      </w:pPr>
      <w:r>
        <w:t>13.1 Kepada Pertamina HSE/site</w:t>
      </w:r>
    </w:p>
    <w:p>
      <w:pPr>
        <w:pStyle w:val="ListNumber"/>
        <w:numPr>
          <w:ilvl w:val="0"/>
          <w:numId w:val="15"/>
        </w:numPr>
        <w:rPr>
          <w:lang w:val="id-ID"/>
        </w:rPr>
      </w:pPr>
      <w:r>
        <w:rPr>
          <w:rFonts w:ascii="Calibri" w:hAnsi="Calibri" w:eastAsia="Calibri"/>
        </w:rPr>
        <w:t>Berikan area-classification drawing untuk A1–A5, OM47, SRU/PSU, dan candidate lain: Zone/non-hazardous, gas/dust group, temperature class, EPL/category, actual gas, ambient, dan 3D boundary.</w:t>
      </w:r>
    </w:p>
    <w:p>
      <w:pPr>
        <w:pStyle w:val="ListNumber"/>
        <w:numPr>
          <w:ilvl w:val="0"/>
          <w:numId w:val="15"/>
        </w:numPr>
        <w:rPr>
          <w:lang w:val="id-ID"/>
        </w:rPr>
      </w:pPr>
      <w:r>
        <w:rPr>
          <w:rFonts w:ascii="Calibri" w:hAnsi="Calibri" w:eastAsia="Calibri"/>
        </w:rPr>
        <w:t>Tentukan scheme/standard edition yang diterima: IECEx/ATEX/SNI IEC 60079/Migas/internal; minimum IP/IK, corrosion/H₂S/salt-mist, EMC, and signatory.</w:t>
      </w:r>
    </w:p>
    <w:p>
      <w:pPr>
        <w:pStyle w:val="ListNumber"/>
        <w:numPr>
          <w:ilvl w:val="0"/>
          <w:numId w:val="15"/>
        </w:numPr>
        <w:rPr>
          <w:lang w:val="id-ID"/>
        </w:rPr>
      </w:pPr>
      <w:r>
        <w:rPr>
          <w:rFonts w:ascii="Calibri" w:hAnsi="Calibri" w:eastAsia="Calibri"/>
        </w:rPr>
        <w:t>Apakah battery, solar panel, gland, antenna, surge protector, cable, and complete assembly wajib dalam certificate scope?</w:t>
      </w:r>
    </w:p>
    <w:p>
      <w:pPr>
        <w:pStyle w:val="ListNumber"/>
        <w:numPr>
          <w:ilvl w:val="0"/>
          <w:numId w:val="15"/>
        </w:numPr>
        <w:rPr>
          <w:lang w:val="id-ID"/>
        </w:rPr>
      </w:pPr>
      <w:r>
        <w:rPr>
          <w:rFonts w:ascii="Calibri" w:hAnsi="Calibri" w:eastAsia="Calibri"/>
        </w:rPr>
        <w:t>Konfirmasi incident/leak basis, target detection scenario, existing detector interface, release/dispersion information, and permitted non-hazardous trial location.</w:t>
      </w:r>
    </w:p>
    <w:p>
      <w:pPr>
        <w:pStyle w:val="ListNumber"/>
        <w:numPr>
          <w:ilvl w:val="0"/>
          <w:numId w:val="15"/>
        </w:numPr>
        <w:rPr>
          <w:lang w:val="id-ID"/>
        </w:rPr>
      </w:pPr>
      <w:r>
        <w:rPr>
          <w:rFonts w:ascii="Calibri" w:hAnsi="Calibri" w:eastAsia="Calibri"/>
        </w:rPr>
        <w:t>Tetapkan permit/JSA, work-at-height, hot-work/drilling/welding restriction, gas testing, competent Ex personnel, initial inspection, dan maintenance dossier.</w:t>
      </w:r>
    </w:p>
    <w:p>
      <w:pPr>
        <w:pStyle w:val="ListNumber"/>
        <w:numPr>
          <w:ilvl w:val="0"/>
          <w:numId w:val="15"/>
        </w:numPr>
        <w:rPr>
          <w:lang w:val="id-ID"/>
        </w:rPr>
      </w:pPr>
      <w:r>
        <w:rPr>
          <w:rFonts w:ascii="Calibri" w:hAnsi="Calibri" w:eastAsia="Calibri"/>
        </w:rPr>
        <w:t>Konfirmasi window survey beberapa hari dan alokasi sekitar satu hari untuk induction/permit/JSA sebelum akses SRU: personel pendamping, contractor, equipment entry, dan pembagian agenda dimensional/RF/power/network.</w:t>
      </w:r>
    </w:p>
    <w:p>
      <w:pPr>
        <w:pStyle w:val="Heading2"/>
        <w:rPr>
          <w:lang w:val="id-ID"/>
        </w:rPr>
      </w:pPr>
      <w:r>
        <w:t>13.2 Kepada Pertamina electrical/mechanical</w:t>
      </w:r>
    </w:p>
    <w:p>
      <w:pPr>
        <w:pStyle w:val="ListNumber"/>
        <w:numPr>
          <w:ilvl w:val="0"/>
          <w:numId w:val="16"/>
        </w:numPr>
        <w:rPr>
          <w:lang w:val="id-ID"/>
        </w:rPr>
      </w:pPr>
      <w:r>
        <w:rPr>
          <w:rFonts w:ascii="Calibri" w:hAnsi="Calibri" w:eastAsia="Calibri"/>
        </w:rPr>
        <w:t>Konfirmasi apakah source ‘110VA’ sebenarnya 110 VAC; berikan voltage/frequency/phase/earthing, panel, breaker, spare capacity, UPS/emergency status, dan cable route.</w:t>
      </w:r>
    </w:p>
    <w:p>
      <w:pPr>
        <w:pStyle w:val="ListNumber"/>
        <w:numPr>
          <w:ilvl w:val="0"/>
          <w:numId w:val="16"/>
        </w:numPr>
        <w:rPr>
          <w:lang w:val="id-ID"/>
        </w:rPr>
      </w:pPr>
      <w:r>
        <w:rPr>
          <w:rFonts w:ascii="Calibri" w:hAnsi="Calibri" w:eastAsia="Calibri"/>
        </w:rPr>
        <w:t>Berikan pole/handrail/building OD/material/thickness/height/allowable load/wind/seismic/vibration/corrosion serta anchor policy.</w:t>
      </w:r>
    </w:p>
    <w:p>
      <w:pPr>
        <w:pStyle w:val="ListNumber"/>
        <w:numPr>
          <w:ilvl w:val="0"/>
          <w:numId w:val="16"/>
        </w:numPr>
        <w:rPr>
          <w:lang w:val="id-ID"/>
        </w:rPr>
      </w:pPr>
      <w:r>
        <w:rPr>
          <w:rFonts w:ascii="Calibri" w:hAnsi="Calibri" w:eastAsia="Calibri"/>
        </w:rPr>
        <w:t>Setujui allowable bolt/nut/washer/material/torque/anti-loosening/tool size dan inspection interval.</w:t>
      </w:r>
    </w:p>
    <w:p>
      <w:pPr>
        <w:pStyle w:val="ListNumber"/>
        <w:numPr>
          <w:ilvl w:val="0"/>
          <w:numId w:val="16"/>
        </w:numPr>
        <w:rPr>
          <w:lang w:val="id-ID"/>
        </w:rPr>
      </w:pPr>
      <w:r>
        <w:rPr>
          <w:rFonts w:ascii="Calibri" w:hAnsi="Calibri" w:eastAsia="Calibri"/>
        </w:rPr>
        <w:t>Berikan cable standard, conductor/armor/shield/gland/termination/tagging/fire rating/segregation, allowable drop, and grounding/bonding/lightning rules.</w:t>
      </w:r>
    </w:p>
    <w:p>
      <w:pPr>
        <w:pStyle w:val="ListNumber"/>
        <w:numPr>
          <w:ilvl w:val="0"/>
          <w:numId w:val="16"/>
        </w:numPr>
        <w:rPr>
          <w:lang w:val="id-ID"/>
        </w:rPr>
      </w:pPr>
      <w:r>
        <w:rPr>
          <w:rFonts w:ascii="Calibri" w:hAnsi="Calibri" w:eastAsia="Calibri"/>
        </w:rPr>
        <w:t>Konfirmasi antenna rooftop access, height/clearance, lightning zone, coax route/max length, grounding, work-at-height, and structural approval.</w:t>
      </w:r>
    </w:p>
    <w:p>
      <w:pPr>
        <w:pStyle w:val="ListNumber"/>
        <w:numPr>
          <w:ilvl w:val="0"/>
          <w:numId w:val="16"/>
        </w:numPr>
        <w:rPr>
          <w:lang w:val="id-ID"/>
        </w:rPr>
      </w:pPr>
      <w:r>
        <w:rPr>
          <w:rFonts w:ascii="Calibri" w:hAnsi="Calibri" w:eastAsia="Calibri"/>
        </w:rPr>
        <w:t>Tetapkan target autonomy CH, availability, maintenance access, panel cleaning interval, shading/solar data, dan allowed downtime.</w:t>
      </w:r>
    </w:p>
    <w:p>
      <w:pPr>
        <w:pStyle w:val="Heading2"/>
        <w:rPr>
          <w:lang w:val="id-ID"/>
        </w:rPr>
      </w:pPr>
      <w:r>
        <w:t>13.3 Kepada Pertamina IT</w:t>
      </w:r>
    </w:p>
    <w:p>
      <w:pPr>
        <w:pStyle w:val="ListNumber"/>
        <w:numPr>
          <w:ilvl w:val="0"/>
          <w:numId w:val="17"/>
        </w:numPr>
        <w:rPr>
          <w:lang w:val="id-ID"/>
        </w:rPr>
      </w:pPr>
      <w:r>
        <w:rPr>
          <w:rFonts w:ascii="Calibri" w:hAnsi="Calibri" w:eastAsia="Calibri"/>
        </w:rPr>
        <w:t>SSID/band dan authentication: PSK atau 802.1X; captive portal dilarang/ditangani bagaimana?</w:t>
      </w:r>
    </w:p>
    <w:p>
      <w:pPr>
        <w:pStyle w:val="ListNumber"/>
        <w:numPr>
          <w:ilvl w:val="0"/>
          <w:numId w:val="17"/>
        </w:numPr>
        <w:rPr>
          <w:lang w:val="id-ID"/>
        </w:rPr>
      </w:pPr>
      <w:r>
        <w:rPr>
          <w:rFonts w:ascii="Calibri" w:hAnsi="Calibri" w:eastAsia="Calibri"/>
        </w:rPr>
        <w:t>VLAN/subnet, DHCP reservation/static policy, gateway, DNS, NTP, NAC/MAC allowlist, asset registration, and location/owner fields.</w:t>
      </w:r>
    </w:p>
    <w:p>
      <w:pPr>
        <w:pStyle w:val="ListNumber"/>
        <w:numPr>
          <w:ilvl w:val="0"/>
          <w:numId w:val="17"/>
        </w:numPr>
        <w:rPr>
          <w:lang w:val="id-ID"/>
        </w:rPr>
      </w:pPr>
      <w:r>
        <w:rPr>
          <w:rFonts w:ascii="Calibri" w:hAnsi="Calibri" w:eastAsia="Calibri"/>
        </w:rPr>
        <w:t>Broker FQDN/IP, final TCP port, TLS/mTLS/VPN policy, CA/certificate issuance/rotation/revocation, per-device identity, and topic ACL.</w:t>
      </w:r>
    </w:p>
    <w:p>
      <w:pPr>
        <w:pStyle w:val="ListNumber"/>
        <w:numPr>
          <w:ilvl w:val="0"/>
          <w:numId w:val="17"/>
        </w:numPr>
        <w:rPr>
          <w:lang w:val="id-ID"/>
        </w:rPr>
      </w:pPr>
      <w:r>
        <w:rPr>
          <w:rFonts w:ascii="Calibri" w:hAnsi="Calibri" w:eastAsia="Calibri"/>
        </w:rPr>
        <w:t>Firewall matrix, internet default-deny, logging/SIEM/retention, connection monitoring, incident response, and change window.</w:t>
      </w:r>
    </w:p>
    <w:p>
      <w:pPr>
        <w:pStyle w:val="ListNumber"/>
        <w:numPr>
          <w:ilvl w:val="0"/>
          <w:numId w:val="17"/>
        </w:numPr>
        <w:rPr>
          <w:lang w:val="id-ID"/>
        </w:rPr>
      </w:pPr>
      <w:r>
        <w:rPr>
          <w:rFonts w:ascii="Calibri" w:hAnsi="Calibri" w:eastAsia="Calibri"/>
        </w:rPr>
        <w:t>Approved server platform: OS/version, VM/physical, CPU/RAM/storage, network zone, backup, monitoring, patching, RPO/RTO/HA.</w:t>
      </w:r>
    </w:p>
    <w:p>
      <w:pPr>
        <w:pStyle w:val="ListNumber"/>
        <w:numPr>
          <w:ilvl w:val="0"/>
          <w:numId w:val="17"/>
        </w:numPr>
        <w:rPr>
          <w:lang w:val="id-ID"/>
        </w:rPr>
      </w:pPr>
      <w:r>
        <w:rPr>
          <w:rFonts w:ascii="Calibri" w:hAnsi="Calibri" w:eastAsia="Calibri"/>
        </w:rPr>
        <w:t>Dashboard HTTPS/RBAC/SSO/session policy; admin subnet; Node-RED and DB exposure restrictions.</w:t>
      </w:r>
    </w:p>
    <w:p>
      <w:pPr>
        <w:pStyle w:val="ListNumber"/>
        <w:numPr>
          <w:ilvl w:val="0"/>
          <w:numId w:val="17"/>
        </w:numPr>
        <w:rPr>
          <w:lang w:val="id-ID"/>
        </w:rPr>
      </w:pPr>
      <w:r>
        <w:rPr>
          <w:rFonts w:ascii="Calibri" w:hAnsi="Calibri" w:eastAsia="Calibri"/>
        </w:rPr>
        <w:t>Acceptance evidence format: CONNACK/broker logs, negative tests, packet capture authorization, screenshot, timestamp/NTP, PIC, and sign-off.</w:t>
      </w:r>
    </w:p>
    <w:p>
      <w:pPr>
        <w:pStyle w:val="Heading2"/>
        <w:rPr>
          <w:lang w:val="id-ID"/>
        </w:rPr>
      </w:pPr>
      <w:r>
        <w:t>13.4 Kepada vendor/desain</w:t>
      </w:r>
    </w:p>
    <w:p>
      <w:pPr>
        <w:pStyle w:val="ListNumber"/>
        <w:numPr>
          <w:ilvl w:val="0"/>
          <w:numId w:val="18"/>
        </w:numPr>
        <w:rPr>
          <w:lang w:val="id-ID"/>
        </w:rPr>
      </w:pPr>
      <w:r>
        <w:rPr>
          <w:rFonts w:ascii="Calibri" w:hAnsi="Calibri" w:eastAsia="Calibri"/>
        </w:rPr>
        <w:t>Complete manufacturer BOM untuk GLD1/CH/GW: exact part/model/lot termasuk MQ, fan/alarm, PSU, battery, panel, enclosure, glands, antenna/coax/surge/bracket.</w:t>
      </w:r>
    </w:p>
    <w:p>
      <w:pPr>
        <w:pStyle w:val="ListNumber"/>
        <w:numPr>
          <w:ilvl w:val="0"/>
          <w:numId w:val="18"/>
        </w:numPr>
        <w:rPr>
          <w:lang w:val="id-ID"/>
        </w:rPr>
      </w:pPr>
      <w:r>
        <w:rPr>
          <w:rFonts w:ascii="Calibri" w:hAnsi="Calibri" w:eastAsia="Calibri"/>
        </w:rPr>
        <w:t>Gerber, fabrication/assembly drawing dalam mm, hole table, STEP/3D, mass/CG, enclosure drawing, gasket/gland/torque/cable schedule.</w:t>
      </w:r>
    </w:p>
    <w:p>
      <w:pPr>
        <w:pStyle w:val="ListNumber"/>
        <w:numPr>
          <w:ilvl w:val="0"/>
          <w:numId w:val="18"/>
        </w:numPr>
        <w:rPr>
          <w:lang w:val="id-ID"/>
        </w:rPr>
      </w:pPr>
      <w:r>
        <w:rPr>
          <w:rFonts w:ascii="Calibri" w:hAnsi="Calibri" w:eastAsia="Calibri"/>
        </w:rPr>
        <w:t>GLD1: selesaikan F1 untuk input 24 V, MQ-7 heater cycle, input transient/TVS/thermal, fan/alarm current, dan identitas sensor per socket.</w:t>
      </w:r>
    </w:p>
    <w:p>
      <w:pPr>
        <w:pStyle w:val="ListNumber"/>
        <w:numPr>
          <w:ilvl w:val="0"/>
          <w:numId w:val="18"/>
        </w:numPr>
        <w:rPr>
          <w:lang w:val="id-ID"/>
        </w:rPr>
      </w:pPr>
      <w:r>
        <w:rPr>
          <w:rFonts w:ascii="Calibri" w:hAnsi="Calibri" w:eastAsia="Calibri"/>
        </w:rPr>
        <w:t>CH: exact cell/pack and panel data; compatibility BQ25185; 24 h current profile; autonomy/recharge/brownout/dual-radio/thermal test; IEC 62133-2/UN 38.3 evidence.</w:t>
      </w:r>
    </w:p>
    <w:p>
      <w:pPr>
        <w:pStyle w:val="ListNumber"/>
        <w:numPr>
          <w:ilvl w:val="0"/>
          <w:numId w:val="18"/>
        </w:numPr>
        <w:rPr>
          <w:lang w:val="id-ID"/>
        </w:rPr>
      </w:pPr>
      <w:r>
        <w:rPr>
          <w:rFonts w:ascii="Calibri" w:hAnsi="Calibri" w:eastAsia="Calibri"/>
        </w:rPr>
        <w:t>RF: antenna/coax/gland/surge datasheet, gain/EIRP calculation, dual-radio isolation, link budget, and site acceptance criteria RSSI/SNR/packet-loss.</w:t>
      </w:r>
    </w:p>
    <w:p>
      <w:pPr>
        <w:pStyle w:val="ListNumber"/>
        <w:numPr>
          <w:ilvl w:val="0"/>
          <w:numId w:val="18"/>
        </w:numPr>
        <w:rPr>
          <w:lang w:val="id-ID"/>
        </w:rPr>
      </w:pPr>
      <w:r>
        <w:rPr>
          <w:rFonts w:ascii="Calibri" w:hAnsi="Calibri" w:eastAsia="Calibri"/>
        </w:rPr>
        <w:t>If Ex is claimed: CoC/DoC/QAR/QAN, certificate schedule, special conditions, marking, ambient, gas group, T-class, EPL, drawing/BOM revision, and online verification record.</w:t>
      </w:r>
    </w:p>
    <w:p>
      <w:pPr>
        <w:pStyle w:val="Heading2"/>
        <w:rPr>
          <w:lang w:val="id-ID"/>
        </w:rPr>
      </w:pPr>
      <w:r>
        <w:t>13.5 Scope/contract questions</w:t>
      </w:r>
    </w:p>
    <w:p>
      <w:pPr>
        <w:pStyle w:val="ListNumber"/>
        <w:numPr>
          <w:ilvl w:val="0"/>
          <w:numId w:val="19"/>
        </w:numPr>
        <w:rPr>
          <w:lang w:val="id-ID"/>
        </w:rPr>
      </w:pPr>
      <w:r>
        <w:rPr>
          <w:rFonts w:ascii="Calibri" w:hAnsi="Calibri" w:eastAsia="Calibri"/>
        </w:rPr>
        <w:t>Apakah phase 1 benar 3 GLD1 + 1 CH, dan apakah Gateway/server termasuk supply/installation/operation scope?</w:t>
      </w:r>
    </w:p>
    <w:p>
      <w:pPr>
        <w:pStyle w:val="ListNumber"/>
        <w:numPr>
          <w:ilvl w:val="0"/>
          <w:numId w:val="19"/>
        </w:numPr>
        <w:rPr>
          <w:lang w:val="id-ID"/>
        </w:rPr>
      </w:pPr>
      <w:r>
        <w:rPr>
          <w:rFonts w:ascii="Calibri" w:hAnsi="Calibri" w:eastAsia="Calibri"/>
        </w:rPr>
        <w:t>Apakah additional contract diperlukan untuk site survey, pole/cable/support, certification, server/network, FAT/SAT, training, spares, and maintenance?</w:t>
      </w:r>
    </w:p>
    <w:p>
      <w:pPr>
        <w:pStyle w:val="ListNumber"/>
        <w:numPr>
          <w:ilvl w:val="0"/>
          <w:numId w:val="19"/>
        </w:numPr>
        <w:rPr>
          <w:lang w:val="id-ID"/>
        </w:rPr>
      </w:pPr>
      <w:r>
        <w:rPr>
          <w:rFonts w:ascii="Calibri" w:hAnsi="Calibri" w:eastAsia="Calibri"/>
        </w:rPr>
        <w:t>Siapa accountable owner dan signatory untuk HSE, IT, electrical, mechanical, operations, procurement, cybersecurity, certification, FAT, and SAT?</w:t>
      </w:r>
    </w:p>
    <w:p>
      <w:pPr>
        <w:pStyle w:val="ListNumber"/>
        <w:numPr>
          <w:ilvl w:val="0"/>
          <w:numId w:val="19"/>
        </w:numPr>
        <w:rPr>
          <w:lang w:val="id-ID"/>
        </w:rPr>
      </w:pPr>
      <w:r>
        <w:rPr>
          <w:rFonts w:ascii="Calibri" w:hAnsi="Calibri" w:eastAsia="Calibri"/>
        </w:rPr>
        <w:t>Konfirmasi target end-September 2026 dan September 2027 beserta dependency, review duration, approval lead time, and change control.</w:t>
      </w:r>
    </w:p>
    <w:p>
      <w:pPr>
        <w:pStyle w:val="ListNumber"/>
        <w:numPr>
          <w:ilvl w:val="0"/>
          <w:numId w:val="19"/>
        </w:numPr>
        <w:rPr>
          <w:lang w:val="id-ID"/>
        </w:rPr>
      </w:pPr>
      <w:r>
        <w:rPr>
          <w:rFonts w:ascii="Calibri" w:hAnsi="Calibri" w:eastAsia="Calibri"/>
        </w:rPr>
        <w:t>Tentukan definition of done, warranty/support, spare strategy, calibration interval, data ownership/retention, and post-SAT operational handover.</w:t>
      </w:r>
    </w:p>
    <w:p>
      <w:pPr>
        <w:pStyle w:val="ListNumber"/>
        <w:numPr>
          <w:ilvl w:val="0"/>
          <w:numId w:val="19"/>
        </w:numPr>
        <w:rPr>
          <w:lang w:val="id-ID"/>
        </w:rPr>
      </w:pPr>
      <w:r>
        <w:rPr>
          <w:rFonts w:ascii="Calibri" w:hAnsi="Calibri" w:eastAsia="Calibri"/>
        </w:rPr>
        <w:t>Kapan memo/rekomendasi Pertamina yang menjadi dasar formal scope diterbitkan, dan role mana yang berwenang menyetujui lokasi sebelum contractor serta IT dilibatkan?</w:t>
      </w:r>
    </w:p>
    <w:p>
      <w:pPr>
        <w:pStyle w:val="Heading1"/>
        <w:pageBreakBefore/>
        <w:rPr>
          <w:lang w:val="id-ID"/>
        </w:rPr>
      </w:pPr>
      <w:r>
        <w:t>14. FAT, SAT, dan bukti penerimaan</w:t>
      </w:r>
    </w:p>
    <w:p>
      <w:pPr>
        <w:pStyle w:val="Heading2"/>
        <w:rPr>
          <w:lang w:val="id-ID"/>
        </w:rPr>
      </w:pPr>
      <w:r>
        <w:t>14.1 FAT matrix</w:t>
      </w:r>
    </w:p>
    <w:tbl>
      <w:tblPr>
        <w:tblStyle w:val="TableGrid"/>
        <w:tblW w:type="dxa" w:w="9360"/>
        <w:jc w:val="center"/>
        <w:tblLayout w:type="fixed"/>
        <w:tblLook w:firstColumn="1" w:firstRow="1" w:lastColumn="0" w:lastRow="0" w:noHBand="0" w:noVBand="1" w:val="04A0"/>
        <w:tblInd w:w="120" w:type="dxa"/>
      </w:tblPr>
      <w:tblGrid>
        <w:gridCol w:w="1450"/>
        <w:gridCol w:w="4950"/>
        <w:gridCol w:w="2960"/>
      </w:tblGrid>
      <w:tr>
        <w:trPr>
          <w:tblHeader w:val="true"/>
          <w:cantSplit w:val="true"/>
        </w:trPr>
        <w:tc>
          <w:tcPr>
            <w:tcW w:type="dxa" w:w="14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Domain</w:t>
            </w:r>
          </w:p>
        </w:tc>
        <w:tc>
          <w:tcPr>
            <w:tcW w:type="dxa" w:w="49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Test minimum</w:t>
            </w:r>
          </w:p>
        </w:tc>
        <w:tc>
          <w:tcPr>
            <w:tcW w:type="dxa" w:w="29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Pass evidence</w:t>
            </w:r>
          </w:p>
        </w:tc>
      </w:tr>
      <w:tr>
        <w:trPr>
          <w:cantSplit w:val="true"/>
        </w:trPr>
        <w:tc>
          <w:tcPr>
            <w:tcW w:type="dxa" w:w="1450"/>
          </w:tcPr>
          <w:p>
            <w:pPr>
              <w:spacing w:after="0"/>
              <w:rPr>
                <w:lang w:val="id-ID"/>
              </w:rPr>
            </w:pPr>
            <w:r>
              <w:rPr>
                <w:rFonts w:ascii="Calibri" w:hAnsi="Calibri" w:eastAsia="Calibri"/>
                <w:b w:val="0"/>
                <w:sz w:val="16"/>
              </w:rPr>
              <w:t>GLD1 power</w:t>
            </w:r>
          </w:p>
        </w:tc>
        <w:tc>
          <w:tcPr>
            <w:tcW w:type="dxa" w:w="4950"/>
          </w:tcPr>
          <w:p>
            <w:pPr>
              <w:spacing w:after="0"/>
              <w:rPr>
                <w:lang w:val="id-ID"/>
              </w:rPr>
            </w:pPr>
            <w:r>
              <w:rPr>
                <w:rFonts w:ascii="Calibri" w:hAnsi="Calibri" w:eastAsia="Calibri"/>
                <w:b w:val="0"/>
                <w:sz w:val="16"/>
              </w:rPr>
              <w:t>20 cold-start; 120 min profile; all heaters; LoRa/RS485/LED/alarm/fan; cable drop; +5 V/3,3 V; closed-enclosure thermal</w:t>
            </w:r>
          </w:p>
        </w:tc>
        <w:tc>
          <w:tcPr>
            <w:tcW w:type="dxa" w:w="2960"/>
          </w:tcPr>
          <w:p>
            <w:pPr>
              <w:spacing w:after="0"/>
              <w:rPr>
                <w:lang w:val="id-ID"/>
              </w:rPr>
            </w:pPr>
            <w:r>
              <w:rPr>
                <w:rFonts w:ascii="Calibri" w:hAnsi="Calibri" w:eastAsia="Calibri"/>
                <w:b w:val="0"/>
                <w:sz w:val="16"/>
              </w:rPr>
              <w:t>Waveform/log calibrated instrument; rail within MPN limit; no reset/current-limit; ≥20% headroom; blocker closed</w:t>
            </w:r>
          </w:p>
        </w:tc>
      </w:tr>
      <w:tr>
        <w:trPr>
          <w:cantSplit w:val="true"/>
        </w:trPr>
        <w:tc>
          <w:tcPr>
            <w:tcW w:type="dxa" w:w="1450"/>
          </w:tcPr>
          <w:p>
            <w:pPr>
              <w:spacing w:after="0"/>
              <w:rPr>
                <w:lang w:val="id-ID"/>
              </w:rPr>
            </w:pPr>
            <w:r>
              <w:rPr>
                <w:rFonts w:ascii="Calibri" w:hAnsi="Calibri" w:eastAsia="Calibri"/>
                <w:b w:val="0"/>
                <w:sz w:val="16"/>
              </w:rPr>
              <w:t>GLD1 sensing</w:t>
            </w:r>
          </w:p>
        </w:tc>
        <w:tc>
          <w:tcPr>
            <w:tcW w:type="dxa" w:w="4950"/>
          </w:tcPr>
          <w:p>
            <w:pPr>
              <w:spacing w:after="0"/>
              <w:rPr>
                <w:lang w:val="id-ID"/>
              </w:rPr>
            </w:pPr>
            <w:r>
              <w:rPr>
                <w:rFonts w:ascii="Calibri" w:hAnsi="Calibri" w:eastAsia="Calibri"/>
                <w:b w:val="0"/>
                <w:sz w:val="16"/>
              </w:rPr>
              <w:t>MPN/lot; heater resistance/cycle; channel map; zero/span; target/interferent; humidity/temp; exposure/recovery; reference instrument</w:t>
            </w:r>
          </w:p>
        </w:tc>
        <w:tc>
          <w:tcPr>
            <w:tcW w:type="dxa" w:w="2960"/>
          </w:tcPr>
          <w:p>
            <w:pPr>
              <w:spacing w:after="0"/>
              <w:rPr>
                <w:lang w:val="id-ID"/>
              </w:rPr>
            </w:pPr>
            <w:r>
              <w:rPr>
                <w:rFonts w:ascii="Calibri" w:hAnsi="Calibri" w:eastAsia="Calibri"/>
                <w:b w:val="0"/>
                <w:sz w:val="16"/>
              </w:rPr>
              <w:t>Calibration/dataset report; confusion/false alarm/miss criteria; traceability</w:t>
            </w:r>
          </w:p>
        </w:tc>
      </w:tr>
      <w:tr>
        <w:trPr>
          <w:cantSplit w:val="true"/>
        </w:trPr>
        <w:tc>
          <w:tcPr>
            <w:tcW w:type="dxa" w:w="1450"/>
          </w:tcPr>
          <w:p>
            <w:pPr>
              <w:spacing w:after="0"/>
              <w:rPr>
                <w:lang w:val="id-ID"/>
              </w:rPr>
            </w:pPr>
            <w:r>
              <w:rPr>
                <w:rFonts w:ascii="Calibri" w:hAnsi="Calibri" w:eastAsia="Calibri"/>
                <w:b w:val="0"/>
                <w:sz w:val="16"/>
              </w:rPr>
              <w:t>CH energy</w:t>
            </w:r>
          </w:p>
        </w:tc>
        <w:tc>
          <w:tcPr>
            <w:tcW w:type="dxa" w:w="4950"/>
          </w:tcPr>
          <w:p>
            <w:pPr>
              <w:spacing w:after="0"/>
              <w:rPr>
                <w:lang w:val="id-ID"/>
              </w:rPr>
            </w:pPr>
            <w:r>
              <w:rPr>
                <w:rFonts w:ascii="Calibri" w:hAnsi="Calibri" w:eastAsia="Calibri"/>
                <w:b w:val="0"/>
                <w:sz w:val="16"/>
              </w:rPr>
              <w:t>24 h production/test cadence; idle/RX/TX/dual peak; charge/day/night; autonomy; recharge; brownout; temp</w:t>
            </w:r>
          </w:p>
        </w:tc>
        <w:tc>
          <w:tcPr>
            <w:tcW w:type="dxa" w:w="2960"/>
          </w:tcPr>
          <w:p>
            <w:pPr>
              <w:spacing w:after="0"/>
              <w:rPr>
                <w:lang w:val="id-ID"/>
              </w:rPr>
            </w:pPr>
            <w:r>
              <w:rPr>
                <w:rFonts w:ascii="Calibri" w:hAnsi="Calibri" w:eastAsia="Calibri"/>
                <w:b w:val="0"/>
                <w:sz w:val="16"/>
              </w:rPr>
              <w:t>Energy budget; measured profile; cell/panel BOM; autonomy/recovery pass</w:t>
            </w:r>
          </w:p>
        </w:tc>
      </w:tr>
      <w:tr>
        <w:trPr>
          <w:cantSplit w:val="true"/>
        </w:trPr>
        <w:tc>
          <w:tcPr>
            <w:tcW w:type="dxa" w:w="1450"/>
          </w:tcPr>
          <w:p>
            <w:pPr>
              <w:spacing w:after="0"/>
              <w:rPr>
                <w:lang w:val="id-ID"/>
              </w:rPr>
            </w:pPr>
            <w:r>
              <w:rPr>
                <w:rFonts w:ascii="Calibri" w:hAnsi="Calibri" w:eastAsia="Calibri"/>
                <w:b w:val="0"/>
                <w:sz w:val="16"/>
              </w:rPr>
              <w:t>Mechanical</w:t>
            </w:r>
          </w:p>
        </w:tc>
        <w:tc>
          <w:tcPr>
            <w:tcW w:type="dxa" w:w="4950"/>
          </w:tcPr>
          <w:p>
            <w:pPr>
              <w:spacing w:after="0"/>
              <w:rPr>
                <w:lang w:val="id-ID"/>
              </w:rPr>
            </w:pPr>
            <w:r>
              <w:rPr>
                <w:rFonts w:ascii="Calibri" w:hAnsi="Calibri" w:eastAsia="Calibri"/>
                <w:b w:val="0"/>
                <w:sz w:val="16"/>
              </w:rPr>
              <w:t>Fit/retention; fastener torque; vibration; pull/load; ingress; corrosion basis; cable/gland; 2 RF feedthrough</w:t>
            </w:r>
          </w:p>
        </w:tc>
        <w:tc>
          <w:tcPr>
            <w:tcW w:type="dxa" w:w="2960"/>
          </w:tcPr>
          <w:p>
            <w:pPr>
              <w:spacing w:after="0"/>
              <w:rPr>
                <w:lang w:val="id-ID"/>
              </w:rPr>
            </w:pPr>
            <w:r>
              <w:rPr>
                <w:rFonts w:ascii="Calibri" w:hAnsi="Calibri" w:eastAsia="Calibri"/>
                <w:b w:val="0"/>
                <w:sz w:val="16"/>
              </w:rPr>
              <w:t>Drawing/revision, photos, torque sheet, inspection/test report</w:t>
            </w:r>
          </w:p>
        </w:tc>
      </w:tr>
      <w:tr>
        <w:trPr>
          <w:cantSplit w:val="true"/>
        </w:trPr>
        <w:tc>
          <w:tcPr>
            <w:tcW w:type="dxa" w:w="1450"/>
          </w:tcPr>
          <w:p>
            <w:pPr>
              <w:spacing w:after="0"/>
              <w:rPr>
                <w:lang w:val="id-ID"/>
              </w:rPr>
            </w:pPr>
            <w:r>
              <w:rPr>
                <w:rFonts w:ascii="Calibri" w:hAnsi="Calibri" w:eastAsia="Calibri"/>
                <w:b w:val="0"/>
                <w:sz w:val="16"/>
              </w:rPr>
              <w:t>RF</w:t>
            </w:r>
          </w:p>
        </w:tc>
        <w:tc>
          <w:tcPr>
            <w:tcW w:type="dxa" w:w="4950"/>
          </w:tcPr>
          <w:p>
            <w:pPr>
              <w:spacing w:after="0"/>
              <w:rPr>
                <w:lang w:val="id-ID"/>
              </w:rPr>
            </w:pPr>
            <w:r>
              <w:rPr>
                <w:rFonts w:ascii="Calibri" w:hAnsi="Calibri" w:eastAsia="Calibri"/>
                <w:b w:val="0"/>
                <w:sz w:val="16"/>
              </w:rPr>
              <w:t>Bench protocol; range topology; interference; packet/sequence/retry; dual-radio isolation</w:t>
            </w:r>
          </w:p>
        </w:tc>
        <w:tc>
          <w:tcPr>
            <w:tcW w:type="dxa" w:w="2960"/>
          </w:tcPr>
          <w:p>
            <w:pPr>
              <w:spacing w:after="0"/>
              <w:rPr>
                <w:lang w:val="id-ID"/>
              </w:rPr>
            </w:pPr>
            <w:r>
              <w:rPr>
                <w:rFonts w:ascii="Calibri" w:hAnsi="Calibri" w:eastAsia="Calibri"/>
                <w:b w:val="0"/>
                <w:sz w:val="16"/>
              </w:rPr>
              <w:t>RSSI/SNR/PER/latency capture; no unaccounted loss</w:t>
            </w:r>
          </w:p>
        </w:tc>
      </w:tr>
      <w:tr>
        <w:trPr>
          <w:cantSplit w:val="true"/>
        </w:trPr>
        <w:tc>
          <w:tcPr>
            <w:tcW w:type="dxa" w:w="1450"/>
          </w:tcPr>
          <w:p>
            <w:pPr>
              <w:spacing w:after="0"/>
              <w:rPr>
                <w:lang w:val="id-ID"/>
              </w:rPr>
            </w:pPr>
            <w:r>
              <w:rPr>
                <w:rFonts w:ascii="Calibri" w:hAnsi="Calibri" w:eastAsia="Calibri"/>
                <w:b w:val="0"/>
                <w:sz w:val="16"/>
              </w:rPr>
              <w:t>GW/server</w:t>
            </w:r>
          </w:p>
        </w:tc>
        <w:tc>
          <w:tcPr>
            <w:tcW w:type="dxa" w:w="4950"/>
          </w:tcPr>
          <w:p>
            <w:pPr>
              <w:spacing w:after="0"/>
              <w:rPr>
                <w:lang w:val="id-ID"/>
              </w:rPr>
            </w:pPr>
            <w:r>
              <w:rPr>
                <w:rFonts w:ascii="Calibri" w:hAnsi="Calibri" w:eastAsia="Calibri"/>
                <w:b w:val="0"/>
                <w:sz w:val="16"/>
              </w:rPr>
              <w:t>Provisioning, auth/TLS/ACL, normal/alarm/downlink, disconnect/restart/replay, 24–72 h soak, dashboard/security/backup-restore</w:t>
            </w:r>
          </w:p>
        </w:tc>
        <w:tc>
          <w:tcPr>
            <w:tcW w:type="dxa" w:w="2960"/>
          </w:tcPr>
          <w:p>
            <w:pPr>
              <w:spacing w:after="0"/>
              <w:rPr>
                <w:lang w:val="id-ID"/>
              </w:rPr>
            </w:pPr>
            <w:r>
              <w:rPr>
                <w:rFonts w:ascii="Calibri" w:hAnsi="Calibri" w:eastAsia="Calibri"/>
                <w:b w:val="0"/>
                <w:sz w:val="16"/>
              </w:rPr>
              <w:t>Broker/server logs, flow hash, screenshot, negative test, restore proof</w:t>
            </w:r>
          </w:p>
        </w:tc>
      </w:tr>
      <w:tr>
        <w:trPr>
          <w:cantSplit w:val="true"/>
        </w:trPr>
        <w:tc>
          <w:tcPr>
            <w:tcW w:type="dxa" w:w="1450"/>
          </w:tcPr>
          <w:p>
            <w:pPr>
              <w:spacing w:after="0"/>
              <w:rPr>
                <w:lang w:val="id-ID"/>
              </w:rPr>
            </w:pPr>
            <w:r>
              <w:rPr>
                <w:rFonts w:ascii="Calibri" w:hAnsi="Calibri" w:eastAsia="Calibri"/>
                <w:b w:val="0"/>
                <w:sz w:val="16"/>
              </w:rPr>
              <w:t>Hazardous</w:t>
            </w:r>
          </w:p>
        </w:tc>
        <w:tc>
          <w:tcPr>
            <w:tcW w:type="dxa" w:w="4950"/>
          </w:tcPr>
          <w:p>
            <w:pPr>
              <w:spacing w:after="0"/>
              <w:rPr>
                <w:lang w:val="id-ID"/>
              </w:rPr>
            </w:pPr>
            <w:r>
              <w:rPr>
                <w:rFonts w:ascii="Calibri" w:hAnsi="Calibri" w:eastAsia="Calibri"/>
                <w:b w:val="0"/>
                <w:sz w:val="16"/>
              </w:rPr>
              <w:t>Certification test/assessment per agreed scheme</w:t>
            </w:r>
          </w:p>
        </w:tc>
        <w:tc>
          <w:tcPr>
            <w:tcW w:type="dxa" w:w="2960"/>
          </w:tcPr>
          <w:p>
            <w:pPr>
              <w:spacing w:after="0"/>
              <w:rPr>
                <w:lang w:val="id-ID"/>
              </w:rPr>
            </w:pPr>
            <w:r>
              <w:rPr>
                <w:rFonts w:ascii="Calibri" w:hAnsi="Calibri" w:eastAsia="Calibri"/>
                <w:b w:val="0"/>
                <w:sz w:val="16"/>
              </w:rPr>
              <w:t>Valid certificate/QAR/marking/drawing/BOM special conditions; not self-declared</w:t>
            </w:r>
          </w:p>
        </w:tc>
      </w:tr>
    </w:tbl>
    <w:p>
      <w:pPr>
        <w:spacing w:after="0"/>
      </w:pPr>
    </w:p>
    <w:p>
      <w:pPr>
        <w:pStyle w:val="Heading2"/>
        <w:rPr>
          <w:lang w:val="id-ID"/>
        </w:rPr>
      </w:pPr>
      <w:r>
        <w:t>14.2 SAT matrix</w:t>
      </w:r>
    </w:p>
    <w:tbl>
      <w:tblPr>
        <w:tblStyle w:val="TableGrid"/>
        <w:tblW w:type="dxa" w:w="9360"/>
        <w:jc w:val="center"/>
        <w:tblLayout w:type="fixed"/>
        <w:tblLook w:firstColumn="1" w:firstRow="1" w:lastColumn="0" w:lastRow="0" w:noHBand="0" w:noVBand="1" w:val="04A0"/>
        <w:tblInd w:w="120" w:type="dxa"/>
      </w:tblPr>
      <w:tblGrid>
        <w:gridCol w:w="1600"/>
        <w:gridCol w:w="5000"/>
        <w:gridCol w:w="2760"/>
      </w:tblGrid>
      <w:tr>
        <w:trPr>
          <w:tblHeader w:val="true"/>
          <w:cantSplit w:val="true"/>
        </w:trPr>
        <w:tc>
          <w:tcPr>
            <w:tcW w:type="dxa" w:w="16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Stage</w:t>
            </w:r>
          </w:p>
        </w:tc>
        <w:tc>
          <w:tcPr>
            <w:tcW w:type="dxa" w:w="50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Checks</w:t>
            </w:r>
          </w:p>
        </w:tc>
        <w:tc>
          <w:tcPr>
            <w:tcW w:type="dxa" w:w="27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Evidence/sign-off</w:t>
            </w:r>
          </w:p>
        </w:tc>
      </w:tr>
      <w:tr>
        <w:trPr>
          <w:cantSplit w:val="true"/>
        </w:trPr>
        <w:tc>
          <w:tcPr>
            <w:tcW w:type="dxa" w:w="1600"/>
          </w:tcPr>
          <w:p>
            <w:pPr>
              <w:spacing w:after="0"/>
              <w:rPr>
                <w:lang w:val="id-ID"/>
              </w:rPr>
            </w:pPr>
            <w:r>
              <w:rPr>
                <w:rFonts w:ascii="Calibri" w:hAnsi="Calibri" w:eastAsia="Calibri"/>
                <w:b w:val="0"/>
                <w:sz w:val="16"/>
              </w:rPr>
              <w:t>Pre-install</w:t>
            </w:r>
          </w:p>
        </w:tc>
        <w:tc>
          <w:tcPr>
            <w:tcW w:type="dxa" w:w="5000"/>
          </w:tcPr>
          <w:p>
            <w:pPr>
              <w:spacing w:after="0"/>
              <w:rPr>
                <w:lang w:val="id-ID"/>
              </w:rPr>
            </w:pPr>
            <w:r>
              <w:rPr>
                <w:rFonts w:ascii="Calibri" w:hAnsi="Calibri" w:eastAsia="Calibri"/>
                <w:b w:val="0"/>
                <w:sz w:val="16"/>
              </w:rPr>
              <w:t>Approved drawing/BOM/certificate; serial/marking; permits/JSA; classification; cable/pole/power/network readiness</w:t>
            </w:r>
          </w:p>
        </w:tc>
        <w:tc>
          <w:tcPr>
            <w:tcW w:type="dxa" w:w="2760"/>
          </w:tcPr>
          <w:p>
            <w:pPr>
              <w:spacing w:after="0"/>
              <w:rPr>
                <w:lang w:val="id-ID"/>
              </w:rPr>
            </w:pPr>
            <w:r>
              <w:rPr>
                <w:rFonts w:ascii="Calibri" w:hAnsi="Calibri" w:eastAsia="Calibri"/>
                <w:b w:val="0"/>
                <w:sz w:val="16"/>
              </w:rPr>
              <w:t>Release note and hold-point signatures</w:t>
            </w:r>
          </w:p>
        </w:tc>
      </w:tr>
      <w:tr>
        <w:trPr>
          <w:cantSplit w:val="true"/>
        </w:trPr>
        <w:tc>
          <w:tcPr>
            <w:tcW w:type="dxa" w:w="1600"/>
          </w:tcPr>
          <w:p>
            <w:pPr>
              <w:spacing w:after="0"/>
              <w:rPr>
                <w:lang w:val="id-ID"/>
              </w:rPr>
            </w:pPr>
            <w:r>
              <w:rPr>
                <w:rFonts w:ascii="Calibri" w:hAnsi="Calibri" w:eastAsia="Calibri"/>
                <w:b w:val="0"/>
                <w:sz w:val="16"/>
              </w:rPr>
              <w:t>Mechanical/electrical</w:t>
            </w:r>
          </w:p>
        </w:tc>
        <w:tc>
          <w:tcPr>
            <w:tcW w:type="dxa" w:w="5000"/>
          </w:tcPr>
          <w:p>
            <w:pPr>
              <w:spacing w:after="0"/>
              <w:rPr>
                <w:lang w:val="id-ID"/>
              </w:rPr>
            </w:pPr>
            <w:r>
              <w:rPr>
                <w:rFonts w:ascii="Calibri" w:hAnsi="Calibri" w:eastAsia="Calibri"/>
                <w:b w:val="0"/>
                <w:sz w:val="16"/>
              </w:rPr>
              <w:t>Mount/orientation/torque/load/access; gland/drip/ground/bond/surge; 24 V polarity/no-load/full-load/drop; CH panel/battery</w:t>
            </w:r>
          </w:p>
        </w:tc>
        <w:tc>
          <w:tcPr>
            <w:tcW w:type="dxa" w:w="2760"/>
          </w:tcPr>
          <w:p>
            <w:pPr>
              <w:spacing w:after="0"/>
              <w:rPr>
                <w:lang w:val="id-ID"/>
              </w:rPr>
            </w:pPr>
            <w:r>
              <w:rPr>
                <w:rFonts w:ascii="Calibri" w:hAnsi="Calibri" w:eastAsia="Calibri"/>
                <w:b w:val="0"/>
                <w:sz w:val="16"/>
              </w:rPr>
              <w:t>As-built photos/drawing, torque/power sheet</w:t>
            </w:r>
          </w:p>
        </w:tc>
      </w:tr>
      <w:tr>
        <w:trPr>
          <w:cantSplit w:val="true"/>
        </w:trPr>
        <w:tc>
          <w:tcPr>
            <w:tcW w:type="dxa" w:w="1600"/>
          </w:tcPr>
          <w:p>
            <w:pPr>
              <w:spacing w:after="0"/>
              <w:rPr>
                <w:lang w:val="id-ID"/>
              </w:rPr>
            </w:pPr>
            <w:r>
              <w:rPr>
                <w:rFonts w:ascii="Calibri" w:hAnsi="Calibri" w:eastAsia="Calibri"/>
                <w:b w:val="0"/>
                <w:sz w:val="16"/>
              </w:rPr>
              <w:t>RF/network</w:t>
            </w:r>
          </w:p>
        </w:tc>
        <w:tc>
          <w:tcPr>
            <w:tcW w:type="dxa" w:w="5000"/>
          </w:tcPr>
          <w:p>
            <w:pPr>
              <w:spacing w:after="0"/>
              <w:rPr>
                <w:lang w:val="id-ID"/>
              </w:rPr>
            </w:pPr>
            <w:r>
              <w:rPr>
                <w:rFonts w:ascii="Calibri" w:hAnsi="Calibri" w:eastAsia="Calibri"/>
                <w:b w:val="0"/>
                <w:sz w:val="16"/>
              </w:rPr>
              <w:t>Actual height/location; RSSI/SNR/PER; Gateway IP/DNS/NTP; TCP precheck; MQTT CONNACK/subscriptions/auth/ACL</w:t>
            </w:r>
          </w:p>
        </w:tc>
        <w:tc>
          <w:tcPr>
            <w:tcW w:type="dxa" w:w="2760"/>
          </w:tcPr>
          <w:p>
            <w:pPr>
              <w:spacing w:after="0"/>
              <w:rPr>
                <w:lang w:val="id-ID"/>
              </w:rPr>
            </w:pPr>
            <w:r>
              <w:rPr>
                <w:rFonts w:ascii="Calibri" w:hAnsi="Calibri" w:eastAsia="Calibri"/>
                <w:b w:val="0"/>
                <w:sz w:val="16"/>
              </w:rPr>
              <w:t>RF capture, broker log, IT sign-off</w:t>
            </w:r>
          </w:p>
        </w:tc>
      </w:tr>
      <w:tr>
        <w:trPr>
          <w:cantSplit w:val="true"/>
        </w:trPr>
        <w:tc>
          <w:tcPr>
            <w:tcW w:type="dxa" w:w="1600"/>
          </w:tcPr>
          <w:p>
            <w:pPr>
              <w:spacing w:after="0"/>
              <w:rPr>
                <w:lang w:val="id-ID"/>
              </w:rPr>
            </w:pPr>
            <w:r>
              <w:rPr>
                <w:rFonts w:ascii="Calibri" w:hAnsi="Calibri" w:eastAsia="Calibri"/>
                <w:b w:val="0"/>
                <w:sz w:val="16"/>
              </w:rPr>
              <w:t>End-to-end</w:t>
            </w:r>
          </w:p>
        </w:tc>
        <w:tc>
          <w:tcPr>
            <w:tcW w:type="dxa" w:w="5000"/>
          </w:tcPr>
          <w:p>
            <w:pPr>
              <w:spacing w:after="0"/>
              <w:rPr>
                <w:lang w:val="id-ID"/>
              </w:rPr>
            </w:pPr>
            <w:r>
              <w:rPr>
                <w:rFonts w:ascii="Calibri" w:hAnsi="Calibri" w:eastAsia="Calibri"/>
                <w:b w:val="0"/>
                <w:sz w:val="16"/>
              </w:rPr>
              <w:t>GLD1→CH→GW→broker→Node-RED→dashboard; alarm; downlink/result; timestamp/sequence; disconnect/recovery</w:t>
            </w:r>
          </w:p>
        </w:tc>
        <w:tc>
          <w:tcPr>
            <w:tcW w:type="dxa" w:w="2760"/>
          </w:tcPr>
          <w:p>
            <w:pPr>
              <w:spacing w:after="0"/>
              <w:rPr>
                <w:lang w:val="id-ID"/>
              </w:rPr>
            </w:pPr>
            <w:r>
              <w:rPr>
                <w:rFonts w:ascii="Calibri" w:hAnsi="Calibri" w:eastAsia="Calibri"/>
                <w:b w:val="0"/>
                <w:sz w:val="16"/>
              </w:rPr>
              <w:t>Correlated event pack; no false ACK</w:t>
            </w:r>
          </w:p>
        </w:tc>
      </w:tr>
      <w:tr>
        <w:trPr>
          <w:cantSplit w:val="true"/>
        </w:trPr>
        <w:tc>
          <w:tcPr>
            <w:tcW w:type="dxa" w:w="1600"/>
          </w:tcPr>
          <w:p>
            <w:pPr>
              <w:spacing w:after="0"/>
              <w:rPr>
                <w:lang w:val="id-ID"/>
              </w:rPr>
            </w:pPr>
            <w:r>
              <w:rPr>
                <w:rFonts w:ascii="Calibri" w:hAnsi="Calibri" w:eastAsia="Calibri"/>
                <w:b w:val="0"/>
                <w:sz w:val="16"/>
              </w:rPr>
              <w:t>Safety</w:t>
            </w:r>
          </w:p>
        </w:tc>
        <w:tc>
          <w:tcPr>
            <w:tcW w:type="dxa" w:w="5000"/>
          </w:tcPr>
          <w:p>
            <w:pPr>
              <w:spacing w:after="0"/>
              <w:rPr>
                <w:lang w:val="id-ID"/>
              </w:rPr>
            </w:pPr>
            <w:r>
              <w:rPr>
                <w:rFonts w:ascii="Calibri" w:hAnsi="Calibri" w:eastAsia="Calibri"/>
                <w:b w:val="0"/>
                <w:sz w:val="16"/>
              </w:rPr>
              <w:t>Certificate/config match; special conditions; initial Ex inspection; surface temperature/ground; no interference existing detector</w:t>
            </w:r>
          </w:p>
        </w:tc>
        <w:tc>
          <w:tcPr>
            <w:tcW w:type="dxa" w:w="2760"/>
          </w:tcPr>
          <w:p>
            <w:pPr>
              <w:spacing w:after="0"/>
              <w:rPr>
                <w:lang w:val="id-ID"/>
              </w:rPr>
            </w:pPr>
            <w:r>
              <w:rPr>
                <w:rFonts w:ascii="Calibri" w:hAnsi="Calibri" w:eastAsia="Calibri"/>
                <w:b w:val="0"/>
                <w:sz w:val="16"/>
              </w:rPr>
              <w:t>Competent inspector record/HSE sign-off</w:t>
            </w:r>
          </w:p>
        </w:tc>
      </w:tr>
      <w:tr>
        <w:trPr>
          <w:cantSplit w:val="true"/>
        </w:trPr>
        <w:tc>
          <w:tcPr>
            <w:tcW w:type="dxa" w:w="1600"/>
          </w:tcPr>
          <w:p>
            <w:pPr>
              <w:spacing w:after="0"/>
              <w:rPr>
                <w:lang w:val="id-ID"/>
              </w:rPr>
            </w:pPr>
            <w:r>
              <w:rPr>
                <w:rFonts w:ascii="Calibri" w:hAnsi="Calibri" w:eastAsia="Calibri"/>
                <w:b w:val="0"/>
                <w:sz w:val="16"/>
              </w:rPr>
              <w:t>Soak/handover</w:t>
            </w:r>
          </w:p>
        </w:tc>
        <w:tc>
          <w:tcPr>
            <w:tcW w:type="dxa" w:w="5000"/>
          </w:tcPr>
          <w:p>
            <w:pPr>
              <w:spacing w:after="0"/>
              <w:rPr>
                <w:lang w:val="id-ID"/>
              </w:rPr>
            </w:pPr>
            <w:r>
              <w:rPr>
                <w:rFonts w:ascii="Calibri" w:hAnsi="Calibri" w:eastAsia="Calibri"/>
                <w:b w:val="0"/>
                <w:sz w:val="16"/>
              </w:rPr>
              <w:t>24–72 h; stale/drop/reconnect; backup/restore; operator training; spares/calibration/maintenance</w:t>
            </w:r>
          </w:p>
        </w:tc>
        <w:tc>
          <w:tcPr>
            <w:tcW w:type="dxa" w:w="2760"/>
          </w:tcPr>
          <w:p>
            <w:pPr>
              <w:spacing w:after="0"/>
              <w:rPr>
                <w:lang w:val="id-ID"/>
              </w:rPr>
            </w:pPr>
            <w:r>
              <w:rPr>
                <w:rFonts w:ascii="Calibri" w:hAnsi="Calibri" w:eastAsia="Calibri"/>
                <w:b w:val="0"/>
                <w:sz w:val="16"/>
              </w:rPr>
              <w:t>Acceptance report, punch list, owners/dates</w:t>
            </w:r>
          </w:p>
        </w:tc>
      </w:tr>
    </w:tbl>
    <w:p>
      <w:pPr>
        <w:spacing w:after="0"/>
      </w:pPr>
    </w:p>
    <w:p>
      <w:pPr>
        <w:pStyle w:val="Heading2"/>
        <w:rPr>
          <w:lang w:val="id-ID"/>
        </w:rPr>
      </w:pPr>
      <w:r>
        <w:t>14.3 Evidence package per test</w:t>
      </w:r>
    </w:p>
    <w:p>
      <w:pPr>
        <w:pStyle w:val="ListBullet"/>
        <w:rPr>
          <w:lang w:val="id-ID"/>
        </w:rPr>
      </w:pPr>
      <w:r>
        <w:rPr>
          <w:rFonts w:ascii="Calibri" w:hAnsi="Calibri" w:eastAsia="Calibri"/>
        </w:rPr>
        <w:t>Test ID, requirement/source, device serial, HW/FW/flow/config revision dan hash.</w:t>
      </w:r>
    </w:p>
    <w:p>
      <w:pPr>
        <w:pStyle w:val="ListBullet"/>
        <w:rPr>
          <w:lang w:val="id-ID"/>
        </w:rPr>
      </w:pPr>
      <w:r>
        <w:rPr>
          <w:rFonts w:ascii="Calibri" w:hAnsi="Calibri" w:eastAsia="Calibri"/>
        </w:rPr>
        <w:t>Date/time/timezone, synchronized clock source, location/zone, environmental condition.</w:t>
      </w:r>
    </w:p>
    <w:p>
      <w:pPr>
        <w:pStyle w:val="ListBullet"/>
        <w:rPr>
          <w:lang w:val="id-ID"/>
        </w:rPr>
      </w:pPr>
      <w:r>
        <w:rPr>
          <w:rFonts w:ascii="Calibri" w:hAnsi="Calibri" w:eastAsia="Calibri"/>
        </w:rPr>
        <w:t>Instrument maker/model/serial/calibration status; setup drawing and cable/antenna/power details.</w:t>
      </w:r>
    </w:p>
    <w:p>
      <w:pPr>
        <w:pStyle w:val="ListBullet"/>
        <w:rPr>
          <w:lang w:val="id-ID"/>
        </w:rPr>
      </w:pPr>
      <w:r>
        <w:rPr>
          <w:rFonts w:ascii="Calibri" w:hAnsi="Calibri" w:eastAsia="Calibri"/>
        </w:rPr>
        <w:t>Raw log/capture, calculation, screenshot/photo, expected/actual, pass/fail, anomaly, retest reference.</w:t>
      </w:r>
    </w:p>
    <w:p>
      <w:pPr>
        <w:pStyle w:val="ListBullet"/>
        <w:rPr>
          <w:lang w:val="id-ID"/>
        </w:rPr>
      </w:pPr>
      <w:r>
        <w:rPr>
          <w:rFonts w:ascii="Calibri" w:hAnsi="Calibri" w:eastAsia="Calibri"/>
        </w:rPr>
        <w:t>PIC executor/reviewer, Pertamina witness/signatory, open punch item, owner, due date.</w:t>
      </w:r>
    </w:p>
    <w:p>
      <w:pPr>
        <w:pStyle w:val="ListBullet"/>
        <w:rPr>
          <w:lang w:val="id-ID"/>
        </w:rPr>
      </w:pPr>
      <w:r>
        <w:rPr>
          <w:rFonts w:ascii="Calibri" w:hAnsi="Calibri" w:eastAsia="Calibri"/>
        </w:rPr>
        <w:t>Explicit separation: static-source evidence, build evidence, hardware measurement, network/MQTT evidence, deployment revision, and field acceptance.</w:t>
      </w:r>
    </w:p>
    <w:p>
      <w:pPr>
        <w:pStyle w:val="Heading2"/>
        <w:rPr>
          <w:lang w:val="id-ID"/>
        </w:rPr>
      </w:pPr>
      <w:r>
        <w:t>14.4 Definition of readiness</w:t>
      </w:r>
    </w:p>
    <w:tbl>
      <w:tblPr>
        <w:tblStyle w:val="TableGrid"/>
        <w:tblW w:type="dxa" w:w="9360"/>
        <w:jc w:val="center"/>
        <w:tblLayout w:type="fixed"/>
        <w:tblLook w:firstColumn="1" w:firstRow="1" w:lastColumn="0" w:lastRow="0" w:noHBand="0" w:noVBand="1" w:val="04A0"/>
        <w:tblInd w:w="120" w:type="dxa"/>
      </w:tblPr>
      <w:tblGrid>
        <w:gridCol w:w="2800"/>
        <w:gridCol w:w="6560"/>
      </w:tblGrid>
      <w:tr>
        <w:trPr>
          <w:tblHeader w:val="true"/>
          <w:cantSplit w:val="true"/>
        </w:trPr>
        <w:tc>
          <w:tcPr>
            <w:tcW w:type="dxa" w:w="28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Gate</w:t>
            </w:r>
          </w:p>
        </w:tc>
        <w:tc>
          <w:tcPr>
            <w:tcW w:type="dxa" w:w="65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8"/>
              </w:rPr>
              <w:t>Ready bila</w:t>
            </w:r>
          </w:p>
        </w:tc>
      </w:tr>
      <w:tr>
        <w:trPr>
          <w:cantSplit w:val="true"/>
        </w:trPr>
        <w:tc>
          <w:tcPr>
            <w:tcW w:type="dxa" w:w="2800"/>
          </w:tcPr>
          <w:p>
            <w:pPr>
              <w:spacing w:after="0"/>
              <w:rPr>
                <w:lang w:val="id-ID"/>
              </w:rPr>
            </w:pPr>
            <w:r>
              <w:rPr>
                <w:rFonts w:ascii="Calibri" w:hAnsi="Calibri" w:eastAsia="Calibri"/>
                <w:b w:val="0"/>
                <w:sz w:val="18"/>
              </w:rPr>
              <w:t>Ready for internal design review</w:t>
            </w:r>
          </w:p>
        </w:tc>
        <w:tc>
          <w:tcPr>
            <w:tcW w:type="dxa" w:w="6560"/>
          </w:tcPr>
          <w:p>
            <w:pPr>
              <w:spacing w:after="0"/>
              <w:rPr>
                <w:lang w:val="id-ID"/>
              </w:rPr>
            </w:pPr>
            <w:r>
              <w:rPr>
                <w:rFonts w:ascii="Calibri" w:hAnsi="Calibri" w:eastAsia="Calibri"/>
                <w:b w:val="0"/>
                <w:sz w:val="18"/>
              </w:rPr>
              <w:t>This report approved; owners/dates assigned; source/BOM/drawings controlled; P0 plan funded</w:t>
            </w:r>
          </w:p>
        </w:tc>
      </w:tr>
      <w:tr>
        <w:trPr>
          <w:cantSplit w:val="true"/>
        </w:trPr>
        <w:tc>
          <w:tcPr>
            <w:tcW w:type="dxa" w:w="2800"/>
          </w:tcPr>
          <w:p>
            <w:pPr>
              <w:spacing w:after="0"/>
              <w:rPr>
                <w:lang w:val="id-ID"/>
              </w:rPr>
            </w:pPr>
            <w:r>
              <w:rPr>
                <w:rFonts w:ascii="Calibri" w:hAnsi="Calibri" w:eastAsia="Calibri"/>
                <w:b w:val="0"/>
                <w:sz w:val="18"/>
              </w:rPr>
              <w:t>Ready for non-hazardous pilot</w:t>
            </w:r>
          </w:p>
        </w:tc>
        <w:tc>
          <w:tcPr>
            <w:tcW w:type="dxa" w:w="6560"/>
          </w:tcPr>
          <w:p>
            <w:pPr>
              <w:spacing w:after="0"/>
              <w:rPr>
                <w:lang w:val="id-ID"/>
              </w:rPr>
            </w:pPr>
            <w:r>
              <w:rPr>
                <w:rFonts w:ascii="Calibri" w:hAnsi="Calibri" w:eastAsia="Calibri"/>
                <w:b w:val="0"/>
                <w:sz w:val="18"/>
              </w:rPr>
              <w:t>Pertamina written non-hazardous point; permits; FAT power/RF/network/server pass; mechanical/electrical survey closed</w:t>
            </w:r>
          </w:p>
        </w:tc>
      </w:tr>
      <w:tr>
        <w:trPr>
          <w:cantSplit w:val="true"/>
        </w:trPr>
        <w:tc>
          <w:tcPr>
            <w:tcW w:type="dxa" w:w="2800"/>
          </w:tcPr>
          <w:p>
            <w:pPr>
              <w:spacing w:after="0"/>
              <w:rPr>
                <w:lang w:val="id-ID"/>
              </w:rPr>
            </w:pPr>
            <w:r>
              <w:rPr>
                <w:rFonts w:ascii="Calibri" w:hAnsi="Calibri" w:eastAsia="Calibri"/>
                <w:b w:val="0"/>
                <w:sz w:val="18"/>
              </w:rPr>
              <w:t>Ready for classified-area installation</w:t>
            </w:r>
          </w:p>
        </w:tc>
        <w:tc>
          <w:tcPr>
            <w:tcW w:type="dxa" w:w="6560"/>
          </w:tcPr>
          <w:p>
            <w:pPr>
              <w:spacing w:after="0"/>
              <w:rPr>
                <w:lang w:val="id-ID"/>
              </w:rPr>
            </w:pPr>
            <w:r>
              <w:rPr>
                <w:rFonts w:ascii="Calibri" w:hAnsi="Calibri" w:eastAsia="Calibri"/>
                <w:b w:val="0"/>
                <w:sz w:val="18"/>
              </w:rPr>
              <w:t>Area classification + accepted complete-assembly certification + installation design + competent initial inspection + HSE/IT/site approvals</w:t>
            </w:r>
          </w:p>
        </w:tc>
      </w:tr>
      <w:tr>
        <w:trPr>
          <w:cantSplit w:val="true"/>
        </w:trPr>
        <w:tc>
          <w:tcPr>
            <w:tcW w:type="dxa" w:w="2800"/>
          </w:tcPr>
          <w:p>
            <w:pPr>
              <w:spacing w:after="0"/>
              <w:rPr>
                <w:lang w:val="id-ID"/>
              </w:rPr>
            </w:pPr>
            <w:r>
              <w:rPr>
                <w:rFonts w:ascii="Calibri" w:hAnsi="Calibri" w:eastAsia="Calibri"/>
                <w:b w:val="0"/>
                <w:sz w:val="18"/>
              </w:rPr>
              <w:t>Ready for production handover</w:t>
            </w:r>
          </w:p>
        </w:tc>
        <w:tc>
          <w:tcPr>
            <w:tcW w:type="dxa" w:w="6560"/>
          </w:tcPr>
          <w:p>
            <w:pPr>
              <w:spacing w:after="0"/>
              <w:rPr>
                <w:lang w:val="id-ID"/>
              </w:rPr>
            </w:pPr>
            <w:r>
              <w:rPr>
                <w:rFonts w:ascii="Calibri" w:hAnsi="Calibri" w:eastAsia="Calibri"/>
                <w:b w:val="0"/>
                <w:sz w:val="18"/>
              </w:rPr>
              <w:t>SAT/soak/backup/restore/security/training/spares/calibration/maintenance/ownership pass; punch list controlled</w:t>
            </w:r>
          </w:p>
        </w:tc>
      </w:tr>
    </w:tbl>
    <w:p>
      <w:pPr>
        <w:spacing w:after="0"/>
      </w:pPr>
    </w:p>
    <w:p>
      <w:pPr>
        <w:pStyle w:val="Heading1"/>
        <w:pageBreakBefore/>
        <w:rPr>
          <w:lang w:val="id-ID"/>
        </w:rPr>
      </w:pPr>
      <w:r>
        <w:t>15. Daftar sumber dan register bukti</w:t>
      </w:r>
    </w:p>
    <w:p>
      <w:pPr>
        <w:pStyle w:val="Heading2"/>
        <w:rPr>
          <w:lang w:val="id-ID"/>
        </w:rPr>
      </w:pPr>
      <w:r>
        <w:t>15.1 Sumber lokal primer</w:t>
      </w:r>
    </w:p>
    <w:tbl>
      <w:tblPr>
        <w:tblStyle w:val="TableGrid"/>
        <w:tblW w:type="dxa" w:w="9360"/>
        <w:jc w:val="center"/>
        <w:tblLayout w:type="fixed"/>
        <w:tblLook w:firstColumn="1" w:firstRow="1" w:lastColumn="0" w:lastRow="0" w:noHBand="0" w:noVBand="1" w:val="04A0"/>
        <w:tblInd w:w="120" w:type="dxa"/>
      </w:tblPr>
      <w:tblGrid>
        <w:gridCol w:w="850"/>
        <w:gridCol w:w="4300"/>
        <w:gridCol w:w="4210"/>
      </w:tblGrid>
      <w:tr>
        <w:trPr>
          <w:tblHeader w:val="true"/>
          <w:cantSplit w:val="true"/>
        </w:trPr>
        <w:tc>
          <w:tcPr>
            <w:tcW w:type="dxa" w:w="85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ID</w:t>
            </w:r>
          </w:p>
        </w:tc>
        <w:tc>
          <w:tcPr>
            <w:tcW w:type="dxa" w:w="43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Sumber</w:t>
            </w:r>
          </w:p>
        </w:tc>
        <w:tc>
          <w:tcPr>
            <w:tcW w:type="dxa" w:w="421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Penggunaan dan batas</w:t>
            </w:r>
          </w:p>
        </w:tc>
      </w:tr>
      <w:tr>
        <w:trPr>
          <w:cantSplit w:val="true"/>
        </w:trPr>
        <w:tc>
          <w:tcPr>
            <w:tcW w:type="dxa" w:w="850"/>
          </w:tcPr>
          <w:p>
            <w:pPr>
              <w:spacing w:after="0"/>
              <w:rPr>
                <w:lang w:val="id-ID"/>
              </w:rPr>
            </w:pPr>
            <w:r>
              <w:rPr>
                <w:rFonts w:ascii="Calibri" w:hAnsi="Calibri" w:eastAsia="Calibri"/>
                <w:b w:val="0"/>
                <w:sz w:val="16"/>
              </w:rPr>
              <w:t>L-01</w:t>
            </w:r>
          </w:p>
        </w:tc>
        <w:tc>
          <w:tcPr>
            <w:tcW w:type="dxa" w:w="4300"/>
          </w:tcPr>
          <w:p>
            <w:pPr>
              <w:spacing w:after="0"/>
              <w:rPr>
                <w:lang w:val="id-ID"/>
              </w:rPr>
            </w:pPr>
            <w:r>
              <w:rPr>
                <w:rFonts w:ascii="Calibri" w:hAnsi="Calibri" w:eastAsia="Calibri"/>
                <w:b w:val="0"/>
                <w:sz w:val="16"/>
              </w:rPr>
              <w:t>C:\Users\MSI\Downloads\Summary recorder 081426 .pdf</w:t>
            </w:r>
          </w:p>
        </w:tc>
        <w:tc>
          <w:tcPr>
            <w:tcW w:type="dxa" w:w="4210"/>
          </w:tcPr>
          <w:p>
            <w:pPr>
              <w:spacing w:after="0"/>
              <w:rPr>
                <w:lang w:val="id-ID"/>
              </w:rPr>
            </w:pPr>
            <w:r>
              <w:rPr>
                <w:rFonts w:ascii="Calibri" w:hAnsi="Calibri" w:eastAsia="Calibri"/>
                <w:b w:val="0"/>
                <w:sz w:val="16"/>
              </w:rPr>
              <w:t>Notulen/meeting input; bukan sertifikat atau acceptance</w:t>
            </w:r>
          </w:p>
        </w:tc>
      </w:tr>
      <w:tr>
        <w:trPr>
          <w:cantSplit w:val="true"/>
        </w:trPr>
        <w:tc>
          <w:tcPr>
            <w:tcW w:type="dxa" w:w="850"/>
          </w:tcPr>
          <w:p>
            <w:pPr>
              <w:spacing w:after="0"/>
              <w:rPr>
                <w:lang w:val="id-ID"/>
              </w:rPr>
            </w:pPr>
            <w:r>
              <w:rPr>
                <w:rFonts w:ascii="Calibri" w:hAnsi="Calibri" w:eastAsia="Calibri"/>
                <w:b w:val="0"/>
                <w:sz w:val="16"/>
              </w:rPr>
              <w:t>L-02</w:t>
            </w:r>
          </w:p>
        </w:tc>
        <w:tc>
          <w:tcPr>
            <w:tcW w:type="dxa" w:w="4300"/>
          </w:tcPr>
          <w:p>
            <w:pPr>
              <w:spacing w:after="0"/>
              <w:rPr>
                <w:lang w:val="id-ID"/>
              </w:rPr>
            </w:pPr>
            <w:r>
              <w:rPr>
                <w:rFonts w:ascii="Calibri" w:hAnsi="Calibri" w:eastAsia="Calibri"/>
                <w:b w:val="0"/>
                <w:sz w:val="16"/>
              </w:rPr>
              <w:t>C:\Users\MSI\Downloads\20260814_092122.m4a</w:t>
            </w:r>
          </w:p>
        </w:tc>
        <w:tc>
          <w:tcPr>
            <w:tcW w:type="dxa" w:w="4210"/>
          </w:tcPr>
          <w:p>
            <w:pPr>
              <w:spacing w:after="0"/>
              <w:rPr>
                <w:lang w:val="id-ID"/>
              </w:rPr>
            </w:pPr>
            <w:r>
              <w:rPr>
                <w:rFonts w:ascii="Calibri" w:hAnsi="Calibri" w:eastAsia="Calibri"/>
                <w:b w:val="0"/>
                <w:sz w:val="16"/>
              </w:rPr>
              <w:t>Audio meeting 02:15:16,693; offline ASR + cross-check; ucapan adalah meeting evidence, bukan instruksi atau certificate</w:t>
            </w:r>
          </w:p>
        </w:tc>
      </w:tr>
      <w:tr>
        <w:trPr>
          <w:cantSplit w:val="true"/>
        </w:trPr>
        <w:tc>
          <w:tcPr>
            <w:tcW w:type="dxa" w:w="850"/>
          </w:tcPr>
          <w:p>
            <w:pPr>
              <w:spacing w:after="0"/>
              <w:rPr>
                <w:lang w:val="id-ID"/>
              </w:rPr>
            </w:pPr>
            <w:r>
              <w:rPr>
                <w:rFonts w:ascii="Calibri" w:hAnsi="Calibri" w:eastAsia="Calibri"/>
                <w:b w:val="0"/>
                <w:sz w:val="16"/>
              </w:rPr>
              <w:t>L-03</w:t>
            </w:r>
          </w:p>
        </w:tc>
        <w:tc>
          <w:tcPr>
            <w:tcW w:type="dxa" w:w="4300"/>
          </w:tcPr>
          <w:p>
            <w:pPr>
              <w:spacing w:after="0"/>
              <w:rPr>
                <w:lang w:val="id-ID"/>
              </w:rPr>
            </w:pPr>
            <w:r>
              <w:rPr>
                <w:rFonts w:ascii="Calibri" w:hAnsi="Calibri" w:eastAsia="Calibri"/>
                <w:b w:val="0"/>
                <w:sz w:val="16"/>
              </w:rPr>
              <w:t>C:\Users\MSI\Downloads\cilacap\ (7 gambar unik)</w:t>
            </w:r>
          </w:p>
        </w:tc>
        <w:tc>
          <w:tcPr>
            <w:tcW w:type="dxa" w:w="4210"/>
          </w:tcPr>
          <w:p>
            <w:pPr>
              <w:spacing w:after="0"/>
              <w:rPr>
                <w:lang w:val="id-ID"/>
              </w:rPr>
            </w:pPr>
            <w:r>
              <w:rPr>
                <w:rFonts w:ascii="Calibri" w:hAnsi="Calibri" w:eastAsia="Calibri"/>
                <w:b w:val="0"/>
                <w:sz w:val="16"/>
              </w:rPr>
              <w:t>Konsep enclosure, plot map, catatan kebutuhan; bukan dimensional/Ex/RF proof</w:t>
            </w:r>
          </w:p>
        </w:tc>
      </w:tr>
      <w:tr>
        <w:trPr>
          <w:cantSplit w:val="true"/>
        </w:trPr>
        <w:tc>
          <w:tcPr>
            <w:tcW w:type="dxa" w:w="850"/>
          </w:tcPr>
          <w:p>
            <w:pPr>
              <w:spacing w:after="0"/>
              <w:rPr>
                <w:lang w:val="id-ID"/>
              </w:rPr>
            </w:pPr>
            <w:r>
              <w:rPr>
                <w:rFonts w:ascii="Calibri" w:hAnsi="Calibri" w:eastAsia="Calibri"/>
                <w:b w:val="0"/>
                <w:sz w:val="16"/>
              </w:rPr>
              <w:t>L-04</w:t>
            </w:r>
          </w:p>
        </w:tc>
        <w:tc>
          <w:tcPr>
            <w:tcW w:type="dxa" w:w="4300"/>
          </w:tcPr>
          <w:p>
            <w:pPr>
              <w:spacing w:after="0"/>
              <w:rPr>
                <w:lang w:val="id-ID"/>
              </w:rPr>
            </w:pPr>
            <w:r>
              <w:rPr>
                <w:rFonts w:ascii="Calibri" w:hAnsi="Calibri" w:eastAsia="Calibri"/>
                <w:b w:val="0"/>
                <w:sz w:val="16"/>
              </w:rPr>
              <w:t>C:\Users\MSI\Downloads\CH.zip</w:t>
            </w:r>
          </w:p>
        </w:tc>
        <w:tc>
          <w:tcPr>
            <w:tcW w:type="dxa" w:w="4210"/>
          </w:tcPr>
          <w:p>
            <w:pPr>
              <w:spacing w:after="0"/>
              <w:rPr>
                <w:lang w:val="id-ID"/>
              </w:rPr>
            </w:pPr>
            <w:r>
              <w:rPr>
                <w:rFonts w:ascii="Calibri" w:hAnsi="Calibri" w:eastAsia="Calibri"/>
                <w:b w:val="0"/>
                <w:sz w:val="16"/>
              </w:rPr>
              <w:t>Nested EasyEDA schematic/PCB inventory; static design only</w:t>
            </w:r>
          </w:p>
        </w:tc>
      </w:tr>
      <w:tr>
        <w:trPr>
          <w:cantSplit w:val="true"/>
        </w:trPr>
        <w:tc>
          <w:tcPr>
            <w:tcW w:type="dxa" w:w="850"/>
          </w:tcPr>
          <w:p>
            <w:pPr>
              <w:spacing w:after="0"/>
              <w:rPr>
                <w:lang w:val="id-ID"/>
              </w:rPr>
            </w:pPr>
            <w:r>
              <w:rPr>
                <w:rFonts w:ascii="Calibri" w:hAnsi="Calibri" w:eastAsia="Calibri"/>
                <w:b w:val="0"/>
                <w:sz w:val="16"/>
              </w:rPr>
              <w:t>L-05</w:t>
            </w:r>
          </w:p>
        </w:tc>
        <w:tc>
          <w:tcPr>
            <w:tcW w:type="dxa" w:w="4300"/>
          </w:tcPr>
          <w:p>
            <w:pPr>
              <w:spacing w:after="0"/>
              <w:rPr>
                <w:lang w:val="id-ID"/>
              </w:rPr>
            </w:pPr>
            <w:r>
              <w:rPr>
                <w:rFonts w:ascii="Calibri" w:hAnsi="Calibri" w:eastAsia="Calibri"/>
                <w:b w:val="0"/>
                <w:sz w:val="16"/>
              </w:rPr>
              <w:t>docs\wiring\gld-project-ver2-2026-07-01\source-GLD_Project.zip</w:t>
            </w:r>
          </w:p>
        </w:tc>
        <w:tc>
          <w:tcPr>
            <w:tcW w:type="dxa" w:w="4210"/>
          </w:tcPr>
          <w:p>
            <w:pPr>
              <w:spacing w:after="0"/>
              <w:rPr>
                <w:lang w:val="id-ID"/>
              </w:rPr>
            </w:pPr>
            <w:r>
              <w:rPr>
                <w:rFonts w:ascii="Calibri" w:hAnsi="Calibri" w:eastAsia="Calibri"/>
                <w:b w:val="0"/>
                <w:sz w:val="16"/>
              </w:rPr>
              <w:t>GLD1 full schematic/PCB static</w:t>
            </w:r>
          </w:p>
        </w:tc>
      </w:tr>
      <w:tr>
        <w:trPr>
          <w:cantSplit w:val="true"/>
        </w:trPr>
        <w:tc>
          <w:tcPr>
            <w:tcW w:type="dxa" w:w="850"/>
          </w:tcPr>
          <w:p>
            <w:pPr>
              <w:spacing w:after="0"/>
              <w:rPr>
                <w:lang w:val="id-ID"/>
              </w:rPr>
            </w:pPr>
            <w:r>
              <w:rPr>
                <w:rFonts w:ascii="Calibri" w:hAnsi="Calibri" w:eastAsia="Calibri"/>
                <w:b w:val="0"/>
                <w:sz w:val="16"/>
              </w:rPr>
              <w:t>L-06</w:t>
            </w:r>
          </w:p>
        </w:tc>
        <w:tc>
          <w:tcPr>
            <w:tcW w:type="dxa" w:w="4300"/>
          </w:tcPr>
          <w:p>
            <w:pPr>
              <w:spacing w:after="0"/>
              <w:rPr>
                <w:lang w:val="id-ID"/>
              </w:rPr>
            </w:pPr>
            <w:r>
              <w:rPr>
                <w:rFonts w:ascii="Calibri" w:hAnsi="Calibri" w:eastAsia="Calibri"/>
                <w:b w:val="0"/>
                <w:sz w:val="16"/>
              </w:rPr>
              <w:t>firmware\config\*.h; firmware\gld/ch/gateway\src; platformio.ini</w:t>
            </w:r>
          </w:p>
        </w:tc>
        <w:tc>
          <w:tcPr>
            <w:tcW w:type="dxa" w:w="4210"/>
          </w:tcPr>
          <w:p>
            <w:pPr>
              <w:spacing w:after="0"/>
              <w:rPr>
                <w:lang w:val="id-ID"/>
              </w:rPr>
            </w:pPr>
            <w:r>
              <w:rPr>
                <w:rFonts w:ascii="Calibri" w:hAnsi="Calibri" w:eastAsia="Calibri"/>
                <w:b w:val="0"/>
                <w:sz w:val="16"/>
              </w:rPr>
              <w:t>Current source configuration/behavior; not build/flash/runtime proof</w:t>
            </w:r>
          </w:p>
        </w:tc>
      </w:tr>
      <w:tr>
        <w:trPr>
          <w:cantSplit w:val="true"/>
        </w:trPr>
        <w:tc>
          <w:tcPr>
            <w:tcW w:type="dxa" w:w="850"/>
          </w:tcPr>
          <w:p>
            <w:pPr>
              <w:spacing w:after="0"/>
              <w:rPr>
                <w:lang w:val="id-ID"/>
              </w:rPr>
            </w:pPr>
            <w:r>
              <w:rPr>
                <w:rFonts w:ascii="Calibri" w:hAnsi="Calibri" w:eastAsia="Calibri"/>
                <w:b w:val="0"/>
                <w:sz w:val="16"/>
              </w:rPr>
              <w:t>L-07</w:t>
            </w:r>
          </w:p>
        </w:tc>
        <w:tc>
          <w:tcPr>
            <w:tcW w:type="dxa" w:w="4300"/>
          </w:tcPr>
          <w:p>
            <w:pPr>
              <w:spacing w:after="0"/>
              <w:rPr>
                <w:lang w:val="id-ID"/>
              </w:rPr>
            </w:pPr>
            <w:r>
              <w:rPr>
                <w:rFonts w:ascii="Calibri" w:hAnsi="Calibri" w:eastAsia="Calibri"/>
                <w:b w:val="0"/>
                <w:sz w:val="16"/>
              </w:rPr>
              <w:t>server\nodered\ generator/snapshot/functions/README</w:t>
            </w:r>
          </w:p>
        </w:tc>
        <w:tc>
          <w:tcPr>
            <w:tcW w:type="dxa" w:w="4210"/>
          </w:tcPr>
          <w:p>
            <w:pPr>
              <w:spacing w:after="0"/>
              <w:rPr>
                <w:lang w:val="id-ID"/>
              </w:rPr>
            </w:pPr>
            <w:r>
              <w:rPr>
                <w:rFonts w:ascii="Calibri" w:hAnsi="Calibri" w:eastAsia="Calibri"/>
                <w:b w:val="0"/>
                <w:sz w:val="16"/>
              </w:rPr>
              <w:t>Server source and read-only drift result; not live deployment proof</w:t>
            </w:r>
          </w:p>
        </w:tc>
      </w:tr>
      <w:tr>
        <w:trPr>
          <w:cantSplit w:val="true"/>
        </w:trPr>
        <w:tc>
          <w:tcPr>
            <w:tcW w:type="dxa" w:w="850"/>
          </w:tcPr>
          <w:p>
            <w:pPr>
              <w:spacing w:after="0"/>
              <w:rPr>
                <w:lang w:val="id-ID"/>
              </w:rPr>
            </w:pPr>
            <w:r>
              <w:rPr>
                <w:rFonts w:ascii="Calibri" w:hAnsi="Calibri" w:eastAsia="Calibri"/>
                <w:b w:val="0"/>
                <w:sz w:val="16"/>
              </w:rPr>
              <w:t>L-08</w:t>
            </w:r>
          </w:p>
        </w:tc>
        <w:tc>
          <w:tcPr>
            <w:tcW w:type="dxa" w:w="4300"/>
          </w:tcPr>
          <w:p>
            <w:pPr>
              <w:spacing w:after="0"/>
              <w:rPr>
                <w:lang w:val="id-ID"/>
              </w:rPr>
            </w:pPr>
            <w:r>
              <w:rPr>
                <w:rFonts w:ascii="Calibri" w:hAnsi="Calibri" w:eastAsia="Calibri"/>
                <w:b w:val="0"/>
                <w:sz w:val="16"/>
              </w:rPr>
              <w:t>docs\manual and output\pdf old architecture/task documents</w:t>
            </w:r>
          </w:p>
        </w:tc>
        <w:tc>
          <w:tcPr>
            <w:tcW w:type="dxa" w:w="4210"/>
          </w:tcPr>
          <w:p>
            <w:pPr>
              <w:spacing w:after="0"/>
              <w:rPr>
                <w:lang w:val="id-ID"/>
              </w:rPr>
            </w:pPr>
            <w:r>
              <w:rPr>
                <w:rFonts w:ascii="Calibri" w:hAnsi="Calibri" w:eastAsia="Calibri"/>
                <w:b w:val="0"/>
                <w:sz w:val="16"/>
              </w:rPr>
              <w:t>Cross-check only; new report restates all needed content</w:t>
            </w:r>
          </w:p>
        </w:tc>
      </w:tr>
    </w:tbl>
    <w:p>
      <w:pPr>
        <w:spacing w:after="0"/>
      </w:pPr>
    </w:p>
    <w:p>
      <w:pPr>
        <w:pStyle w:val="Heading2"/>
        <w:rPr>
          <w:lang w:val="id-ID"/>
        </w:rPr>
      </w:pPr>
      <w:r>
        <w:t>15.2 Current-source evidence pointers</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val="true"/>
        </w:trPr>
        <w:tc>
          <w:tcPr>
            <w:tcW w:type="dxa" w:w="230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Area</w:t>
            </w:r>
          </w:p>
        </w:tc>
        <w:tc>
          <w:tcPr>
            <w:tcW w:type="dxa" w:w="7060"/>
            <w:tcMar>
              <w:top w:w="80" w:type="dxa"/>
              <w:start w:w="120" w:type="dxa"/>
              <w:bottom w:w="80" w:type="dxa"/>
              <w:end w:w="120" w:type="dxa"/>
            </w:tcMar>
            <w:vAlign w:val="top"/>
            <w:shd w:fill="F2F4F7"/>
          </w:tcPr>
          <w:p>
            <w:pPr>
              <w:spacing w:after="0"/>
              <w:rPr>
                <w:lang w:val="id-ID"/>
              </w:rPr>
            </w:pPr>
            <w:r>
              <w:rPr>
                <w:rFonts w:ascii="Calibri" w:hAnsi="Calibri" w:eastAsia="Calibri"/>
                <w:b/>
                <w:color w:val="17365D"/>
                <w:sz w:val="16"/>
              </w:rPr>
              <w:t>Path/line pointer</w:t>
            </w:r>
          </w:p>
        </w:tc>
      </w:tr>
      <w:tr>
        <w:trPr>
          <w:cantSplit w:val="true"/>
        </w:trPr>
        <w:tc>
          <w:tcPr>
            <w:tcW w:type="dxa" w:w="2300"/>
          </w:tcPr>
          <w:p>
            <w:pPr>
              <w:spacing w:after="0"/>
              <w:rPr>
                <w:lang w:val="id-ID"/>
              </w:rPr>
            </w:pPr>
            <w:r>
              <w:rPr>
                <w:rFonts w:ascii="Calibri" w:hAnsi="Calibri" w:eastAsia="Calibri"/>
                <w:b w:val="0"/>
                <w:sz w:val="16"/>
              </w:rPr>
              <w:t>GLD1 power/profile</w:t>
            </w:r>
          </w:p>
        </w:tc>
        <w:tc>
          <w:tcPr>
            <w:tcW w:type="dxa" w:w="7060"/>
          </w:tcPr>
          <w:p>
            <w:pPr>
              <w:spacing w:after="0"/>
              <w:rPr>
                <w:lang w:val="id-ID"/>
              </w:rPr>
            </w:pPr>
            <w:r>
              <w:rPr>
                <w:rFonts w:ascii="Calibri" w:hAnsi="Calibri" w:eastAsia="Calibri"/>
                <w:b w:val="0"/>
                <w:sz w:val="16"/>
              </w:rPr>
              <w:t>firmware\gld\src\GldUnifiedMain.cpp:5428; source-GLD_Project.zip full EasyEDA schematic/PCB</w:t>
            </w:r>
          </w:p>
        </w:tc>
      </w:tr>
      <w:tr>
        <w:trPr>
          <w:cantSplit w:val="true"/>
        </w:trPr>
        <w:tc>
          <w:tcPr>
            <w:tcW w:type="dxa" w:w="2300"/>
          </w:tcPr>
          <w:p>
            <w:pPr>
              <w:spacing w:after="0"/>
              <w:rPr>
                <w:lang w:val="id-ID"/>
              </w:rPr>
            </w:pPr>
            <w:r>
              <w:rPr>
                <w:rFonts w:ascii="Calibri" w:hAnsi="Calibri" w:eastAsia="Calibri"/>
                <w:b w:val="0"/>
                <w:sz w:val="16"/>
              </w:rPr>
              <w:t>CH radio/power/runtime</w:t>
            </w:r>
          </w:p>
        </w:tc>
        <w:tc>
          <w:tcPr>
            <w:tcW w:type="dxa" w:w="7060"/>
          </w:tcPr>
          <w:p>
            <w:pPr>
              <w:spacing w:after="0"/>
              <w:rPr>
                <w:lang w:val="id-ID"/>
              </w:rPr>
            </w:pPr>
            <w:r>
              <w:rPr>
                <w:rFonts w:ascii="Calibri" w:hAnsi="Calibri" w:eastAsia="Calibri"/>
                <w:b w:val="0"/>
                <w:sz w:val="16"/>
              </w:rPr>
              <w:t>LoraStarConfig.h:13–49; LoraMeshConfig.h:13–48; ChConfig.h:35–40,77–92; ChStarMeshRuntimeMain.cpp:360–383,1054–1065</w:t>
            </w:r>
          </w:p>
        </w:tc>
      </w:tr>
      <w:tr>
        <w:trPr>
          <w:cantSplit w:val="true"/>
        </w:trPr>
        <w:tc>
          <w:tcPr>
            <w:tcW w:type="dxa" w:w="2300"/>
          </w:tcPr>
          <w:p>
            <w:pPr>
              <w:spacing w:after="0"/>
              <w:rPr>
                <w:lang w:val="id-ID"/>
              </w:rPr>
            </w:pPr>
            <w:r>
              <w:rPr>
                <w:rFonts w:ascii="Calibri" w:hAnsi="Calibri" w:eastAsia="Calibri"/>
                <w:b w:val="0"/>
                <w:sz w:val="16"/>
              </w:rPr>
              <w:t>CH active profile</w:t>
            </w:r>
          </w:p>
        </w:tc>
        <w:tc>
          <w:tcPr>
            <w:tcW w:type="dxa" w:w="7060"/>
          </w:tcPr>
          <w:p>
            <w:pPr>
              <w:spacing w:after="0"/>
              <w:rPr>
                <w:lang w:val="id-ID"/>
              </w:rPr>
            </w:pPr>
            <w:r>
              <w:rPr>
                <w:rFonts w:ascii="Calibri" w:hAnsi="Calibri" w:eastAsia="Calibri"/>
                <w:b w:val="0"/>
                <w:sz w:val="16"/>
              </w:rPr>
              <w:t>firmware\platformio.ini:287–309,332–337; ChBoardPinsCh3.h:26–31</w:t>
            </w:r>
          </w:p>
        </w:tc>
      </w:tr>
      <w:tr>
        <w:trPr>
          <w:cantSplit w:val="true"/>
        </w:trPr>
        <w:tc>
          <w:tcPr>
            <w:tcW w:type="dxa" w:w="2300"/>
          </w:tcPr>
          <w:p>
            <w:pPr>
              <w:spacing w:after="0"/>
              <w:rPr>
                <w:lang w:val="id-ID"/>
              </w:rPr>
            </w:pPr>
            <w:r>
              <w:rPr>
                <w:rFonts w:ascii="Calibri" w:hAnsi="Calibri" w:eastAsia="Calibri"/>
                <w:b w:val="0"/>
                <w:sz w:val="16"/>
              </w:rPr>
              <w:t>GW Wi-Fi/MQTT</w:t>
            </w:r>
          </w:p>
        </w:tc>
        <w:tc>
          <w:tcPr>
            <w:tcW w:type="dxa" w:w="7060"/>
          </w:tcPr>
          <w:p>
            <w:pPr>
              <w:spacing w:after="0"/>
              <w:rPr>
                <w:lang w:val="id-ID"/>
              </w:rPr>
            </w:pPr>
            <w:r>
              <w:rPr>
                <w:rFonts w:ascii="Calibri" w:hAnsi="Calibri" w:eastAsia="Calibri"/>
                <w:b w:val="0"/>
                <w:sz w:val="16"/>
              </w:rPr>
              <w:t>GatewayMqttMeshMain.cpp:238–241,636–655,797–870,1589–1686,1759–1763</w:t>
            </w:r>
          </w:p>
        </w:tc>
      </w:tr>
      <w:tr>
        <w:trPr>
          <w:cantSplit w:val="true"/>
        </w:trPr>
        <w:tc>
          <w:tcPr>
            <w:tcW w:type="dxa" w:w="2300"/>
          </w:tcPr>
          <w:p>
            <w:pPr>
              <w:spacing w:after="0"/>
              <w:rPr>
                <w:lang w:val="id-ID"/>
              </w:rPr>
            </w:pPr>
            <w:r>
              <w:rPr>
                <w:rFonts w:ascii="Calibri" w:hAnsi="Calibri" w:eastAsia="Calibri"/>
                <w:b w:val="0"/>
                <w:sz w:val="16"/>
              </w:rPr>
              <w:t>GW config</w:t>
            </w:r>
          </w:p>
        </w:tc>
        <w:tc>
          <w:tcPr>
            <w:tcW w:type="dxa" w:w="7060"/>
          </w:tcPr>
          <w:p>
            <w:pPr>
              <w:spacing w:after="0"/>
              <w:rPr>
                <w:lang w:val="id-ID"/>
              </w:rPr>
            </w:pPr>
            <w:r>
              <w:rPr>
                <w:rFonts w:ascii="Calibri" w:hAnsi="Calibri" w:eastAsia="Calibri"/>
                <w:b w:val="0"/>
                <w:sz w:val="16"/>
              </w:rPr>
              <w:t>ServerConfig.h:36–64; GwConfig.h:19–35; FirmwareVersion.h:5–14; platformio.ini:363–380</w:t>
            </w:r>
          </w:p>
        </w:tc>
      </w:tr>
      <w:tr>
        <w:trPr>
          <w:cantSplit w:val="true"/>
        </w:trPr>
        <w:tc>
          <w:tcPr>
            <w:tcW w:type="dxa" w:w="2300"/>
          </w:tcPr>
          <w:p>
            <w:pPr>
              <w:spacing w:after="0"/>
              <w:rPr>
                <w:lang w:val="id-ID"/>
              </w:rPr>
            </w:pPr>
            <w:r>
              <w:rPr>
                <w:rFonts w:ascii="Calibri" w:hAnsi="Calibri" w:eastAsia="Calibri"/>
                <w:b w:val="0"/>
                <w:sz w:val="16"/>
              </w:rPr>
              <w:t>Server security/drift</w:t>
            </w:r>
          </w:p>
        </w:tc>
        <w:tc>
          <w:tcPr>
            <w:tcW w:type="dxa" w:w="7060"/>
          </w:tcPr>
          <w:p>
            <w:pPr>
              <w:spacing w:after="0"/>
              <w:rPr>
                <w:lang w:val="id-ID"/>
              </w:rPr>
            </w:pPr>
            <w:r>
              <w:rPr>
                <w:rFonts w:ascii="Calibri" w:hAnsi="Calibri" w:eastAsia="Calibri"/>
                <w:b w:val="0"/>
                <w:sz w:val="16"/>
              </w:rPr>
              <w:t>apply-pertamina-gld-flow.js:105–116,2212–2224,2272–2288; pertamina-gld-decode.js:1023–1130</w:t>
            </w:r>
          </w:p>
        </w:tc>
      </w:tr>
      <w:tr>
        <w:trPr>
          <w:cantSplit w:val="true"/>
        </w:trPr>
        <w:tc>
          <w:tcPr>
            <w:tcW w:type="dxa" w:w="2300"/>
          </w:tcPr>
          <w:p>
            <w:pPr>
              <w:spacing w:after="0"/>
              <w:rPr>
                <w:lang w:val="id-ID"/>
              </w:rPr>
            </w:pPr>
            <w:r>
              <w:rPr>
                <w:rFonts w:ascii="Calibri" w:hAnsi="Calibri" w:eastAsia="Calibri"/>
                <w:b w:val="0"/>
                <w:sz w:val="16"/>
              </w:rPr>
              <w:t>Server capability</w:t>
            </w:r>
          </w:p>
        </w:tc>
        <w:tc>
          <w:tcPr>
            <w:tcW w:type="dxa" w:w="7060"/>
          </w:tcPr>
          <w:p>
            <w:pPr>
              <w:spacing w:after="0"/>
              <w:rPr>
                <w:lang w:val="id-ID"/>
              </w:rPr>
            </w:pPr>
            <w:r>
              <w:rPr>
                <w:rFonts w:ascii="Calibri" w:hAnsi="Calibri" w:eastAsia="Calibri"/>
                <w:b w:val="0"/>
                <w:sz w:val="16"/>
              </w:rPr>
              <w:t>server\nodered\README.md:1–98; apply-pertamina-gld-dataset-flow.ps1:1–16,32–53</w:t>
            </w:r>
          </w:p>
        </w:tc>
      </w:tr>
    </w:tbl>
    <w:p>
      <w:pPr>
        <w:spacing w:after="0"/>
      </w:pPr>
    </w:p>
    <w:p>
      <w:pPr>
        <w:pStyle w:val="Heading2"/>
        <w:rPr>
          <w:lang w:val="id-ID"/>
        </w:rPr>
      </w:pPr>
      <w:r>
        <w:t>15.3 Sumber primer vendor/standard</w:t>
      </w:r>
    </w:p>
    <w:p>
      <w:pPr>
        <w:pStyle w:val="SmallNote"/>
        <w:rPr>
          <w:lang w:val="id-ID"/>
        </w:rPr>
      </w:pPr>
      <w:r>
        <w:rPr>
          <w:rFonts w:ascii="Calibri" w:hAnsi="Calibri" w:eastAsia="Calibri"/>
          <w:b/>
          <w:color w:val="243447"/>
          <w:sz w:val="18"/>
        </w:rPr>
        <w:t xml:space="preserve">R-01  ATEX Directive 2014/34/EU: </w:t>
      </w:r>
      <w:hyperlink r:id="rId15">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R-02  Workplace explosive atmospheres Directive 1999/92/EC: </w:t>
      </w:r>
      <w:hyperlink r:id="rId16">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R-03  IECEx Certified Equipment Scheme overview: </w:t>
      </w:r>
      <w:hyperlink r:id="rId17">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R-04  IECEx FAQ / certificate verification guidance: </w:t>
      </w:r>
      <w:hyperlink r:id="rId18">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R-05  IEC 60079-10-1:2020 area classification: </w:t>
      </w:r>
      <w:hyperlink r:id="rId19">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R-06  IEC 60079-14:2024 design, selection, installation, initial inspection: </w:t>
      </w:r>
      <w:hyperlink r:id="rId20">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R-07  IEC 60079-0:2026 general requirements: </w:t>
      </w:r>
      <w:hyperlink r:id="rId21">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R-08  IEC 60079-1 flameproof enclosure d: </w:t>
      </w:r>
      <w:hyperlink r:id="rId22">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R-09  IEC 60079-11:2023 intrinsic safety: </w:t>
      </w:r>
      <w:hyperlink r:id="rId23">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R-10  IEC 60079-17 inspection/maintenance: </w:t>
      </w:r>
      <w:hyperlink r:id="rId24">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R-11  BSN SNI IEC 60079 catalog: </w:t>
      </w:r>
      <w:hyperlink r:id="rId25">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R-12  NIST SP 800-82 Rev.3 OT Security: </w:t>
      </w:r>
      <w:hyperlink r:id="rId26">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R-13  OASIS MQTT Version 5.0: </w:t>
      </w:r>
      <w:hyperlink r:id="rId27">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R-14  TI BQ25185 datasheet: </w:t>
      </w:r>
      <w:hyperlink r:id="rId28">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R-15  TI TPS63020: </w:t>
      </w:r>
      <w:hyperlink r:id="rId29">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R-16  TI LMR51450: </w:t>
      </w:r>
      <w:hyperlink r:id="rId30">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R-17  Littelfuse miniSMDC resettable PTC datasheet: </w:t>
      </w:r>
      <w:hyperlink r:id="rId31">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R-18  Espressif ESP32-S3-WROOM-1/1U datasheet: </w:t>
      </w:r>
      <w:hyperlink r:id="rId32">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R-19  EBYTE E22-900MM22S: </w:t>
      </w:r>
      <w:hyperlink r:id="rId33">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R-20  IEC 62133-2 battery safety: </w:t>
      </w:r>
      <w:hyperlink r:id="rId34">
        <w:r>
          <w:rPr>
            <w:color w:val="2E74B5"/>
            <w:u w:val="single"/>
            <w:rFonts w:ascii="Calibri" w:hAnsi="Calibri"/>
          </w:rPr>
          <w:t>Open official source</w:t>
        </w:r>
      </w:hyperlink>
    </w:p>
    <w:p>
      <w:pPr>
        <w:pStyle w:val="SmallNote"/>
        <w:rPr>
          <w:lang w:val="id-ID"/>
        </w:rPr>
      </w:pPr>
      <w:r>
        <w:rPr>
          <w:rFonts w:ascii="Calibri" w:hAnsi="Calibri" w:eastAsia="Calibri"/>
          <w:b/>
          <w:color w:val="243447"/>
          <w:sz w:val="18"/>
        </w:rPr>
        <w:t xml:space="preserve">R-21  UN 38.3 test summary resources: </w:t>
      </w:r>
      <w:hyperlink r:id="rId35">
        <w:r>
          <w:rPr>
            <w:color w:val="2E74B5"/>
            <w:u w:val="single"/>
            <w:rFonts w:ascii="Calibri" w:hAnsi="Calibri"/>
          </w:rPr>
          <w:t>Open official source</w:t>
        </w:r>
      </w:hyperlink>
    </w:p>
    <w:p>
      <w:pPr>
        <w:pStyle w:val="Heading2"/>
        <w:rPr>
          <w:lang w:val="id-ID"/>
        </w:rPr>
      </w:pPr>
      <w:r>
        <w:t>15.4 MQ reference datasheets</w:t>
      </w:r>
    </w:p>
    <w:p>
      <w:pPr>
        <w:pStyle w:val="SmallNote"/>
        <w:rPr>
          <w:lang w:val="id-ID"/>
        </w:rPr>
      </w:pPr>
      <w:r>
        <w:rPr>
          <w:rFonts w:ascii="Calibri" w:hAnsi="Calibri" w:eastAsia="Calibri"/>
          <w:b/>
          <w:color w:val="243447"/>
          <w:sz w:val="18"/>
        </w:rPr>
        <w:t xml:space="preserve">Winsen MQ-2: </w:t>
      </w:r>
      <w:hyperlink r:id="rId36">
        <w:r>
          <w:rPr>
            <w:color w:val="2E74B5"/>
            <w:u w:val="single"/>
            <w:rFonts w:ascii="Calibri" w:hAnsi="Calibri"/>
          </w:rPr>
          <w:t>Open vendor datasheet</w:t>
        </w:r>
      </w:hyperlink>
    </w:p>
    <w:p>
      <w:pPr>
        <w:pStyle w:val="SmallNote"/>
        <w:rPr>
          <w:lang w:val="id-ID"/>
        </w:rPr>
      </w:pPr>
      <w:r>
        <w:rPr>
          <w:rFonts w:ascii="Calibri" w:hAnsi="Calibri" w:eastAsia="Calibri"/>
          <w:b/>
          <w:color w:val="243447"/>
          <w:sz w:val="18"/>
        </w:rPr>
        <w:t xml:space="preserve">Winsen MQ-3B: </w:t>
      </w:r>
      <w:hyperlink r:id="rId37">
        <w:r>
          <w:rPr>
            <w:color w:val="2E74B5"/>
            <w:u w:val="single"/>
            <w:rFonts w:ascii="Calibri" w:hAnsi="Calibri"/>
          </w:rPr>
          <w:t>Open vendor datasheet</w:t>
        </w:r>
      </w:hyperlink>
    </w:p>
    <w:p>
      <w:pPr>
        <w:pStyle w:val="SmallNote"/>
        <w:rPr>
          <w:lang w:val="id-ID"/>
        </w:rPr>
      </w:pPr>
      <w:r>
        <w:rPr>
          <w:rFonts w:ascii="Calibri" w:hAnsi="Calibri" w:eastAsia="Calibri"/>
          <w:b/>
          <w:color w:val="243447"/>
          <w:sz w:val="18"/>
        </w:rPr>
        <w:t xml:space="preserve">Winsen MQ-4: </w:t>
      </w:r>
      <w:hyperlink r:id="rId38">
        <w:r>
          <w:rPr>
            <w:color w:val="2E74B5"/>
            <w:u w:val="single"/>
            <w:rFonts w:ascii="Calibri" w:hAnsi="Calibri"/>
          </w:rPr>
          <w:t>Open vendor datasheet</w:t>
        </w:r>
      </w:hyperlink>
    </w:p>
    <w:p>
      <w:pPr>
        <w:pStyle w:val="SmallNote"/>
        <w:rPr>
          <w:lang w:val="id-ID"/>
        </w:rPr>
      </w:pPr>
      <w:r>
        <w:rPr>
          <w:rFonts w:ascii="Calibri" w:hAnsi="Calibri" w:eastAsia="Calibri"/>
          <w:b/>
          <w:color w:val="243447"/>
          <w:sz w:val="18"/>
        </w:rPr>
        <w:t xml:space="preserve">Winsen MQ-5: </w:t>
      </w:r>
      <w:hyperlink r:id="rId39">
        <w:r>
          <w:rPr>
            <w:color w:val="2E74B5"/>
            <w:u w:val="single"/>
            <w:rFonts w:ascii="Calibri" w:hAnsi="Calibri"/>
          </w:rPr>
          <w:t>Open vendor datasheet</w:t>
        </w:r>
      </w:hyperlink>
    </w:p>
    <w:p>
      <w:pPr>
        <w:pStyle w:val="SmallNote"/>
        <w:rPr>
          <w:lang w:val="id-ID"/>
        </w:rPr>
      </w:pPr>
      <w:r>
        <w:rPr>
          <w:rFonts w:ascii="Calibri" w:hAnsi="Calibri" w:eastAsia="Calibri"/>
          <w:b/>
          <w:color w:val="243447"/>
          <w:sz w:val="18"/>
        </w:rPr>
        <w:t xml:space="preserve">Winsen MQ-6: </w:t>
      </w:r>
      <w:hyperlink r:id="rId40">
        <w:r>
          <w:rPr>
            <w:color w:val="2E74B5"/>
            <w:u w:val="single"/>
            <w:rFonts w:ascii="Calibri" w:hAnsi="Calibri"/>
          </w:rPr>
          <w:t>Open vendor datasheet</w:t>
        </w:r>
      </w:hyperlink>
    </w:p>
    <w:p>
      <w:pPr>
        <w:pStyle w:val="SmallNote"/>
        <w:rPr>
          <w:lang w:val="id-ID"/>
        </w:rPr>
      </w:pPr>
      <w:r>
        <w:rPr>
          <w:rFonts w:ascii="Calibri" w:hAnsi="Calibri" w:eastAsia="Calibri"/>
          <w:b/>
          <w:color w:val="243447"/>
          <w:sz w:val="18"/>
        </w:rPr>
        <w:t xml:space="preserve">Winsen MQ-7B: </w:t>
      </w:r>
      <w:hyperlink r:id="rId41">
        <w:r>
          <w:rPr>
            <w:color w:val="2E74B5"/>
            <w:u w:val="single"/>
            <w:rFonts w:ascii="Calibri" w:hAnsi="Calibri"/>
          </w:rPr>
          <w:t>Open vendor datasheet</w:t>
        </w:r>
      </w:hyperlink>
    </w:p>
    <w:p>
      <w:pPr>
        <w:pStyle w:val="SmallNote"/>
        <w:rPr>
          <w:lang w:val="id-ID"/>
        </w:rPr>
      </w:pPr>
      <w:r>
        <w:rPr>
          <w:rFonts w:ascii="Calibri" w:hAnsi="Calibri" w:eastAsia="Calibri"/>
          <w:b/>
          <w:color w:val="243447"/>
          <w:sz w:val="18"/>
        </w:rPr>
        <w:t xml:space="preserve">Winsen MQ-8: </w:t>
      </w:r>
      <w:hyperlink r:id="rId42">
        <w:r>
          <w:rPr>
            <w:color w:val="2E74B5"/>
            <w:u w:val="single"/>
            <w:rFonts w:ascii="Calibri" w:hAnsi="Calibri"/>
          </w:rPr>
          <w:t>Open vendor datasheet</w:t>
        </w:r>
      </w:hyperlink>
    </w:p>
    <w:p>
      <w:pPr>
        <w:pStyle w:val="SmallNote"/>
        <w:rPr>
          <w:lang w:val="id-ID"/>
        </w:rPr>
      </w:pPr>
      <w:r>
        <w:rPr>
          <w:rFonts w:ascii="Calibri" w:hAnsi="Calibri" w:eastAsia="Calibri"/>
          <w:b/>
          <w:color w:val="243447"/>
          <w:sz w:val="18"/>
        </w:rPr>
        <w:t xml:space="preserve">Winsen MQ135: </w:t>
      </w:r>
      <w:hyperlink r:id="rId43">
        <w:r>
          <w:rPr>
            <w:color w:val="2E74B5"/>
            <w:u w:val="single"/>
            <w:rFonts w:ascii="Calibri" w:hAnsi="Calibri"/>
          </w:rPr>
          <w:t>Open vendor datasheet</w:t>
        </w:r>
      </w:hyperlink>
    </w:p>
    <w:p>
      <w:pPr>
        <w:pStyle w:val="SmallNote"/>
        <w:rPr>
          <w:lang w:val="id-ID"/>
        </w:rPr>
      </w:pPr>
      <w:r>
        <w:rPr>
          <w:rFonts w:ascii="Calibri" w:hAnsi="Calibri" w:eastAsia="Calibri"/>
        </w:rPr>
        <w:t>Semua MQ source di atas hanya reference candidate. Manufacturer/MPN/variant/lot yang benar-benar terpasang belum ditemukan pada EasyEDA/BOM/repo.</w:t>
      </w:r>
    </w:p>
    <w:p>
      <w:pPr>
        <w:pStyle w:val="Heading2"/>
        <w:rPr>
          <w:lang w:val="id-ID"/>
        </w:rPr>
      </w:pPr>
      <w:r>
        <w:t>15.5 Pernyataan akhir audit</w:t>
      </w:r>
    </w:p>
    <w:tbl>
      <w:tblPr>
        <w:tblW w:type="dxa" w:w="9360"/>
        <w:jc w:val="center"/>
        <w:tblLayout w:type="fixed"/>
        <w:tblLook w:firstColumn="1" w:firstRow="1" w:lastColumn="0" w:lastRow="0" w:noHBand="0" w:noVBand="1" w:val="04A0"/>
        <w:tblInd w:w="120" w:type="dxa"/>
        <w:tblBorders>
          <w:top w:val="nil"/>
          <w:left w:val="nil"/>
          <w:bottom w:val="nil"/>
          <w:right w:val="nil"/>
          <w:insideH w:val="nil"/>
          <w:insideV w:val="nil"/>
        </w:tblBorders>
      </w:tblPr>
      <w:tblGrid>
        <w:gridCol w:w="9360"/>
      </w:tblGrid>
      <w:tr>
        <w:trPr>
          <w:tblHeader w:val="true"/>
          <w:cantSplit w:val="true"/>
        </w:trPr>
        <w:tc>
          <w:tcPr>
            <w:tcW w:type="dxa" w:w="9360"/>
            <w:tcMar>
              <w:top w:w="140" w:type="dxa"/>
              <w:start w:w="120" w:type="dxa"/>
              <w:bottom w:w="140" w:type="dxa"/>
              <w:end w:w="120" w:type="dxa"/>
            </w:tcMar>
            <w:vAlign w:val="top"/>
            <w:shd w:fill="EEF5FB"/>
          </w:tcPr>
          <w:p>
            <w:pPr>
              <w:spacing w:after="40"/>
              <w:rPr>
                <w:lang w:val="id-ID"/>
              </w:rPr>
            </w:pPr>
            <w:r>
              <w:rPr>
                <w:rFonts w:ascii="Calibri" w:hAnsi="Calibri" w:eastAsia="Calibri"/>
                <w:b/>
                <w:color w:val="1F4D78"/>
                <w:sz w:val="20"/>
              </w:rPr>
              <w:t xml:space="preserve">TRACEABILITY  </w:t>
            </w:r>
            <w:r>
              <w:rPr>
                <w:rFonts w:ascii="Calibri" w:hAnsi="Calibri" w:eastAsia="Calibri"/>
                <w:color w:val="243447"/>
                <w:sz w:val="20"/>
              </w:rPr>
              <w:t>Setiap klaim final harus menunjuk salah satu: controlled source, controlled drawing/BOM, build artifact, measurement record, network/broker log, deployment revision, certificate database, atau signed FAT/SAT. Ketika evidence itu belum ada, status tetap TBD/NO-PROOF—bukan diasumsikan lulus.</w:t>
            </w:r>
          </w:p>
        </w:tc>
      </w:tr>
    </w:tbl>
    <w:p>
      <w:pPr>
        <w:spacing w:after="0"/>
      </w:pPr>
    </w:p>
    <w:p>
      <w:pPr>
        <w:pStyle w:val="SmallNote"/>
        <w:jc w:val="center"/>
        <w:rPr>
          <w:lang w:val="id-ID"/>
        </w:rPr>
      </w:pPr>
      <w:r>
        <w:rPr>
          <w:rFonts w:ascii="Calibri" w:hAnsi="Calibri" w:eastAsia="Calibri"/>
        </w:rPr>
        <w:t>— Akhir laporan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rPr>
        <w:lang w:val="id-ID"/>
      </w:rPr>
    </w:pPr>
    <w:r>
      <w:rPr>
        <w:rFonts w:ascii="Calibri" w:hAnsi="Calibri" w:eastAsia="Calibri"/>
        <w:color w:val="6B7785"/>
        <w:sz w:val="16"/>
      </w:rPr>
      <w:t xml:space="preserve">Internal • 18 Agustus 2026  |  </w:t>
    </w:r>
    <w:r>
      <w:rPr>
        <w:rFonts w:ascii="Calibri" w:hAnsi="Calibri" w:eastAsia="Calibri"/>
        <w:color w:val="6B7785"/>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rPr>
        <w:lang w:val="id-ID"/>
      </w:rPr>
    </w:pPr>
    <w:r>
      <w:rPr>
        <w:rFonts w:ascii="Calibri" w:hAnsi="Calibri" w:eastAsia="Calibri"/>
        <w:b/>
        <w:color w:val="6B7785"/>
        <w:sz w:val="16"/>
      </w:rPr>
      <w:t>PERTAMINAGLD  |  LAPORAN INTERNAL CILACAP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lvlJc w:val="left"/>
      <w:pPr>
        <w:tabs>
          <w:tab w:val="num" w:pos="720"/>
        </w:tabs>
        <w:ind w:left="720" w:hanging="360"/>
      </w:pPr>
    </w:lvl>
  </w:abstractNum>
  <w:abstractNum w:abstractNumId="10">
    <w:multiLevelType w:val="singleLevel"/>
    <w:lvl w:ilvl="0">
      <w:start w:val="1"/>
      <w:numFmt w:val="decimal"/>
      <w:lvlText w:val="%1."/>
      <w:suff w:val="tab"/>
      <w:lvlJc w:val="left"/>
      <w:pPr>
        <w:tabs>
          <w:tab w:val="num" w:pos="720"/>
        </w:tabs>
        <w:ind w:left="720" w:hanging="360"/>
      </w:pPr>
    </w:lvl>
  </w:abstractNum>
  <w:abstractNum w:abstractNumId="11">
    <w:multiLevelType w:val="singleLevel"/>
    <w:lvl w:ilvl="0">
      <w:start w:val="1"/>
      <w:numFmt w:val="decimal"/>
      <w:lvlText w:val="%1."/>
      <w:suff w:val="tab"/>
      <w:lvlJc w:val="left"/>
      <w:pPr>
        <w:tabs>
          <w:tab w:val="num" w:pos="720"/>
        </w:tabs>
        <w:ind w:left="720" w:hanging="360"/>
      </w:pPr>
    </w:lvl>
  </w:abstractNum>
  <w:abstractNum w:abstractNumId="12">
    <w:multiLevelType w:val="singleLevel"/>
    <w:lvl w:ilvl="0">
      <w:start w:val="1"/>
      <w:numFmt w:val="decimal"/>
      <w:lvlText w:val="%1."/>
      <w:suff w:val="tab"/>
      <w:lvlJc w:val="left"/>
      <w:pPr>
        <w:tabs>
          <w:tab w:val="num" w:pos="720"/>
        </w:tabs>
        <w:ind w:left="720" w:hanging="360"/>
      </w:pPr>
    </w:lvl>
  </w:abstractNum>
  <w:abstractNum w:abstractNumId="13">
    <w:multiLevelType w:val="singleLevel"/>
    <w:lvl w:ilvl="0">
      <w:start w:val="1"/>
      <w:numFmt w:val="decimal"/>
      <w:lvlText w:val="%1."/>
      <w:suff w:val="tab"/>
      <w:lvlJc w:val="left"/>
      <w:pPr>
        <w:tabs>
          <w:tab w:val="num" w:pos="720"/>
        </w:tabs>
        <w:ind w:left="720" w:hanging="360"/>
      </w:pPr>
    </w:lvl>
  </w:abstractNum>
  <w:abstractNum w:abstractNumId="14">
    <w:multiLevelType w:val="singleLevel"/>
    <w:lvl w:ilvl="0">
      <w:start w:val="1"/>
      <w:numFmt w:val="decimal"/>
      <w:lvlText w:val="%1."/>
      <w:suff w:val="tab"/>
      <w:lvlJc w:val="left"/>
      <w:pPr>
        <w:tabs>
          <w:tab w:val="num" w:pos="720"/>
        </w:tabs>
        <w:ind w:left="720" w:hanging="360"/>
      </w:pPr>
    </w:lvl>
  </w:abstractNum>
  <w:abstractNum w:abstractNumId="15">
    <w:multiLevelType w:val="singleLevel"/>
    <w:lvl w:ilvl="0">
      <w:start w:val="1"/>
      <w:numFmt w:val="decimal"/>
      <w:lvlText w:val="%1."/>
      <w:suff w:val="tab"/>
      <w:lvlJc w:val="left"/>
      <w:pPr>
        <w:tabs>
          <w:tab w:val="num" w:pos="720"/>
        </w:tabs>
        <w:ind w:left="720" w:hanging="360"/>
      </w:pPr>
    </w:lvl>
  </w:abstractNum>
  <w:abstractNum w:abstractNumId="16">
    <w:multiLevelType w:val="singleLevel"/>
    <w:lvl w:ilvl="0">
      <w:start w:val="1"/>
      <w:numFmt w:val="decimal"/>
      <w:lvlText w:val="%1."/>
      <w:suff w:val="tab"/>
      <w:lvlJc w:val="left"/>
      <w:pPr>
        <w:tabs>
          <w:tab w:val="num" w:pos="720"/>
        </w:tabs>
        <w:ind w:left="720" w:hanging="360"/>
      </w:pPr>
    </w:lvl>
  </w:abstractNum>
  <w:abstractNum w:abstractNumId="17">
    <w:multiLevelType w:val="singleLevel"/>
    <w:lvl w:ilvl="0">
      <w:start w:val="1"/>
      <w:numFmt w:val="decimal"/>
      <w:lvlText w:val="%1."/>
      <w:suff w:val="tab"/>
      <w:lvlJc w:val="left"/>
      <w:pPr>
        <w:tabs>
          <w:tab w:val="num" w:pos="720"/>
        </w:tabs>
        <w:ind w:left="720" w:hanging="360"/>
      </w:pPr>
    </w:lvl>
  </w:abstractNum>
  <w:abstractNum w:abstractNumId="18">
    <w:multiLevelType w:val="singleLevel"/>
    <w:lvl w:ilvl="0">
      <w:start w:val="1"/>
      <w:numFmt w:val="decimal"/>
      <w:lvlText w:val="%1."/>
      <w:suff w:val="tab"/>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Calibri" w:hAnsi="Calibri" w:eastAsia="Calibri"/>
      <w:b w:val="0"/>
      <w: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80" w:after="200"/>
    </w:pPr>
    <w:rPr>
      <w:rFonts w:ascii="Calibri" w:hAnsi="Calibri" w:eastAsia="Calibri"/>
      <w:i/>
      <w:color w:val="5B6573"/>
      <w:sz w:val="18"/>
    </w:rPr>
  </w:style>
  <w:style w:type="paragraph" w:customStyle="1" w:styleId="SmallNote">
    <w:name w:val="Small Note"/>
    <w:pPr>
      <w:spacing w:after="80"/>
    </w:pPr>
    <w:rPr>
      <w:rFonts w:ascii="Calibri" w:hAnsi="Calibri" w:eastAsia="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hyperlink" Target="https://eur-lex.europa.eu/eli/dir/2014/34" TargetMode="External"/><Relationship Id="rId16" Type="http://schemas.openxmlformats.org/officeDocument/2006/relationships/hyperlink" Target="https://eur-lex.europa.eu/eli/dir/1999/92/oj" TargetMode="External"/><Relationship Id="rId17" Type="http://schemas.openxmlformats.org/officeDocument/2006/relationships/hyperlink" Target="https://www.iecex.com/certified-equipment-scheme/overview/" TargetMode="External"/><Relationship Id="rId18" Type="http://schemas.openxmlformats.org/officeDocument/2006/relationships/hyperlink" Target="https://www.iecex.com/resources-and-news/frequently-asked-questions/" TargetMode="External"/><Relationship Id="rId19" Type="http://schemas.openxmlformats.org/officeDocument/2006/relationships/hyperlink" Target="https://webstore.iec.ch/en/publication/63327" TargetMode="External"/><Relationship Id="rId20" Type="http://schemas.openxmlformats.org/officeDocument/2006/relationships/hyperlink" Target="https://webstore.iec.ch/en/publication/66049" TargetMode="External"/><Relationship Id="rId21" Type="http://schemas.openxmlformats.org/officeDocument/2006/relationships/hyperlink" Target="https://webstore.iec.ch/en/publication/71519" TargetMode="External"/><Relationship Id="rId22" Type="http://schemas.openxmlformats.org/officeDocument/2006/relationships/hyperlink" Target="https://webstore.iec.ch/en/publication/621" TargetMode="External"/><Relationship Id="rId23" Type="http://schemas.openxmlformats.org/officeDocument/2006/relationships/hyperlink" Target="https://webstore.iec.ch/en/publication/60654" TargetMode="External"/><Relationship Id="rId24" Type="http://schemas.openxmlformats.org/officeDocument/2006/relationships/hyperlink" Target="https://webstore.iec.ch/en/publication/631" TargetMode="External"/><Relationship Id="rId25" Type="http://schemas.openxmlformats.org/officeDocument/2006/relationships/hyperlink" Target="https://pesta.bsn.go.id/produk/index/471" TargetMode="External"/><Relationship Id="rId26" Type="http://schemas.openxmlformats.org/officeDocument/2006/relationships/hyperlink" Target="https://csrc.nist.gov/pubs/sp/800/82/r3/final" TargetMode="External"/><Relationship Id="rId27" Type="http://schemas.openxmlformats.org/officeDocument/2006/relationships/hyperlink" Target="https://docs.oasis-open.org/mqtt/mqtt/v5.0/mqtt-v5.0.html" TargetMode="External"/><Relationship Id="rId28" Type="http://schemas.openxmlformats.org/officeDocument/2006/relationships/hyperlink" Target="https://www.ti.com/lit/ds/symlink/bq25185.pdf" TargetMode="External"/><Relationship Id="rId29" Type="http://schemas.openxmlformats.org/officeDocument/2006/relationships/hyperlink" Target="https://www.ti.com/product/TPS63020" TargetMode="External"/><Relationship Id="rId30" Type="http://schemas.openxmlformats.org/officeDocument/2006/relationships/hyperlink" Target="https://www.ti.com/product/LMR51450" TargetMode="External"/><Relationship Id="rId31" Type="http://schemas.openxmlformats.org/officeDocument/2006/relationships/hyperlink" Target="https://m.littelfuse.com/~/media/electronics/datasheets/resettable_ptcs/littelfuse_ptc_minismdc_datasheet.pdf.pdf" TargetMode="External"/><Relationship Id="rId32" Type="http://schemas.openxmlformats.org/officeDocument/2006/relationships/hyperlink" Target="https://documentation.espressif.com/esp32-s3-wroom-1_wroom-1u_datasheet_en.pdf" TargetMode="External"/><Relationship Id="rId33" Type="http://schemas.openxmlformats.org/officeDocument/2006/relationships/hyperlink" Target="https://www.cdebyte.com/products/E22-900MM22S" TargetMode="External"/><Relationship Id="rId34" Type="http://schemas.openxmlformats.org/officeDocument/2006/relationships/hyperlink" Target="https://webstore.iec.ch/en/publication/32662" TargetMode="External"/><Relationship Id="rId35" Type="http://schemas.openxmlformats.org/officeDocument/2006/relationships/hyperlink" Target="https://unece.org/transport/dangerous-goods/rev8-files" TargetMode="External"/><Relationship Id="rId36" Type="http://schemas.openxmlformats.org/officeDocument/2006/relationships/hyperlink" Target="https://www.winsen-sensor.com/d/files/manual/mq-2.pdf?v=1.0.24" TargetMode="External"/><Relationship Id="rId37" Type="http://schemas.openxmlformats.org/officeDocument/2006/relationships/hyperlink" Target="https://www.winsen-sensor.com/d/files/manual/mq-3b.pdf?searchid=6821" TargetMode="External"/><Relationship Id="rId38" Type="http://schemas.openxmlformats.org/officeDocument/2006/relationships/hyperlink" Target="https://www.winsen-sensor.com/d/files/semiconductor/mq-4.pdf" TargetMode="External"/><Relationship Id="rId39" Type="http://schemas.openxmlformats.org/officeDocument/2006/relationships/hyperlink" Target="https://www.winsen-sensor.com/d/files/manual/mq-5.pdf" TargetMode="External"/><Relationship Id="rId40" Type="http://schemas.openxmlformats.org/officeDocument/2006/relationships/hyperlink" Target="https://www.winsen-sensor.com/d/files/manual/mq-6.pdf" TargetMode="External"/><Relationship Id="rId41" Type="http://schemas.openxmlformats.org/officeDocument/2006/relationships/hyperlink" Target="https://www.winsen-sensor.com/d/files/manual/mq-7b.pdf" TargetMode="External"/><Relationship Id="rId42" Type="http://schemas.openxmlformats.org/officeDocument/2006/relationships/hyperlink" Target="https://www.winsen-sensor.com/d/files/semiconductor/mq-8.pdf" TargetMode="External"/><Relationship Id="rId43" Type="http://schemas.openxmlformats.org/officeDocument/2006/relationships/hyperlink" Target="https://www.winsen-sensor.com/d/files/mq135-%28ver1_6%29---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PertaminaGLD – Laporan Internal Cilacap dan Rencana Tindak Lanjut</dc:title>
  <dc:subject>Audit GLD1, CH, Gateway, Server, jaringan, mounting, power, dan hazardous-area</dc:subject>
  <dc:creator>LGU / OpenAI Codex</dc:creator>
  <cp:keywords>PertaminaGLD; Cilacap; GLD1; CH; Gateway; Node-RED; MQTT; ATEX; IECEx; 24 VDC</cp:keywords>
  <dc:description>Disusun dari audit read-only sumber lokal dan source repo per 18 Agustus 2026.</dc:description>
  <cp:lastModifiedBy/>
  <cp:revision>1</cp:revision>
  <dcterms:created xsi:type="dcterms:W3CDTF">2013-12-23T23:15:00Z</dcterms:created>
  <dcterms:modified xsi:type="dcterms:W3CDTF">2013-12-23T23:15:00Z</dcterms:modified>
  <cp:category/>
</cp:coreProperties>
</file>