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680"/>
      </w:tblGrid>
      <w:tr>
        <w:tc>
          <w:tcPr>
            <w:tcW w:type="dxa" w:w="3400"/>
            <w:tcMar>
              <w:top w:type="dxa" w:w="0"/>
              <w:left w:type="dxa" w:w="0"/>
              <w:bottom w:type="dxa" w:w="0"/>
              <w:right w:type="dxa" w:w="110"/>
            </w:tcMar>
            <w:vAlign w:val="bottom"/>
          </w:tcPr>
          <w:p>
            <w:pPr>
              <w:spacing w:after="0"/>
            </w:pPr>
            <w:r>
              <w:drawing>
                <wp:inline distT="0" distB="0" distL="0" distR="0">
                  <wp:extent cx="9906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90600" cy="619125"/>
                          </a:xfrm>
                          <a:prstGeom prst="rect">
                            <a:avLst/>
                          </a:prstGeom>
                        </pic:spPr>
                      </pic:pic>
                    </a:graphicData>
                  </a:graphic>
                </wp:inline>
              </w:drawing>
            </w:r>
          </w:p>
        </w:tc>
        <w:tc>
          <w:tcPr>
            <w:tcW w:type="dxa" w:w="6680"/>
            <w:tcMar>
              <w:top w:type="dxa" w:w="70"/>
              <w:left w:type="dxa" w:w="110"/>
              <w:bottom w:type="dxa" w:w="0"/>
              <w:right w:type="dxa" w:w="0"/>
            </w:tcMar>
            <w:vAlign w:val="bottom"/>
          </w:tcPr>
          <w:p>
            <w:pPr>
              <w:spacing w:after="0" w:before="0" w:line="240"/>
              <w:jc w:val="right"/>
            </w:pPr>
            <w:r>
              <w:rPr>
                <w:rFonts w:ascii="Arial" w:cs="Arial" w:eastAsia="Arial" w:hAnsi="Arial"/>
                <w:b/>
                <w:bCs/>
                <w:i w:val="false"/>
                <w:iCs w:val="false"/>
                <w:color w:val="1B2733"/>
                <w:spacing w:val="10"/>
                <w:sz w:val="48"/>
                <w:szCs w:val="48"/>
              </w:rPr>
              <w:t xml:space="preserve">FACTUUR</w:t>
            </w:r>
          </w:p>
        </w:tc>
      </w:tr>
    </w:tbl>
    <w:p>
      <w:pPr>
        <w:pBdr>
          <w:bottom w:val="single" w:color="27B5A4" w:sz="12"/>
        </w:pBdr>
        <w:spacing w:after="70" w:before="0"/>
      </w:pPr>
    </w:p>
    <w:p>
      <w:pPr>
        <w:spacing w:after="40" w:before="0" w:line="240"/>
      </w:pPr>
      <w:r>
        <w:rPr>
          <w:rFonts w:ascii="Arial" w:cs="Arial" w:eastAsia="Arial" w:hAnsi="Arial"/>
          <w:b w:val="false"/>
          <w:bCs w:val="false"/>
          <w:i w:val="false"/>
          <w:iCs w:val="false"/>
          <w:color w:val="6B7B8A"/>
          <w:sz w:val="14"/>
          <w:szCs w:val="14"/>
        </w:rPr>
        <w:t xml:space="preserve">PRO DEBOUCHAGE BV · Guldenschaapstraat 6, 1800 Vilvoorde · Btw-nummer BE 1027.454.187 · RPR Brussel · 0480 649 649 · info@prodebouchage24.be · prodebouchage24.be</w:t>
      </w:r>
    </w:p>
    <w:p>
      <w:pPr>
        <w:pBdr>
          <w:bottom w:val="single" w:color="D8DEE4" w:sz="4"/>
        </w:pBdr>
        <w:spacing w:after="130" w:before="0"/>
      </w:pPr>
    </w:p>
    <w:tbl>
      <w:tblPr>
        <w:tblW w:type="dxa" w:w="10080"/>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2520"/>
        <w:gridCol w:w="2520"/>
        <w:gridCol w:w="2520"/>
        <w:gridCol w:w="2520"/>
      </w:tblGrid>
      <w:tr>
        <w:trPr>
          <w:trHeight w:val="500" w:hRule="atLeast"/>
        </w:trPr>
        <w:tc>
          <w:tcPr>
            <w:tcW w:type="dxa" w:w="2520"/>
            <w:tcBorders>
              <w:top w:val="single" w:color="D8DEE4" w:sz="4"/>
              <w:left w:val="single" w:color="D8DEE4" w:sz="4"/>
              <w:bottom w:val="single" w:color="D8DEE4" w:sz="4"/>
              <w:right w:val="single" w:color="D8DEE4" w:sz="4"/>
            </w:tcBorders>
            <w:shd w:fill="F2F6F5" w:color="auto" w:val="clear"/>
            <w:tcMar>
              <w:top w:type="dxa" w:w="70"/>
              <w:left w:type="dxa" w:w="110"/>
              <w:bottom w:type="dxa" w:w="70"/>
              <w:right w:type="dxa" w:w="110"/>
            </w:tcMar>
            <w:vAlign w:val="top"/>
          </w:tcPr>
          <w:p>
            <w:pPr>
              <w:spacing w:after="25" w:before="0" w:line="240"/>
            </w:pPr>
            <w:r>
              <w:rPr>
                <w:rFonts w:ascii="Arial" w:cs="Arial" w:eastAsia="Arial" w:hAnsi="Arial"/>
                <w:b w:val="false"/>
                <w:bCs w:val="false"/>
                <w:i w:val="false"/>
                <w:iCs w:val="false"/>
                <w:color w:val="6B7B8A"/>
                <w:sz w:val="14"/>
                <w:szCs w:val="14"/>
              </w:rPr>
              <w:t xml:space="preserve">Factuurnummer</w:t>
            </w:r>
          </w:p>
          <w:p>
            <w:pPr>
              <w:spacing w:after="0" w:before="0" w:line="240"/>
            </w:pPr>
            <w:r>
              <w:rPr>
                <w:rFonts w:ascii="Arial" w:cs="Arial" w:eastAsia="Arial" w:hAnsi="Arial"/>
                <w:b/>
                <w:bCs/>
                <w:i w:val="false"/>
                <w:iCs w:val="false"/>
                <w:color w:val="1B2733"/>
                <w:sz w:val="19"/>
                <w:szCs w:val="19"/>
              </w:rPr>
              <w:t xml:space="preserve">2026-</w:t>
            </w:r>
          </w:p>
        </w:tc>
        <w:tc>
          <w:tcPr>
            <w:tcW w:type="dxa" w:w="2520"/>
            <w:tcBorders>
              <w:top w:val="single" w:color="D8DEE4" w:sz="4"/>
              <w:left w:val="single" w:color="D8DEE4" w:sz="4"/>
              <w:bottom w:val="single" w:color="D8DEE4" w:sz="4"/>
              <w:right w:val="single" w:color="D8DEE4" w:sz="4"/>
            </w:tcBorders>
            <w:shd w:fill="F2F6F5" w:color="auto" w:val="clear"/>
            <w:tcMar>
              <w:top w:type="dxa" w:w="70"/>
              <w:left w:type="dxa" w:w="110"/>
              <w:bottom w:type="dxa" w:w="70"/>
              <w:right w:type="dxa" w:w="110"/>
            </w:tcMar>
            <w:vAlign w:val="top"/>
          </w:tcPr>
          <w:p>
            <w:pPr>
              <w:spacing w:after="25" w:before="0" w:line="240"/>
            </w:pPr>
            <w:r>
              <w:rPr>
                <w:rFonts w:ascii="Arial" w:cs="Arial" w:eastAsia="Arial" w:hAnsi="Arial"/>
                <w:b w:val="false"/>
                <w:bCs w:val="false"/>
                <w:i w:val="false"/>
                <w:iCs w:val="false"/>
                <w:color w:val="6B7B8A"/>
                <w:sz w:val="14"/>
                <w:szCs w:val="14"/>
              </w:rPr>
              <w:t xml:space="preserve">Factuurdatum</w:t>
            </w:r>
          </w:p>
          <w:p>
            <w:pPr>
              <w:spacing w:after="0" w:before="0" w:line="240"/>
            </w:pPr>
            <w:r>
              <w:rPr>
                <w:rFonts w:ascii="Arial" w:cs="Arial" w:eastAsia="Arial" w:hAnsi="Arial"/>
                <w:b/>
                <w:bCs/>
                <w:i w:val="false"/>
                <w:iCs w:val="false"/>
                <w:color w:val="1B2733"/>
                <w:sz w:val="19"/>
                <w:szCs w:val="19"/>
              </w:rPr>
              <w:t xml:space="preserve">  /   / 2026</w:t>
            </w:r>
          </w:p>
        </w:tc>
        <w:tc>
          <w:tcPr>
            <w:tcW w:type="dxa" w:w="2520"/>
            <w:tcBorders>
              <w:top w:val="single" w:color="D8DEE4" w:sz="4"/>
              <w:left w:val="single" w:color="D8DEE4" w:sz="4"/>
              <w:bottom w:val="single" w:color="D8DEE4" w:sz="4"/>
              <w:right w:val="single" w:color="D8DEE4" w:sz="4"/>
            </w:tcBorders>
            <w:shd w:fill="F2F6F5" w:color="auto" w:val="clear"/>
            <w:tcMar>
              <w:top w:type="dxa" w:w="70"/>
              <w:left w:type="dxa" w:w="110"/>
              <w:bottom w:type="dxa" w:w="70"/>
              <w:right w:type="dxa" w:w="110"/>
            </w:tcMar>
            <w:vAlign w:val="top"/>
          </w:tcPr>
          <w:p>
            <w:pPr>
              <w:spacing w:after="25" w:before="0" w:line="240"/>
            </w:pPr>
            <w:r>
              <w:rPr>
                <w:rFonts w:ascii="Arial" w:cs="Arial" w:eastAsia="Arial" w:hAnsi="Arial"/>
                <w:b w:val="false"/>
                <w:bCs w:val="false"/>
                <w:i w:val="false"/>
                <w:iCs w:val="false"/>
                <w:color w:val="6B7B8A"/>
                <w:sz w:val="14"/>
                <w:szCs w:val="14"/>
              </w:rPr>
              <w:t xml:space="preserve">Datum van de interventie</w:t>
            </w:r>
          </w:p>
          <w:p>
            <w:pPr>
              <w:spacing w:after="0" w:before="0" w:line="240"/>
            </w:pPr>
            <w:r>
              <w:rPr>
                <w:rFonts w:ascii="Arial" w:cs="Arial" w:eastAsia="Arial" w:hAnsi="Arial"/>
                <w:b/>
                <w:bCs/>
                <w:i w:val="false"/>
                <w:iCs w:val="false"/>
                <w:color w:val="1B2733"/>
                <w:sz w:val="19"/>
                <w:szCs w:val="19"/>
              </w:rPr>
              <w:t xml:space="preserve">  /   / 2026</w:t>
            </w:r>
          </w:p>
        </w:tc>
        <w:tc>
          <w:tcPr>
            <w:tcW w:type="dxa" w:w="2520"/>
            <w:tcBorders>
              <w:top w:val="single" w:color="D8DEE4" w:sz="4"/>
              <w:left w:val="single" w:color="D8DEE4" w:sz="4"/>
              <w:bottom w:val="single" w:color="D8DEE4" w:sz="4"/>
              <w:right w:val="single" w:color="D8DEE4" w:sz="4"/>
            </w:tcBorders>
            <w:shd w:fill="F2F6F5" w:color="auto" w:val="clear"/>
            <w:tcMar>
              <w:top w:type="dxa" w:w="70"/>
              <w:left w:type="dxa" w:w="110"/>
              <w:bottom w:type="dxa" w:w="70"/>
              <w:right w:type="dxa" w:w="110"/>
            </w:tcMar>
            <w:vAlign w:val="top"/>
          </w:tcPr>
          <w:p>
            <w:pPr>
              <w:spacing w:after="25" w:before="0" w:line="240"/>
            </w:pPr>
            <w:r>
              <w:rPr>
                <w:rFonts w:ascii="Arial" w:cs="Arial" w:eastAsia="Arial" w:hAnsi="Arial"/>
                <w:b w:val="false"/>
                <w:bCs w:val="false"/>
                <w:i w:val="false"/>
                <w:iCs w:val="false"/>
                <w:color w:val="6B7B8A"/>
                <w:sz w:val="14"/>
                <w:szCs w:val="14"/>
              </w:rPr>
              <w:t xml:space="preserve">Vervaldag</w:t>
            </w:r>
          </w:p>
          <w:p>
            <w:pPr>
              <w:spacing w:after="0" w:before="0" w:line="240"/>
            </w:pPr>
            <w:r>
              <w:rPr>
                <w:rFonts w:ascii="Arial" w:cs="Arial" w:eastAsia="Arial" w:hAnsi="Arial"/>
                <w:b/>
                <w:bCs/>
                <w:i w:val="false"/>
                <w:iCs w:val="false"/>
                <w:color w:val="1B2733"/>
                <w:sz w:val="19"/>
                <w:szCs w:val="19"/>
              </w:rPr>
              <w:t xml:space="preserve">Betaalbaar bij ontvangst</w:t>
            </w:r>
          </w:p>
        </w:tc>
      </w:tr>
    </w:tbl>
    <w:p>
      <w:pPr>
        <w:spacing w:after="1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type="dxa" w:w="4980"/>
            <w:tcBorders>
              <w:top w:val="single" w:color="D8DEE4" w:sz="4"/>
              <w:left w:val="single" w:color="D8DEE4" w:sz="4"/>
              <w:bottom w:val="single" w:color="D8DEE4" w:sz="4"/>
              <w:right w:val="single" w:color="D8DEE4" w:sz="4"/>
            </w:tcBorders>
            <w:shd w:fill="F2F6F5" w:color="auto" w:val="clear"/>
            <w:tcMar>
              <w:top w:type="dxa" w:w="80"/>
              <w:left w:type="dxa" w:w="160"/>
              <w:bottom w:type="dxa" w:w="8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GEFACTUREERD AAN</w:t>
            </w:r>
          </w:p>
          <w:p>
            <w:pPr>
              <w:spacing w:after="20" w:before="0" w:line="240"/>
            </w:pPr>
            <w:r>
              <w:rPr>
                <w:rFonts w:ascii="Arial" w:cs="Arial" w:eastAsia="Arial" w:hAnsi="Arial"/>
                <w:b w:val="false"/>
                <w:bCs w:val="false"/>
                <w:i w:val="false"/>
                <w:iCs w:val="false"/>
                <w:color w:val="6B7B8A"/>
                <w:sz w:val="14"/>
                <w:szCs w:val="14"/>
              </w:rPr>
              <w:t xml:space="preserve">Naam</w:t>
            </w:r>
          </w:p>
          <w:p>
            <w:pPr>
              <w:pBdr>
                <w:top w:val="none" w:color="FFFFFF" w:sz="0"/>
                <w:bottom w:val="single" w:color="B9C4CD" w:sz="4"/>
                <w:left w:val="none" w:color="FFFFFF" w:sz="0"/>
                <w:right w:val="none" w:color="FFFFFF" w:sz="0"/>
              </w:pBdr>
              <w:spacing w:after="60" w:before="130" w:line="240"/>
            </w:pPr>
          </w:p>
          <w:p>
            <w:pPr>
              <w:spacing w:after="20" w:before="0" w:line="240"/>
            </w:pPr>
            <w:r>
              <w:rPr>
                <w:rFonts w:ascii="Arial" w:cs="Arial" w:eastAsia="Arial" w:hAnsi="Arial"/>
                <w:b w:val="false"/>
                <w:bCs w:val="false"/>
                <w:i w:val="false"/>
                <w:iCs w:val="false"/>
                <w:color w:val="6B7B8A"/>
                <w:sz w:val="14"/>
                <w:szCs w:val="14"/>
              </w:rPr>
              <w:t xml:space="preserve">Adres</w:t>
            </w:r>
          </w:p>
          <w:p>
            <w:pPr>
              <w:pBdr>
                <w:top w:val="none" w:color="FFFFFF" w:sz="0"/>
                <w:bottom w:val="single" w:color="B9C4CD" w:sz="4"/>
                <w:left w:val="none" w:color="FFFFFF" w:sz="0"/>
                <w:right w:val="none" w:color="FFFFFF" w:sz="0"/>
              </w:pBdr>
              <w:spacing w:after="60" w:before="130" w:line="240"/>
            </w:pPr>
          </w:p>
          <w:p>
            <w:pPr>
              <w:spacing w:after="20" w:before="0" w:line="240"/>
            </w:pPr>
            <w:r>
              <w:rPr>
                <w:rFonts w:ascii="Arial" w:cs="Arial" w:eastAsia="Arial" w:hAnsi="Arial"/>
                <w:b w:val="false"/>
                <w:bCs w:val="false"/>
                <w:i w:val="false"/>
                <w:iCs w:val="false"/>
                <w:color w:val="6B7B8A"/>
                <w:sz w:val="14"/>
                <w:szCs w:val="14"/>
              </w:rPr>
              <w:t xml:space="preserve">Postcode en gemeente</w:t>
            </w:r>
          </w:p>
          <w:p>
            <w:pPr>
              <w:pBdr>
                <w:top w:val="none" w:color="FFFFFF" w:sz="0"/>
                <w:bottom w:val="single" w:color="B9C4CD" w:sz="4"/>
                <w:left w:val="none" w:color="FFFFFF" w:sz="0"/>
                <w:right w:val="none" w:color="FFFFFF" w:sz="0"/>
              </w:pBdr>
              <w:spacing w:after="60" w:before="130" w:line="240"/>
            </w:pPr>
          </w:p>
          <w:p>
            <w:pPr>
              <w:spacing w:after="20" w:before="0" w:line="240"/>
            </w:pPr>
            <w:r>
              <w:rPr>
                <w:rFonts w:ascii="Arial" w:cs="Arial" w:eastAsia="Arial" w:hAnsi="Arial"/>
                <w:b w:val="false"/>
                <w:bCs w:val="false"/>
                <w:i w:val="false"/>
                <w:iCs w:val="false"/>
                <w:color w:val="6B7B8A"/>
                <w:sz w:val="14"/>
                <w:szCs w:val="14"/>
              </w:rPr>
              <w:t xml:space="preserve">Btw-nummer (als de klant een onderneming is)</w:t>
            </w:r>
          </w:p>
          <w:p>
            <w:pPr>
              <w:pBdr>
                <w:top w:val="none" w:color="FFFFFF" w:sz="0"/>
                <w:bottom w:val="single" w:color="B9C4CD" w:sz="4"/>
                <w:left w:val="none" w:color="FFFFFF" w:sz="0"/>
                <w:right w:val="none" w:color="FFFFFF" w:sz="0"/>
              </w:pBdr>
              <w:spacing w:after="0" w:before="150" w:line="240"/>
            </w:pPr>
          </w:p>
        </w:tc>
        <w:tc>
          <w:tcPr>
            <w:tcW w:type="dxa" w:w="120"/>
            <w:tcMar>
              <w:top w:type="dxa" w:w="70"/>
              <w:left w:type="dxa" w:w="0"/>
              <w:bottom w:type="dxa" w:w="70"/>
              <w:right w:type="dxa" w:w="0"/>
            </w:tcMar>
            <w:vAlign w:val="top"/>
          </w:tcPr>
          <w:p>
            <w:pPr>
              <w:spacing w:after="0" w:before="0" w:line="240"/>
            </w:pPr>
          </w:p>
        </w:tc>
        <w:tc>
          <w:tcPr>
            <w:tcW w:type="dxa" w:w="4980"/>
            <w:tcBorders>
              <w:top w:val="single" w:color="D8DEE4" w:sz="4"/>
              <w:left w:val="single" w:color="D8DEE4" w:sz="4"/>
              <w:bottom w:val="single" w:color="D8DEE4" w:sz="4"/>
              <w:right w:val="single" w:color="D8DEE4" w:sz="4"/>
            </w:tcBorders>
            <w:tcMar>
              <w:top w:type="dxa" w:w="80"/>
              <w:left w:type="dxa" w:w="160"/>
              <w:bottom w:type="dxa" w:w="8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PLAATS VAN DE INTERVENTIE</w:t>
            </w:r>
          </w:p>
          <w:p>
            <w:pPr>
              <w:spacing w:after="60" w:before="0" w:line="240"/>
            </w:pPr>
            <w:r>
              <w:rPr>
                <w:rFonts w:ascii="Arial" w:cs="Arial" w:eastAsia="Arial" w:hAnsi="Arial"/>
                <w:b w:val="false"/>
                <w:bCs w:val="false"/>
                <w:i w:val="false"/>
                <w:iCs w:val="false"/>
                <w:color w:val="1B2733"/>
                <w:sz w:val="16"/>
                <w:szCs w:val="16"/>
              </w:rPr>
              <w:t xml:space="preserve">Zelfde adres als de facturatie  ☐        Ander adres  ☐</w:t>
            </w:r>
          </w:p>
          <w:p>
            <w:pPr>
              <w:spacing w:after="20" w:before="0" w:line="240"/>
            </w:pPr>
            <w:r>
              <w:rPr>
                <w:rFonts w:ascii="Arial" w:cs="Arial" w:eastAsia="Arial" w:hAnsi="Arial"/>
                <w:b w:val="false"/>
                <w:bCs w:val="false"/>
                <w:i w:val="false"/>
                <w:iCs w:val="false"/>
                <w:color w:val="6B7B8A"/>
                <w:sz w:val="14"/>
                <w:szCs w:val="14"/>
              </w:rPr>
              <w:t xml:space="preserve">Adres</w:t>
            </w:r>
          </w:p>
          <w:p>
            <w:pPr>
              <w:pBdr>
                <w:top w:val="none" w:color="FFFFFF" w:sz="0"/>
                <w:bottom w:val="single" w:color="B9C4CD" w:sz="4"/>
                <w:left w:val="none" w:color="FFFFFF" w:sz="0"/>
                <w:right w:val="none" w:color="FFFFFF" w:sz="0"/>
              </w:pBdr>
              <w:spacing w:after="60" w:before="130" w:line="240"/>
            </w:pPr>
          </w:p>
          <w:p>
            <w:pPr>
              <w:spacing w:after="20" w:before="0" w:line="240"/>
            </w:pPr>
            <w:r>
              <w:rPr>
                <w:rFonts w:ascii="Arial" w:cs="Arial" w:eastAsia="Arial" w:hAnsi="Arial"/>
                <w:b w:val="false"/>
                <w:bCs w:val="false"/>
                <w:i w:val="false"/>
                <w:iCs w:val="false"/>
                <w:color w:val="6B7B8A"/>
                <w:sz w:val="14"/>
                <w:szCs w:val="14"/>
              </w:rPr>
              <w:t xml:space="preserve">Postcode en gemeente</w:t>
            </w:r>
          </w:p>
          <w:p>
            <w:pPr>
              <w:pBdr>
                <w:top w:val="none" w:color="FFFFFF" w:sz="0"/>
                <w:bottom w:val="single" w:color="B9C4CD" w:sz="4"/>
                <w:left w:val="none" w:color="FFFFFF" w:sz="0"/>
                <w:right w:val="none" w:color="FFFFFF" w:sz="0"/>
              </w:pBdr>
              <w:spacing w:after="60" w:before="130" w:line="240"/>
            </w:pPr>
          </w:p>
          <w:p>
            <w:pPr>
              <w:spacing w:after="0" w:before="0" w:line="240"/>
            </w:pPr>
            <w:r>
              <w:rPr>
                <w:rFonts w:ascii="Arial" w:cs="Arial" w:eastAsia="Arial" w:hAnsi="Arial"/>
                <w:b w:val="false"/>
                <w:bCs w:val="false"/>
                <w:i/>
                <w:iCs/>
                <w:color w:val="6B7B8A"/>
                <w:sz w:val="14"/>
                <w:szCs w:val="14"/>
              </w:rPr>
              <w:t xml:space="preserve">Het adres van het gebouw verantwoordt het toegepaste btw-tarief.</w:t>
            </w:r>
          </w:p>
        </w:tc>
      </w:tr>
    </w:tbl>
    <w:p>
      <w:pPr>
        <w:spacing w:after="100"/>
      </w:pPr>
    </w:p>
    <w:tbl>
      <w:tblPr>
        <w:tblW w:type="dxa" w:w="10080"/>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5140"/>
        <w:gridCol w:w="900"/>
        <w:gridCol w:w="1560"/>
        <w:gridCol w:w="900"/>
        <w:gridCol w:w="1580"/>
      </w:tblGrid>
      <w:tr>
        <w:trPr>
          <w:tblHeader/>
          <w:trHeight w:val="340" w:hRule="atLeast"/>
        </w:trPr>
        <w:tc>
          <w:tcPr>
            <w:tcW w:type="dxa" w:w="5140"/>
            <w:shd w:fill="F2F6F5" w:color="auto" w:val="clear"/>
            <w:tcMar>
              <w:top w:type="dxa" w:w="90"/>
              <w:left w:type="dxa" w:w="110"/>
              <w:bottom w:type="dxa" w:w="90"/>
              <w:right w:type="dxa" w:w="110"/>
            </w:tcMar>
            <w:vAlign w:val="top"/>
          </w:tcPr>
          <w:p>
            <w:pPr>
              <w:spacing w:after="0" w:before="0" w:line="240"/>
            </w:pPr>
            <w:r>
              <w:rPr>
                <w:rFonts w:ascii="Arial" w:cs="Arial" w:eastAsia="Arial" w:hAnsi="Arial"/>
                <w:b/>
                <w:bCs/>
                <w:i w:val="false"/>
                <w:iCs w:val="false"/>
                <w:color w:val="1B2733"/>
                <w:sz w:val="15"/>
                <w:szCs w:val="15"/>
              </w:rPr>
              <w:t xml:space="preserve">Omschrijving van het werk (precies: "Ontstoppen wc, elektrische veer")</w:t>
            </w:r>
          </w:p>
        </w:tc>
        <w:tc>
          <w:tcPr>
            <w:tcW w:type="dxa" w:w="900"/>
            <w:shd w:fill="F2F6F5" w:color="auto" w:val="clear"/>
            <w:tcMar>
              <w:top w:type="dxa" w:w="90"/>
              <w:left w:type="dxa" w:w="110"/>
              <w:bottom w:type="dxa" w:w="90"/>
              <w:right w:type="dxa" w:w="110"/>
            </w:tcMar>
            <w:vAlign w:val="top"/>
          </w:tcPr>
          <w:p>
            <w:pPr>
              <w:spacing w:after="0" w:before="0" w:line="240"/>
              <w:jc w:val="center"/>
            </w:pPr>
            <w:r>
              <w:rPr>
                <w:rFonts w:ascii="Arial" w:cs="Arial" w:eastAsia="Arial" w:hAnsi="Arial"/>
                <w:b/>
                <w:bCs/>
                <w:i w:val="false"/>
                <w:iCs w:val="false"/>
                <w:color w:val="1B2733"/>
                <w:sz w:val="15"/>
                <w:szCs w:val="15"/>
              </w:rPr>
              <w:t xml:space="preserve">Aantal</w:t>
            </w:r>
          </w:p>
        </w:tc>
        <w:tc>
          <w:tcPr>
            <w:tcW w:type="dxa" w:w="1560"/>
            <w:shd w:fill="F2F6F5" w:color="auto" w:val="clear"/>
            <w:tcMar>
              <w:top w:type="dxa" w:w="90"/>
              <w:left w:type="dxa" w:w="110"/>
              <w:bottom w:type="dxa" w:w="90"/>
              <w:right w:type="dxa" w:w="110"/>
            </w:tcMar>
            <w:vAlign w:val="top"/>
          </w:tcPr>
          <w:p>
            <w:pPr>
              <w:spacing w:after="0" w:before="0" w:line="240"/>
              <w:jc w:val="right"/>
            </w:pPr>
            <w:r>
              <w:rPr>
                <w:rFonts w:ascii="Arial" w:cs="Arial" w:eastAsia="Arial" w:hAnsi="Arial"/>
                <w:b/>
                <w:bCs/>
                <w:i w:val="false"/>
                <w:iCs w:val="false"/>
                <w:color w:val="1B2733"/>
                <w:sz w:val="15"/>
                <w:szCs w:val="15"/>
              </w:rPr>
              <w:t xml:space="preserve">Prijs excl. btw</w:t>
            </w:r>
          </w:p>
        </w:tc>
        <w:tc>
          <w:tcPr>
            <w:tcW w:type="dxa" w:w="900"/>
            <w:shd w:fill="F2F6F5" w:color="auto" w:val="clear"/>
            <w:tcMar>
              <w:top w:type="dxa" w:w="90"/>
              <w:left w:type="dxa" w:w="110"/>
              <w:bottom w:type="dxa" w:w="90"/>
              <w:right w:type="dxa" w:w="110"/>
            </w:tcMar>
            <w:vAlign w:val="top"/>
          </w:tcPr>
          <w:p>
            <w:pPr>
              <w:spacing w:after="0" w:before="0" w:line="240"/>
              <w:jc w:val="center"/>
            </w:pPr>
            <w:r>
              <w:rPr>
                <w:rFonts w:ascii="Arial" w:cs="Arial" w:eastAsia="Arial" w:hAnsi="Arial"/>
                <w:b/>
                <w:bCs/>
                <w:i w:val="false"/>
                <w:iCs w:val="false"/>
                <w:color w:val="1B2733"/>
                <w:sz w:val="15"/>
                <w:szCs w:val="15"/>
              </w:rPr>
              <w:t xml:space="preserve">Btw</w:t>
            </w:r>
          </w:p>
        </w:tc>
        <w:tc>
          <w:tcPr>
            <w:tcW w:type="dxa" w:w="1580"/>
            <w:shd w:fill="F2F6F5" w:color="auto" w:val="clear"/>
            <w:tcMar>
              <w:top w:type="dxa" w:w="90"/>
              <w:left w:type="dxa" w:w="110"/>
              <w:bottom w:type="dxa" w:w="90"/>
              <w:right w:type="dxa" w:w="110"/>
            </w:tcMar>
            <w:vAlign w:val="top"/>
          </w:tcPr>
          <w:p>
            <w:pPr>
              <w:spacing w:after="0" w:before="0" w:line="240"/>
              <w:jc w:val="right"/>
            </w:pPr>
            <w:r>
              <w:rPr>
                <w:rFonts w:ascii="Arial" w:cs="Arial" w:eastAsia="Arial" w:hAnsi="Arial"/>
                <w:b/>
                <w:bCs/>
                <w:i w:val="false"/>
                <w:iCs w:val="false"/>
                <w:color w:val="1B2733"/>
                <w:sz w:val="15"/>
                <w:szCs w:val="15"/>
              </w:rPr>
              <w:t xml:space="preserve">Totaal excl. btw</w:t>
            </w:r>
          </w:p>
        </w:tc>
      </w:tr>
      <w:tr>
        <w:trPr>
          <w:trHeight w:val="38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r>
        <w:trPr>
          <w:trHeight w:val="38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r>
        <w:trPr>
          <w:trHeight w:val="38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r>
        <w:trPr>
          <w:trHeight w:val="38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r>
        <w:trPr>
          <w:trHeight w:val="38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bl>
    <w:p>
      <w:pPr>
        <w:spacing w:after="9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40"/>
        <w:gridCol w:w="5340"/>
      </w:tblGrid>
      <w:tr>
        <w:tc>
          <w:tcPr>
            <w:tcW w:type="dxa" w:w="4740"/>
            <w:tcMar>
              <w:top w:type="dxa" w:w="70"/>
              <w:left w:type="dxa" w:w="0"/>
              <w:bottom w:type="dxa" w:w="70"/>
              <w:right w:type="dxa" w:w="0"/>
            </w:tcMar>
            <w:vAlign w:val="top"/>
          </w:tcPr>
          <w:p>
            <w:pPr>
              <w:spacing w:after="0" w:before="0" w:line="240"/>
            </w:pPr>
          </w:p>
        </w:tc>
        <w:tc>
          <w:tcPr>
            <w:tcW w:type="dxa" w:w="5340"/>
            <w:tcMar>
              <w:top w:type="dxa" w:w="0"/>
              <w:left w:type="dxa" w:w="0"/>
              <w:bottom w:type="dxa" w:w="0"/>
              <w:right w:type="dxa" w:w="0"/>
            </w:tcMar>
            <w:vAlign w:val="top"/>
          </w:tcPr>
          <w:tbl>
            <w:tblPr>
              <w:tblW w:type="dxa" w:w="5340"/>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2600"/>
              <w:gridCol w:w="1000"/>
              <w:gridCol w:w="1740"/>
            </w:tblGrid>
            <w:tr>
              <w:tc>
                <w:tcPr>
                  <w:tcW w:type="dxa" w:w="2600"/>
                  <w:shd w:fill="F2F6F5" w:color="auto" w:val="clear"/>
                  <w:tcMar>
                    <w:top w:type="dxa" w:w="70"/>
                    <w:left w:type="dxa" w:w="110"/>
                    <w:bottom w:type="dxa" w:w="70"/>
                    <w:right w:type="dxa" w:w="110"/>
                  </w:tcMar>
                  <w:vAlign w:val="top"/>
                </w:tcPr>
                <w:p>
                  <w:pPr>
                    <w:spacing w:after="0" w:before="0" w:line="240"/>
                  </w:pPr>
                  <w:r>
                    <w:rPr>
                      <w:rFonts w:ascii="Arial" w:cs="Arial" w:eastAsia="Arial" w:hAnsi="Arial"/>
                      <w:b/>
                      <w:bCs/>
                      <w:i w:val="false"/>
                      <w:iCs w:val="false"/>
                      <w:color w:val="1B2733"/>
                      <w:sz w:val="15"/>
                      <w:szCs w:val="15"/>
                    </w:rPr>
                    <w:t xml:space="preserve">Maatstaf van heffing</w:t>
                  </w:r>
                </w:p>
              </w:tc>
              <w:tc>
                <w:tcPr>
                  <w:tcW w:type="dxa" w:w="1000"/>
                  <w:shd w:fill="F2F6F5" w:color="auto" w:val="clear"/>
                  <w:tcMar>
                    <w:top w:type="dxa" w:w="70"/>
                    <w:left w:type="dxa" w:w="110"/>
                    <w:bottom w:type="dxa" w:w="70"/>
                    <w:right w:type="dxa" w:w="110"/>
                  </w:tcMar>
                  <w:vAlign w:val="top"/>
                </w:tcPr>
                <w:p>
                  <w:pPr>
                    <w:spacing w:after="0" w:before="0" w:line="240"/>
                    <w:jc w:val="center"/>
                  </w:pPr>
                  <w:r>
                    <w:rPr>
                      <w:rFonts w:ascii="Arial" w:cs="Arial" w:eastAsia="Arial" w:hAnsi="Arial"/>
                      <w:b/>
                      <w:bCs/>
                      <w:i w:val="false"/>
                      <w:iCs w:val="false"/>
                      <w:color w:val="1B2733"/>
                      <w:sz w:val="15"/>
                      <w:szCs w:val="15"/>
                    </w:rPr>
                    <w:t xml:space="preserve">Tarief</w:t>
                  </w:r>
                </w:p>
              </w:tc>
              <w:tc>
                <w:tcPr>
                  <w:tcW w:type="dxa" w:w="1740"/>
                  <w:shd w:fill="F2F6F5" w:color="auto" w:val="clear"/>
                  <w:tcMar>
                    <w:top w:type="dxa" w:w="70"/>
                    <w:left w:type="dxa" w:w="110"/>
                    <w:bottom w:type="dxa" w:w="70"/>
                    <w:right w:type="dxa" w:w="110"/>
                  </w:tcMar>
                  <w:vAlign w:val="top"/>
                </w:tcPr>
                <w:p>
                  <w:pPr>
                    <w:spacing w:after="0" w:before="0" w:line="240"/>
                    <w:jc w:val="right"/>
                  </w:pPr>
                  <w:r>
                    <w:rPr>
                      <w:rFonts w:ascii="Arial" w:cs="Arial" w:eastAsia="Arial" w:hAnsi="Arial"/>
                      <w:b/>
                      <w:bCs/>
                      <w:i w:val="false"/>
                      <w:iCs w:val="false"/>
                      <w:color w:val="1B2733"/>
                      <w:sz w:val="15"/>
                      <w:szCs w:val="15"/>
                    </w:rPr>
                    <w:t xml:space="preserve">Btw-bedrag</w:t>
                  </w:r>
                </w:p>
              </w:tc>
            </w:tr>
            <w:tr>
              <w:trPr>
                <w:trHeight w:val="340" w:hRule="atLeast"/>
              </w:trPr>
              <w:tc>
                <w:tcPr>
                  <w:tcW w:type="dxa" w:w="260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c>
                <w:tcPr>
                  <w:tcW w:type="dxa" w:w="1000"/>
                  <w:tcMar>
                    <w:top w:type="dxa" w:w="70"/>
                    <w:left w:type="dxa" w:w="110"/>
                    <w:bottom w:type="dxa" w:w="70"/>
                    <w:right w:type="dxa" w:w="110"/>
                  </w:tcMar>
                  <w:vAlign w:val="top"/>
                </w:tcPr>
                <w:p>
                  <w:pPr>
                    <w:spacing w:after="0" w:before="0" w:line="240"/>
                    <w:jc w:val="center"/>
                  </w:pPr>
                  <w:r>
                    <w:rPr>
                      <w:rFonts w:ascii="Arial" w:cs="Arial" w:eastAsia="Arial" w:hAnsi="Arial"/>
                      <w:b w:val="false"/>
                      <w:bCs w:val="false"/>
                      <w:i w:val="false"/>
                      <w:iCs w:val="false"/>
                      <w:color w:val="1B2733"/>
                      <w:sz w:val="17"/>
                      <w:szCs w:val="17"/>
                    </w:rPr>
                    <w:t xml:space="preserve">6 %</w:t>
                  </w:r>
                </w:p>
              </w:tc>
              <w:tc>
                <w:tcPr>
                  <w:tcW w:type="dxa" w:w="174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r>
            <w:tr>
              <w:trPr>
                <w:trHeight w:val="340" w:hRule="atLeast"/>
              </w:trPr>
              <w:tc>
                <w:tcPr>
                  <w:tcW w:type="dxa" w:w="260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c>
                <w:tcPr>
                  <w:tcW w:type="dxa" w:w="1000"/>
                  <w:tcMar>
                    <w:top w:type="dxa" w:w="70"/>
                    <w:left w:type="dxa" w:w="110"/>
                    <w:bottom w:type="dxa" w:w="70"/>
                    <w:right w:type="dxa" w:w="110"/>
                  </w:tcMar>
                  <w:vAlign w:val="top"/>
                </w:tcPr>
                <w:p>
                  <w:pPr>
                    <w:spacing w:after="0" w:before="0" w:line="240"/>
                    <w:jc w:val="center"/>
                  </w:pPr>
                  <w:r>
                    <w:rPr>
                      <w:rFonts w:ascii="Arial" w:cs="Arial" w:eastAsia="Arial" w:hAnsi="Arial"/>
                      <w:b w:val="false"/>
                      <w:bCs w:val="false"/>
                      <w:i w:val="false"/>
                      <w:iCs w:val="false"/>
                      <w:color w:val="1B2733"/>
                      <w:sz w:val="17"/>
                      <w:szCs w:val="17"/>
                    </w:rPr>
                    <w:t xml:space="preserve">21 %</w:t>
                  </w:r>
                </w:p>
              </w:tc>
              <w:tc>
                <w:tcPr>
                  <w:tcW w:type="dxa" w:w="174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r>
            <w:tr>
              <w:trPr>
                <w:trHeight w:val="340" w:hRule="atLeast"/>
              </w:trPr>
              <w:tc>
                <w:tcPr>
                  <w:tcW w:type="dxa" w:w="3600"/>
                  <w:gridSpan w:val="2"/>
                  <w:tcMar>
                    <w:top w:type="dxa" w:w="70"/>
                    <w:left w:type="dxa" w:w="110"/>
                    <w:bottom w:type="dxa" w:w="70"/>
                    <w:right w:type="dxa" w:w="110"/>
                  </w:tcMar>
                  <w:vAlign w:val="top"/>
                </w:tcPr>
                <w:p>
                  <w:pPr>
                    <w:spacing w:after="0" w:before="0" w:line="240"/>
                  </w:pPr>
                  <w:r>
                    <w:rPr>
                      <w:rFonts w:ascii="Arial" w:cs="Arial" w:eastAsia="Arial" w:hAnsi="Arial"/>
                      <w:b w:val="false"/>
                      <w:bCs w:val="false"/>
                      <w:i w:val="false"/>
                      <w:iCs w:val="false"/>
                      <w:color w:val="1B2733"/>
                      <w:sz w:val="17"/>
                      <w:szCs w:val="17"/>
                    </w:rPr>
                    <w:t xml:space="preserve">Totaal excl. btw</w:t>
                  </w:r>
                </w:p>
              </w:tc>
              <w:tc>
                <w:tcPr>
                  <w:tcW w:type="dxa" w:w="174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r>
            <w:tr>
              <w:trPr>
                <w:trHeight w:val="340" w:hRule="atLeast"/>
              </w:trPr>
              <w:tc>
                <w:tcPr>
                  <w:tcW w:type="dxa" w:w="3600"/>
                  <w:gridSpan w:val="2"/>
                  <w:tcMar>
                    <w:top w:type="dxa" w:w="70"/>
                    <w:left w:type="dxa" w:w="110"/>
                    <w:bottom w:type="dxa" w:w="70"/>
                    <w:right w:type="dxa" w:w="110"/>
                  </w:tcMar>
                  <w:vAlign w:val="top"/>
                </w:tcPr>
                <w:p>
                  <w:pPr>
                    <w:spacing w:after="0" w:before="0" w:line="240"/>
                  </w:pPr>
                  <w:r>
                    <w:rPr>
                      <w:rFonts w:ascii="Arial" w:cs="Arial" w:eastAsia="Arial" w:hAnsi="Arial"/>
                      <w:b w:val="false"/>
                      <w:bCs w:val="false"/>
                      <w:i w:val="false"/>
                      <w:iCs w:val="false"/>
                      <w:color w:val="1B2733"/>
                      <w:sz w:val="17"/>
                      <w:szCs w:val="17"/>
                    </w:rPr>
                    <w:t xml:space="preserve">Totaal btw</w:t>
                  </w:r>
                </w:p>
              </w:tc>
              <w:tc>
                <w:tcPr>
                  <w:tcW w:type="dxa" w:w="174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r>
            <w:tr>
              <w:trPr>
                <w:trHeight w:val="340" w:hRule="atLeast"/>
              </w:trPr>
              <w:tc>
                <w:tcPr>
                  <w:tcW w:type="dxa" w:w="3600"/>
                  <w:gridSpan w:val="2"/>
                  <w:shd w:fill="E4F4F1" w:color="auto" w:val="clear"/>
                  <w:tcMar>
                    <w:top w:type="dxa" w:w="70"/>
                    <w:left w:type="dxa" w:w="110"/>
                    <w:bottom w:type="dxa" w:w="70"/>
                    <w:right w:type="dxa" w:w="110"/>
                  </w:tcMar>
                  <w:vAlign w:val="top"/>
                </w:tcPr>
                <w:p>
                  <w:pPr>
                    <w:spacing w:after="0" w:before="0" w:line="240"/>
                  </w:pPr>
                  <w:r>
                    <w:rPr>
                      <w:rFonts w:ascii="Arial" w:cs="Arial" w:eastAsia="Arial" w:hAnsi="Arial"/>
                      <w:b/>
                      <w:bCs/>
                      <w:i w:val="false"/>
                      <w:iCs w:val="false"/>
                      <w:color w:val="1B2733"/>
                      <w:sz w:val="19"/>
                      <w:szCs w:val="19"/>
                    </w:rPr>
                    <w:t xml:space="preserve">TE BETALEN (incl. btw)</w:t>
                  </w:r>
                </w:p>
              </w:tc>
              <w:tc>
                <w:tcPr>
                  <w:tcW w:type="dxa" w:w="1740"/>
                  <w:shd w:fill="E4F4F1" w:color="auto" w:val="clear"/>
                  <w:tcMar>
                    <w:top w:type="dxa" w:w="70"/>
                    <w:left w:type="dxa" w:w="110"/>
                    <w:bottom w:type="dxa" w:w="70"/>
                    <w:right w:type="dxa" w:w="110"/>
                  </w:tcMar>
                  <w:vAlign w:val="top"/>
                </w:tcPr>
                <w:p>
                  <w:pPr>
                    <w:spacing w:after="0" w:before="0" w:line="240"/>
                    <w:jc w:val="right"/>
                  </w:pPr>
                  <w:r>
                    <w:rPr>
                      <w:rFonts w:ascii="Arial" w:cs="Arial" w:eastAsia="Arial" w:hAnsi="Arial"/>
                      <w:b/>
                      <w:bCs/>
                      <w:i w:val="false"/>
                      <w:iCs w:val="false"/>
                      <w:color w:val="1B2733"/>
                      <w:sz w:val="19"/>
                      <w:szCs w:val="19"/>
                    </w:rPr>
                    <w:t xml:space="preserve">€</w:t>
                  </w:r>
                </w:p>
              </w:tc>
            </w:tr>
          </w:tbl>
          <w:p/>
        </w:tc>
      </w:tr>
    </w:tbl>
    <w:p>
      <w:pPr>
        <w:spacing w:after="100"/>
      </w:pPr>
    </w:p>
    <w:p>
      <w:pPr>
        <w:spacing w:after="50" w:before="0" w:line="240"/>
      </w:pPr>
      <w:r>
        <w:rPr>
          <w:rFonts w:ascii="Arial" w:cs="Arial" w:eastAsia="Arial" w:hAnsi="Arial"/>
          <w:b/>
          <w:bCs/>
          <w:i w:val="false"/>
          <w:iCs w:val="false"/>
          <w:color w:val="27B5A4"/>
          <w:spacing w:val="24"/>
          <w:sz w:val="15"/>
          <w:szCs w:val="15"/>
        </w:rPr>
        <w:t xml:space="preserve">BETALING</w:t>
      </w:r>
    </w:p>
    <w:p>
      <w:pPr>
        <w:spacing w:after="60" w:before="0" w:line="230"/>
      </w:pPr>
      <w:r>
        <w:rPr>
          <w:rFonts w:ascii="Arial" w:cs="Arial" w:eastAsia="Arial" w:hAnsi="Arial"/>
          <w:b w:val="false"/>
          <w:bCs w:val="false"/>
          <w:i w:val="false"/>
          <w:iCs w:val="false"/>
          <w:color w:val="2C3A47"/>
          <w:sz w:val="17"/>
          <w:szCs w:val="17"/>
        </w:rPr>
        <w:t xml:space="preserve">Overschrijving op rekening IBAN BE19 3632 6396 3312, mededeling: het factuurnummer. Bancontact of contant kan ook bij de interventie. Contante betaling beperkt tot 3.000 € per verrichting (art. 67, wet van 18.09.2017).</w:t>
      </w:r>
    </w:p>
    <w:p>
      <w:pPr>
        <w:spacing w:after="90" w:before="0" w:line="210"/>
      </w:pPr>
      <w:r>
        <w:rPr>
          <w:rFonts w:ascii="Arial" w:cs="Arial" w:eastAsia="Arial" w:hAnsi="Arial"/>
          <w:b w:val="false"/>
          <w:bCs w:val="false"/>
          <w:i w:val="false"/>
          <w:iCs w:val="false"/>
          <w:color w:val="6B7B8A"/>
          <w:sz w:val="15"/>
          <w:szCs w:val="15"/>
        </w:rPr>
        <w:t xml:space="preserve">Laattijdige betaling: de eerste herinnering is gratis. Na een termijn van 14 kalenderdagen zijn interesten en een forfaitaire vergoeding verschuldigd volgens artikel 11 van onze algemene voorwaarden (Boek XIX van het Wetboek van economisch recht).</w:t>
      </w:r>
    </w:p>
    <w:p>
      <w:pPr>
        <w:pBdr>
          <w:bottom w:val="single" w:color="D8DEE4" w:sz="4"/>
        </w:pBdr>
        <w:spacing w:after="90" w:before="0"/>
      </w:pPr>
    </w:p>
    <w:p>
      <w:pPr>
        <w:spacing w:after="40" w:before="0" w:line="240"/>
      </w:pPr>
      <w:r>
        <w:rPr>
          <w:rFonts w:ascii="Arial" w:cs="Arial" w:eastAsia="Arial" w:hAnsi="Arial"/>
          <w:b/>
          <w:bCs/>
          <w:i w:val="false"/>
          <w:iCs w:val="false"/>
          <w:color w:val="6B7B8A"/>
          <w:spacing w:val="24"/>
          <w:sz w:val="15"/>
          <w:szCs w:val="15"/>
        </w:rPr>
        <w:t xml:space="preserve">VERPLICHTE WETTELIJKE VERMELDING</w:t>
      </w:r>
    </w:p>
    <w:p>
      <w:pPr>
        <w:spacing w:after="50" w:before="0" w:line="178"/>
      </w:pPr>
      <w:r>
        <w:rPr>
          <w:rFonts w:ascii="Arial" w:cs="Arial" w:eastAsia="Arial" w:hAnsi="Arial"/>
          <w:b w:val="false"/>
          <w:bCs w:val="false"/>
          <w:i w:val="false"/>
          <w:iCs w:val="false"/>
          <w:color w:val="6B7B8A"/>
          <w:sz w:val="13"/>
          <w:szCs w:val="13"/>
        </w:rPr>
        <w:t xml:space="preserve">Btw-tarief: Bij gebrek aan schriftelijke betwisting binnen een termijn van één maand vanaf de ontvangst van de factuur, wordt de klant geacht te erkennen dat (1) de werken worden verricht aan een woning waarvan de eerste ingebruikneming heeft plaatsgevonden in een kalenderjaar dat ten minste tien jaar voorafgaat aan de datum van de eerste factuur met betrekking tot die werken, (2) de woning, na uitvoering van die werken, uitsluitend of hoofdzakelijk als privéwoning wordt gebruikt en (3) de werken worden verstrekt en gefactureerd aan een eindverbruiker. Wanneer minstens één van die voorwaarden niet is voldaan, zal het normale btw-tarief van 21% van toepassing zijn en is de afnemer ten aanzien van die voorwaarden aansprakelijk voor de betaling van de verschuldigde belasting, interesten en geldboeten.</w:t>
      </w:r>
    </w:p>
    <w:p>
      <w:pPr>
        <w:spacing w:after="0" w:before="0" w:line="190"/>
      </w:pPr>
      <w:r>
        <w:rPr>
          <w:rFonts w:ascii="Arial" w:cs="Arial" w:eastAsia="Arial" w:hAnsi="Arial"/>
          <w:b w:val="false"/>
          <w:bCs w:val="false"/>
          <w:i w:val="false"/>
          <w:iCs w:val="false"/>
          <w:color w:val="6B7B8A"/>
          <w:sz w:val="13"/>
          <w:szCs w:val="13"/>
        </w:rPr>
        <w:t xml:space="preserve">Algemene voorwaarden: bij dit document gevoegd (pagina 3 en volgende) en gepubliceerd op prodebouchage24.be/nl/algemene-voorwaarden.</w:t>
      </w: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680"/>
      </w:tblGrid>
      <w:tr>
        <w:tc>
          <w:tcPr>
            <w:tcW w:type="dxa" w:w="3400"/>
            <w:tcMar>
              <w:top w:type="dxa" w:w="0"/>
              <w:left w:type="dxa" w:w="0"/>
              <w:bottom w:type="dxa" w:w="0"/>
              <w:right w:type="dxa" w:w="110"/>
            </w:tcMar>
            <w:vAlign w:val="bottom"/>
          </w:tcPr>
          <w:p>
            <w:pPr>
              <w:spacing w:after="0"/>
            </w:pPr>
            <w:r>
              <w:drawing>
                <wp:inline distT="0" distB="0" distL="0" distR="0">
                  <wp:extent cx="9906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90600" cy="619125"/>
                          </a:xfrm>
                          <a:prstGeom prst="rect">
                            <a:avLst/>
                          </a:prstGeom>
                        </pic:spPr>
                      </pic:pic>
                    </a:graphicData>
                  </a:graphic>
                </wp:inline>
              </w:drawing>
            </w:r>
          </w:p>
        </w:tc>
        <w:tc>
          <w:tcPr>
            <w:tcW w:type="dxa" w:w="6680"/>
            <w:tcMar>
              <w:top w:type="dxa" w:w="70"/>
              <w:left w:type="dxa" w:w="110"/>
              <w:bottom w:type="dxa" w:w="0"/>
              <w:right w:type="dxa" w:w="0"/>
            </w:tcMar>
            <w:vAlign w:val="bottom"/>
          </w:tcPr>
          <w:p>
            <w:pPr>
              <w:spacing w:after="0" w:before="0" w:line="240"/>
              <w:jc w:val="right"/>
            </w:pPr>
            <w:r>
              <w:rPr>
                <w:rFonts w:ascii="Arial" w:cs="Arial" w:eastAsia="Arial" w:hAnsi="Arial"/>
                <w:b/>
                <w:bCs/>
                <w:i w:val="false"/>
                <w:iCs w:val="false"/>
                <w:color w:val="1B2733"/>
                <w:spacing w:val="10"/>
                <w:sz w:val="48"/>
                <w:szCs w:val="48"/>
              </w:rPr>
              <w:t xml:space="preserve">WERKBON</w:t>
            </w:r>
          </w:p>
        </w:tc>
      </w:tr>
    </w:tbl>
    <w:p>
      <w:pPr>
        <w:pBdr>
          <w:bottom w:val="single" w:color="27B5A4" w:sz="12"/>
        </w:pBdr>
        <w:spacing w:after="70" w:before="0"/>
      </w:pPr>
    </w:p>
    <w:p>
      <w:pPr>
        <w:spacing w:after="40" w:before="0" w:line="240"/>
      </w:pPr>
      <w:r>
        <w:rPr>
          <w:rFonts w:ascii="Arial" w:cs="Arial" w:eastAsia="Arial" w:hAnsi="Arial"/>
          <w:b w:val="false"/>
          <w:bCs w:val="false"/>
          <w:i w:val="false"/>
          <w:iCs w:val="false"/>
          <w:color w:val="6B7B8A"/>
          <w:sz w:val="14"/>
          <w:szCs w:val="14"/>
        </w:rPr>
        <w:t xml:space="preserve">PRO DEBOUCHAGE BV · Guldenschaapstraat 6, 1800 Vilvoorde · Btw-nummer BE 1027.454.187 · RPR Brussel · 0480 649 649 · info@prodebouchage24.be · prodebouchage24.be</w:t>
      </w:r>
    </w:p>
    <w:p>
      <w:pPr>
        <w:pBdr>
          <w:bottom w:val="single" w:color="D8DEE4" w:sz="4"/>
        </w:pBdr>
        <w:spacing w:after="130" w:before="0"/>
      </w:pPr>
    </w:p>
    <w:p>
      <w:pPr>
        <w:spacing w:after="150" w:before="0" w:line="240"/>
      </w:pPr>
      <w:r>
        <w:rPr>
          <w:rFonts w:ascii="Arial" w:cs="Arial" w:eastAsia="Arial" w:hAnsi="Arial"/>
          <w:b w:val="false"/>
          <w:bCs w:val="false"/>
          <w:i/>
          <w:iCs/>
          <w:color w:val="6B7B8A"/>
          <w:sz w:val="15"/>
          <w:szCs w:val="15"/>
        </w:rPr>
        <w:t xml:space="preserve">Laat dit ondertekenen VOOR de werken beginnen. De klant krijgt een kopie.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type="dxa" w:w="4980"/>
            <w:tcBorders>
              <w:top w:val="single" w:color="D8DEE4" w:sz="4"/>
              <w:left w:val="single" w:color="D8DEE4" w:sz="4"/>
              <w:bottom w:val="single" w:color="D8DEE4" w:sz="4"/>
              <w:right w:val="single" w:color="D8DEE4" w:sz="4"/>
            </w:tcBorders>
            <w:shd w:fill="F2F6F5" w:color="auto" w:val="clear"/>
            <w:tcMar>
              <w:top w:type="dxa" w:w="80"/>
              <w:left w:type="dxa" w:w="160"/>
              <w:bottom w:type="dxa" w:w="8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GEFACTUREERD AAN</w:t>
            </w:r>
          </w:p>
          <w:p>
            <w:pPr>
              <w:spacing w:after="20" w:before="0" w:line="240"/>
            </w:pPr>
            <w:r>
              <w:rPr>
                <w:rFonts w:ascii="Arial" w:cs="Arial" w:eastAsia="Arial" w:hAnsi="Arial"/>
                <w:b w:val="false"/>
                <w:bCs w:val="false"/>
                <w:i w:val="false"/>
                <w:iCs w:val="false"/>
                <w:color w:val="6B7B8A"/>
                <w:sz w:val="14"/>
                <w:szCs w:val="14"/>
              </w:rPr>
              <w:t xml:space="preserve">Naam</w:t>
            </w:r>
          </w:p>
          <w:p>
            <w:pPr>
              <w:pBdr>
                <w:top w:val="none" w:color="FFFFFF" w:sz="0"/>
                <w:bottom w:val="single" w:color="B9C4CD" w:sz="4"/>
                <w:left w:val="none" w:color="FFFFFF" w:sz="0"/>
                <w:right w:val="none" w:color="FFFFFF" w:sz="0"/>
              </w:pBdr>
              <w:spacing w:after="60" w:before="190" w:line="240"/>
            </w:pPr>
          </w:p>
          <w:p>
            <w:pPr>
              <w:spacing w:after="20" w:before="0" w:line="240"/>
            </w:pPr>
            <w:r>
              <w:rPr>
                <w:rFonts w:ascii="Arial" w:cs="Arial" w:eastAsia="Arial" w:hAnsi="Arial"/>
                <w:b w:val="false"/>
                <w:bCs w:val="false"/>
                <w:i w:val="false"/>
                <w:iCs w:val="false"/>
                <w:color w:val="6B7B8A"/>
                <w:sz w:val="14"/>
                <w:szCs w:val="14"/>
              </w:rPr>
              <w:t xml:space="preserve">Adres</w:t>
            </w:r>
          </w:p>
          <w:p>
            <w:pPr>
              <w:pBdr>
                <w:top w:val="none" w:color="FFFFFF" w:sz="0"/>
                <w:bottom w:val="single" w:color="B9C4CD" w:sz="4"/>
                <w:left w:val="none" w:color="FFFFFF" w:sz="0"/>
                <w:right w:val="none" w:color="FFFFFF" w:sz="0"/>
              </w:pBdr>
              <w:spacing w:after="60" w:before="190" w:line="240"/>
            </w:pPr>
          </w:p>
          <w:p>
            <w:pPr>
              <w:spacing w:after="20" w:before="0" w:line="240"/>
            </w:pPr>
            <w:r>
              <w:rPr>
                <w:rFonts w:ascii="Arial" w:cs="Arial" w:eastAsia="Arial" w:hAnsi="Arial"/>
                <w:b w:val="false"/>
                <w:bCs w:val="false"/>
                <w:i w:val="false"/>
                <w:iCs w:val="false"/>
                <w:color w:val="6B7B8A"/>
                <w:sz w:val="14"/>
                <w:szCs w:val="14"/>
              </w:rPr>
              <w:t xml:space="preserve">Telefoon</w:t>
            </w:r>
          </w:p>
          <w:p>
            <w:pPr>
              <w:pBdr>
                <w:top w:val="none" w:color="FFFFFF" w:sz="0"/>
                <w:bottom w:val="single" w:color="B9C4CD" w:sz="4"/>
                <w:left w:val="none" w:color="FFFFFF" w:sz="0"/>
                <w:right w:val="none" w:color="FFFFFF" w:sz="0"/>
              </w:pBdr>
              <w:spacing w:after="0" w:before="190" w:line="240"/>
            </w:pPr>
          </w:p>
        </w:tc>
        <w:tc>
          <w:tcPr>
            <w:tcW w:type="dxa" w:w="120"/>
            <w:tcMar>
              <w:top w:type="dxa" w:w="70"/>
              <w:left w:type="dxa" w:w="0"/>
              <w:bottom w:type="dxa" w:w="70"/>
              <w:right w:type="dxa" w:w="0"/>
            </w:tcMar>
            <w:vAlign w:val="top"/>
          </w:tcPr>
          <w:p>
            <w:pPr>
              <w:spacing w:after="0" w:before="0" w:line="240"/>
            </w:pPr>
          </w:p>
        </w:tc>
        <w:tc>
          <w:tcPr>
            <w:tcW w:type="dxa" w:w="4980"/>
            <w:tcBorders>
              <w:top w:val="single" w:color="D8DEE4" w:sz="4"/>
              <w:left w:val="single" w:color="D8DEE4" w:sz="4"/>
              <w:bottom w:val="single" w:color="D8DEE4" w:sz="4"/>
              <w:right w:val="single" w:color="D8DEE4" w:sz="4"/>
            </w:tcBorders>
            <w:tcMar>
              <w:top w:type="dxa" w:w="80"/>
              <w:left w:type="dxa" w:w="160"/>
              <w:bottom w:type="dxa" w:w="8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PLAATS VAN DE INTERVENTIE</w:t>
            </w:r>
          </w:p>
          <w:p>
            <w:pPr>
              <w:spacing w:after="20" w:before="0" w:line="240"/>
            </w:pPr>
            <w:r>
              <w:rPr>
                <w:rFonts w:ascii="Arial" w:cs="Arial" w:eastAsia="Arial" w:hAnsi="Arial"/>
                <w:b w:val="false"/>
                <w:bCs w:val="false"/>
                <w:i w:val="false"/>
                <w:iCs w:val="false"/>
                <w:color w:val="6B7B8A"/>
                <w:sz w:val="14"/>
                <w:szCs w:val="14"/>
              </w:rPr>
              <w:t xml:space="preserve">Datum   /   Uur</w:t>
            </w:r>
          </w:p>
          <w:p>
            <w:pPr>
              <w:pBdr>
                <w:top w:val="none" w:color="FFFFFF" w:sz="0"/>
                <w:bottom w:val="single" w:color="B9C4CD" w:sz="4"/>
                <w:left w:val="none" w:color="FFFFFF" w:sz="0"/>
                <w:right w:val="none" w:color="FFFFFF" w:sz="0"/>
              </w:pBdr>
              <w:spacing w:after="60" w:before="190" w:line="240"/>
            </w:pPr>
          </w:p>
          <w:p>
            <w:pPr>
              <w:spacing w:after="20" w:before="0" w:line="240"/>
            </w:pPr>
            <w:r>
              <w:rPr>
                <w:rFonts w:ascii="Arial" w:cs="Arial" w:eastAsia="Arial" w:hAnsi="Arial"/>
                <w:b w:val="false"/>
                <w:bCs w:val="false"/>
                <w:i w:val="false"/>
                <w:iCs w:val="false"/>
                <w:color w:val="6B7B8A"/>
                <w:sz w:val="14"/>
                <w:szCs w:val="14"/>
              </w:rPr>
              <w:t xml:space="preserve">Adres</w:t>
            </w:r>
          </w:p>
          <w:p>
            <w:pPr>
              <w:pBdr>
                <w:top w:val="none" w:color="FFFFFF" w:sz="0"/>
                <w:bottom w:val="single" w:color="B9C4CD" w:sz="4"/>
                <w:left w:val="none" w:color="FFFFFF" w:sz="0"/>
                <w:right w:val="none" w:color="FFFFFF" w:sz="0"/>
              </w:pBdr>
              <w:spacing w:after="60" w:before="190" w:line="240"/>
            </w:pPr>
          </w:p>
          <w:p>
            <w:pPr>
              <w:spacing w:after="20" w:before="0" w:line="240"/>
            </w:pPr>
            <w:r>
              <w:rPr>
                <w:rFonts w:ascii="Arial" w:cs="Arial" w:eastAsia="Arial" w:hAnsi="Arial"/>
                <w:b w:val="false"/>
                <w:bCs w:val="false"/>
                <w:i w:val="false"/>
                <w:iCs w:val="false"/>
                <w:color w:val="6B7B8A"/>
                <w:sz w:val="14"/>
                <w:szCs w:val="14"/>
              </w:rPr>
              <w:t xml:space="preserve">Nummer van de offerte of factuur</w:t>
            </w:r>
          </w:p>
          <w:p>
            <w:pPr>
              <w:pBdr>
                <w:top w:val="none" w:color="FFFFFF" w:sz="0"/>
                <w:bottom w:val="single" w:color="B9C4CD" w:sz="4"/>
                <w:left w:val="none" w:color="FFFFFF" w:sz="0"/>
                <w:right w:val="none" w:color="FFFFFF" w:sz="0"/>
              </w:pBdr>
              <w:spacing w:after="0" w:before="190" w:line="240"/>
            </w:pPr>
          </w:p>
        </w:tc>
      </w:tr>
    </w:tbl>
    <w:p>
      <w:pPr>
        <w:spacing w:after="180"/>
      </w:pPr>
    </w:p>
    <w:p>
      <w:pPr>
        <w:spacing w:after="50" w:before="0" w:line="240"/>
      </w:pPr>
      <w:r>
        <w:rPr>
          <w:rFonts w:ascii="Arial" w:cs="Arial" w:eastAsia="Arial" w:hAnsi="Arial"/>
          <w:b/>
          <w:bCs/>
          <w:i w:val="false"/>
          <w:iCs w:val="false"/>
          <w:color w:val="27B5A4"/>
          <w:spacing w:val="24"/>
          <w:sz w:val="15"/>
          <w:szCs w:val="15"/>
        </w:rPr>
        <w:t xml:space="preserve">GEVRAAGDE DRINGENDE WERKEN</w:t>
      </w:r>
    </w:p>
    <w:p>
      <w:pPr>
        <w:pBdr>
          <w:top w:val="none" w:color="FFFFFF" w:sz="0"/>
          <w:bottom w:val="single" w:color="B9C4CD" w:sz="4"/>
          <w:left w:val="none" w:color="FFFFFF" w:sz="0"/>
          <w:right w:val="none" w:color="FFFFFF" w:sz="0"/>
        </w:pBdr>
        <w:spacing w:after="130" w:before="260" w:line="240"/>
      </w:pPr>
    </w:p>
    <w:p>
      <w:pPr>
        <w:pBdr>
          <w:top w:val="none" w:color="FFFFFF" w:sz="0"/>
          <w:bottom w:val="single" w:color="B9C4CD" w:sz="4"/>
          <w:left w:val="none" w:color="FFFFFF" w:sz="0"/>
          <w:right w:val="none" w:color="FFFFFF" w:sz="0"/>
        </w:pBdr>
        <w:spacing w:after="130" w:before="260" w:line="240"/>
      </w:pPr>
    </w:p>
    <w:p>
      <w:pPr>
        <w:pBdr>
          <w:top w:val="none" w:color="FFFFFF" w:sz="0"/>
          <w:bottom w:val="single" w:color="B9C4CD" w:sz="4"/>
          <w:left w:val="none" w:color="FFFFFF" w:sz="0"/>
          <w:right w:val="none" w:color="FFFFFF" w:sz="0"/>
        </w:pBdr>
        <w:spacing w:after="200" w:before="260" w:line="240"/>
      </w:pPr>
    </w:p>
    <w:p>
      <w:pPr>
        <w:spacing w:after="50" w:before="0" w:line="240"/>
      </w:pPr>
      <w:r>
        <w:rPr>
          <w:rFonts w:ascii="Arial" w:cs="Arial" w:eastAsia="Arial" w:hAnsi="Arial"/>
          <w:b/>
          <w:bCs/>
          <w:i w:val="false"/>
          <w:iCs w:val="false"/>
          <w:color w:val="27B5A4"/>
          <w:spacing w:val="24"/>
          <w:sz w:val="15"/>
          <w:szCs w:val="15"/>
        </w:rPr>
        <w:t xml:space="preserve">PRIJS EN TOESLAGEN</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type="dxa" w:w="4980"/>
            <w:tcMar>
              <w:top w:type="dxa" w:w="0"/>
              <w:left w:type="dxa" w:w="0"/>
              <w:bottom w:type="dxa" w:w="0"/>
              <w:right w:type="dxa" w:w="0"/>
            </w:tcMar>
            <w:vAlign w:val="top"/>
          </w:tcPr>
          <w:p>
            <w:pPr>
              <w:spacing w:after="20" w:before="0" w:line="240"/>
            </w:pPr>
            <w:r>
              <w:rPr>
                <w:rFonts w:ascii="Arial" w:cs="Arial" w:eastAsia="Arial" w:hAnsi="Arial"/>
                <w:b w:val="false"/>
                <w:bCs w:val="false"/>
                <w:i w:val="false"/>
                <w:iCs w:val="false"/>
                <w:color w:val="6B7B8A"/>
                <w:sz w:val="14"/>
                <w:szCs w:val="14"/>
              </w:rPr>
              <w:t xml:space="preserve">Prijs aan de telefoon meegedeeld en ter plaatse bevestigd</w:t>
            </w:r>
          </w:p>
          <w:p>
            <w:pPr>
              <w:pBdr>
                <w:top w:val="none" w:color="FFFFFF" w:sz="0"/>
                <w:bottom w:val="single" w:color="B9C4CD" w:sz="4"/>
                <w:left w:val="none" w:color="FFFFFF" w:sz="0"/>
                <w:right w:val="none" w:color="FFFFFF" w:sz="0"/>
              </w:pBdr>
              <w:spacing w:after="0" w:before="200" w:line="240"/>
            </w:pPr>
          </w:p>
        </w:tc>
        <w:tc>
          <w:tcPr>
            <w:tcW w:type="dxa" w:w="120"/>
            <w:tcMar>
              <w:top w:type="dxa" w:w="70"/>
              <w:left w:type="dxa" w:w="0"/>
              <w:bottom w:type="dxa" w:w="70"/>
              <w:right w:type="dxa" w:w="0"/>
            </w:tcMar>
            <w:vAlign w:val="top"/>
          </w:tcPr>
          <w:p>
            <w:pPr>
              <w:spacing w:after="0" w:before="0" w:line="240"/>
            </w:pPr>
          </w:p>
        </w:tc>
        <w:tc>
          <w:tcPr>
            <w:tcW w:type="dxa" w:w="4980"/>
            <w:tcMar>
              <w:top w:type="dxa" w:w="0"/>
              <w:left w:type="dxa" w:w="0"/>
              <w:bottom w:type="dxa" w:w="0"/>
              <w:right w:type="dxa" w:w="0"/>
            </w:tcMar>
            <w:vAlign w:val="top"/>
          </w:tcPr>
          <w:p>
            <w:pPr>
              <w:spacing w:after="20" w:before="0" w:line="240"/>
            </w:pPr>
            <w:r>
              <w:rPr>
                <w:rFonts w:ascii="Arial" w:cs="Arial" w:eastAsia="Arial" w:hAnsi="Arial"/>
                <w:b w:val="false"/>
                <w:bCs w:val="false"/>
                <w:i w:val="false"/>
                <w:iCs w:val="false"/>
                <w:color w:val="6B7B8A"/>
                <w:sz w:val="14"/>
                <w:szCs w:val="14"/>
              </w:rPr>
              <w:t xml:space="preserve">Of berekeningsbasis als de juiste prijs afhangt van de vaststelling ter plaatse</w:t>
            </w:r>
          </w:p>
          <w:p>
            <w:pPr>
              <w:pBdr>
                <w:top w:val="none" w:color="FFFFFF" w:sz="0"/>
                <w:bottom w:val="single" w:color="B9C4CD" w:sz="4"/>
                <w:left w:val="none" w:color="FFFFFF" w:sz="0"/>
                <w:right w:val="none" w:color="FFFFFF" w:sz="0"/>
              </w:pBdr>
              <w:spacing w:after="0" w:before="200" w:line="240"/>
            </w:pPr>
          </w:p>
        </w:tc>
      </w:tr>
    </w:tbl>
    <w:p>
      <w:pPr>
        <w:spacing w:after="150"/>
      </w:pPr>
    </w:p>
    <w:p>
      <w:pPr>
        <w:spacing w:after="60" w:before="0" w:line="240"/>
      </w:pPr>
      <w:r>
        <w:rPr>
          <w:rFonts w:ascii="Arial" w:cs="Arial" w:eastAsia="Arial" w:hAnsi="Arial"/>
          <w:b w:val="false"/>
          <w:bCs w:val="false"/>
          <w:i w:val="false"/>
          <w:iCs w:val="false"/>
          <w:color w:val="6B7B8A"/>
          <w:sz w:val="15"/>
          <w:szCs w:val="15"/>
        </w:rPr>
        <w:t xml:space="preserve">Toepasselijke toeslagen (aankruisen indien van toepassing)</w:t>
      </w:r>
    </w:p>
    <w:p>
      <w:pPr>
        <w:spacing w:after="50" w:before="0" w:line="240"/>
      </w:pPr>
      <w:r>
        <w:rPr>
          <w:rFonts w:ascii="Arial" w:cs="Arial" w:eastAsia="Arial" w:hAnsi="Arial"/>
          <w:b w:val="false"/>
          <w:bCs w:val="false"/>
          <w:i w:val="false"/>
          <w:iCs w:val="false"/>
          <w:color w:val="1B2733"/>
          <w:sz w:val="18"/>
          <w:szCs w:val="18"/>
        </w:rPr>
        <w:t xml:space="preserve">☐   Avond of zaterdag: + 50 %</w:t>
      </w:r>
    </w:p>
    <w:p>
      <w:pPr>
        <w:spacing w:after="60" w:before="0" w:line="240"/>
      </w:pPr>
      <w:r>
        <w:rPr>
          <w:rFonts w:ascii="Arial" w:cs="Arial" w:eastAsia="Arial" w:hAnsi="Arial"/>
          <w:b w:val="false"/>
          <w:bCs w:val="false"/>
          <w:i w:val="false"/>
          <w:iCs w:val="false"/>
          <w:color w:val="1B2733"/>
          <w:sz w:val="18"/>
          <w:szCs w:val="18"/>
        </w:rPr>
        <w:t xml:space="preserve">☐   Nacht, zondag of feestdag: + 75 %</w:t>
      </w:r>
    </w:p>
    <w:p>
      <w:pPr>
        <w:spacing w:after="200" w:before="0" w:line="240"/>
      </w:pPr>
      <w:r>
        <w:rPr>
          <w:rFonts w:ascii="Arial" w:cs="Arial" w:eastAsia="Arial" w:hAnsi="Arial"/>
          <w:b/>
          <w:bCs/>
          <w:i w:val="false"/>
          <w:iCs w:val="false"/>
          <w:color w:val="1B2733"/>
          <w:sz w:val="16"/>
          <w:szCs w:val="16"/>
        </w:rPr>
        <w:t xml:space="preserve">Kan er niets ontstopt worden, dan is enkel de verplaatsing van 60 € incl. btw verschuldigd.</w:t>
      </w:r>
    </w:p>
    <w:p>
      <w:pPr>
        <w:spacing w:after="50" w:before="0" w:line="240"/>
      </w:pPr>
      <w:r>
        <w:rPr>
          <w:rFonts w:ascii="Arial" w:cs="Arial" w:eastAsia="Arial" w:hAnsi="Arial"/>
          <w:b/>
          <w:bCs/>
          <w:i w:val="false"/>
          <w:iCs w:val="false"/>
          <w:color w:val="27B5A4"/>
          <w:spacing w:val="24"/>
          <w:sz w:val="15"/>
          <w:szCs w:val="15"/>
        </w:rPr>
        <w:t xml:space="preserve">VERKLARINGEN VAN DE KLANT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type="dxa" w:w="420"/>
            <w:tcMar>
              <w:top w:type="dxa" w:w="40"/>
              <w:left w:type="dxa" w:w="0"/>
              <w:bottom w:type="dxa" w:w="40"/>
              <w:right w:type="dxa" w:w="0"/>
            </w:tcMar>
            <w:vAlign w:val="top"/>
          </w:tcPr>
          <w:p>
            <w:pPr>
              <w:spacing w:after="0" w:before="0" w:line="240"/>
            </w:pPr>
            <w:r>
              <w:rPr>
                <w:rFonts w:ascii="Arial" w:cs="Arial" w:eastAsia="Arial" w:hAnsi="Arial"/>
                <w:b w:val="false"/>
                <w:bCs w:val="false"/>
                <w:i w:val="false"/>
                <w:iCs w:val="false"/>
                <w:color w:val="1B2733"/>
                <w:sz w:val="24"/>
                <w:szCs w:val="24"/>
              </w:rPr>
              <w:t xml:space="preserve">☐</w:t>
            </w:r>
          </w:p>
        </w:tc>
        <w:tc>
          <w:tcPr>
            <w:tcW w:type="dxa" w:w="9660"/>
            <w:tcMar>
              <w:top w:type="dxa" w:w="40"/>
              <w:left w:type="dxa" w:w="40"/>
              <w:bottom w:type="dxa" w:w="40"/>
              <w:right w:type="dxa" w:w="0"/>
            </w:tcMar>
            <w:vAlign w:val="top"/>
          </w:tcPr>
          <w:p>
            <w:pPr>
              <w:spacing w:after="0" w:before="0" w:line="210"/>
            </w:pPr>
            <w:r>
              <w:rPr>
                <w:rFonts w:ascii="Arial" w:cs="Arial" w:eastAsia="Arial" w:hAnsi="Arial"/>
                <w:b w:val="false"/>
                <w:bCs w:val="false"/>
                <w:i w:val="false"/>
                <w:iCs w:val="false"/>
                <w:color w:val="2C3A47"/>
                <w:sz w:val="15"/>
                <w:szCs w:val="15"/>
              </w:rPr>
              <w:t xml:space="preserve">Ik verzoek PRO DEBOUCHAGE BV uitdrukkelijk om bij mij langs te komen voor dringende herstellings- of onderhoudswerken. Ik erken dat mij werd meegedeeld dat ik voor die dringende werken en voor de onmisbare vervangingsonderdelen niet beschik over het herroepingsrecht van veertien dagen (artikel VI.53, 8° van het Wetboek van economisch recht).</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type="dxa" w:w="420"/>
            <w:tcMar>
              <w:top w:type="dxa" w:w="40"/>
              <w:left w:type="dxa" w:w="0"/>
              <w:bottom w:type="dxa" w:w="40"/>
              <w:right w:type="dxa" w:w="0"/>
            </w:tcMar>
            <w:vAlign w:val="top"/>
          </w:tcPr>
          <w:p>
            <w:pPr>
              <w:spacing w:after="0" w:before="0" w:line="240"/>
            </w:pPr>
            <w:r>
              <w:rPr>
                <w:rFonts w:ascii="Arial" w:cs="Arial" w:eastAsia="Arial" w:hAnsi="Arial"/>
                <w:b w:val="false"/>
                <w:bCs w:val="false"/>
                <w:i w:val="false"/>
                <w:iCs w:val="false"/>
                <w:color w:val="1B2733"/>
                <w:sz w:val="24"/>
                <w:szCs w:val="24"/>
              </w:rPr>
              <w:t xml:space="preserve">☐</w:t>
            </w:r>
          </w:p>
        </w:tc>
        <w:tc>
          <w:tcPr>
            <w:tcW w:type="dxa" w:w="9660"/>
            <w:tcMar>
              <w:top w:type="dxa" w:w="40"/>
              <w:left w:type="dxa" w:w="40"/>
              <w:bottom w:type="dxa" w:w="40"/>
              <w:right w:type="dxa" w:w="0"/>
            </w:tcMar>
            <w:vAlign w:val="top"/>
          </w:tcPr>
          <w:p>
            <w:pPr>
              <w:spacing w:after="0" w:before="0" w:line="210"/>
            </w:pPr>
            <w:r>
              <w:rPr>
                <w:rFonts w:ascii="Arial" w:cs="Arial" w:eastAsia="Arial" w:hAnsi="Arial"/>
                <w:b w:val="false"/>
                <w:bCs w:val="false"/>
                <w:i w:val="false"/>
                <w:iCs w:val="false"/>
                <w:color w:val="2C3A47"/>
                <w:sz w:val="15"/>
                <w:szCs w:val="15"/>
              </w:rPr>
              <w:t xml:space="preserve">Ik vraag uitdrukkelijk om de werken onmiddellijk uit te voeren en ik erken dat ik mijn herroepingsrecht verlies zodra de dienst volledig is uitgevoerd (artikelen VI.53, 1° en VI.73, 1° van het Wetboek van economisch recht).</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type="dxa" w:w="420"/>
            <w:tcMar>
              <w:top w:type="dxa" w:w="40"/>
              <w:left w:type="dxa" w:w="0"/>
              <w:bottom w:type="dxa" w:w="40"/>
              <w:right w:type="dxa" w:w="0"/>
            </w:tcMar>
            <w:vAlign w:val="top"/>
          </w:tcPr>
          <w:p>
            <w:pPr>
              <w:spacing w:after="0" w:before="0" w:line="240"/>
            </w:pPr>
            <w:r>
              <w:rPr>
                <w:rFonts w:ascii="Arial" w:cs="Arial" w:eastAsia="Arial" w:hAnsi="Arial"/>
                <w:b w:val="false"/>
                <w:bCs w:val="false"/>
                <w:i w:val="false"/>
                <w:iCs w:val="false"/>
                <w:color w:val="1B2733"/>
                <w:sz w:val="24"/>
                <w:szCs w:val="24"/>
              </w:rPr>
              <w:t xml:space="preserve">☐</w:t>
            </w:r>
          </w:p>
        </w:tc>
        <w:tc>
          <w:tcPr>
            <w:tcW w:type="dxa" w:w="9660"/>
            <w:tcMar>
              <w:top w:type="dxa" w:w="40"/>
              <w:left w:type="dxa" w:w="40"/>
              <w:bottom w:type="dxa" w:w="40"/>
              <w:right w:type="dxa" w:w="0"/>
            </w:tcMar>
            <w:vAlign w:val="top"/>
          </w:tcPr>
          <w:p>
            <w:pPr>
              <w:spacing w:after="0" w:before="0" w:line="210"/>
            </w:pPr>
            <w:r>
              <w:rPr>
                <w:rFonts w:ascii="Arial" w:cs="Arial" w:eastAsia="Arial" w:hAnsi="Arial"/>
                <w:b w:val="false"/>
                <w:bCs w:val="false"/>
                <w:i w:val="false"/>
                <w:iCs w:val="false"/>
                <w:color w:val="2C3A47"/>
                <w:sz w:val="15"/>
                <w:szCs w:val="15"/>
              </w:rPr>
              <w:t xml:space="preserve">Ik heb de algemene voorwaarden van PRO DEBOUCHAGE BV ontvangen en ik aanvaard ze, bij deze werkbon gevoegd en gepubliceerd op prodebouchage24.be/nl/algemene-voorwaarden, met inbegrip van de terugkomgarantie van 30 dagen en haar uitsluitingen (vochtige doekjes, vetten, wortels, gebroken leiding: artikel 12).</w:t>
            </w:r>
          </w:p>
        </w:tc>
      </w:tr>
    </w:tbl>
    <w:p>
      <w:pPr>
        <w:spacing w:after="1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type="dxa" w:w="4980"/>
            <w:tcBorders>
              <w:top w:val="single" w:color="D8DEE4" w:sz="4"/>
              <w:left w:val="single" w:color="D8DEE4" w:sz="4"/>
              <w:bottom w:val="single" w:color="D8DEE4" w:sz="4"/>
              <w:right w:val="single" w:color="D8DEE4" w:sz="4"/>
            </w:tcBorders>
            <w:tcMar>
              <w:top w:type="dxa" w:w="80"/>
              <w:left w:type="dxa" w:w="160"/>
              <w:bottom w:type="dxa" w:w="8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DE KLANT</w:t>
            </w:r>
          </w:p>
          <w:p>
            <w:pPr>
              <w:spacing w:after="20" w:before="0" w:line="240"/>
            </w:pPr>
            <w:r>
              <w:rPr>
                <w:rFonts w:ascii="Arial" w:cs="Arial" w:eastAsia="Arial" w:hAnsi="Arial"/>
                <w:b w:val="false"/>
                <w:bCs w:val="false"/>
                <w:i w:val="false"/>
                <w:iCs w:val="false"/>
                <w:color w:val="6B7B8A"/>
                <w:sz w:val="14"/>
                <w:szCs w:val="14"/>
              </w:rPr>
              <w:t xml:space="preserve">Naam in hoofdletters</w:t>
            </w:r>
          </w:p>
          <w:p>
            <w:pPr>
              <w:pBdr>
                <w:top w:val="none" w:color="FFFFFF" w:sz="0"/>
                <w:bottom w:val="single" w:color="B9C4CD" w:sz="4"/>
                <w:left w:val="none" w:color="FFFFFF" w:sz="0"/>
                <w:right w:val="none" w:color="FFFFFF" w:sz="0"/>
              </w:pBdr>
              <w:spacing w:after="60" w:before="150" w:line="240"/>
            </w:pPr>
          </w:p>
          <w:p>
            <w:pPr>
              <w:spacing w:after="20" w:before="0" w:line="240"/>
            </w:pPr>
            <w:r>
              <w:rPr>
                <w:rFonts w:ascii="Arial" w:cs="Arial" w:eastAsia="Arial" w:hAnsi="Arial"/>
                <w:b w:val="false"/>
                <w:bCs w:val="false"/>
                <w:i w:val="false"/>
                <w:iCs w:val="false"/>
                <w:color w:val="6B7B8A"/>
                <w:sz w:val="14"/>
                <w:szCs w:val="14"/>
              </w:rPr>
              <w:t xml:space="preserve">Datum</w:t>
            </w:r>
          </w:p>
          <w:p>
            <w:pPr>
              <w:pBdr>
                <w:top w:val="none" w:color="FFFFFF" w:sz="0"/>
                <w:bottom w:val="single" w:color="B9C4CD" w:sz="4"/>
                <w:left w:val="none" w:color="FFFFFF" w:sz="0"/>
                <w:right w:val="none" w:color="FFFFFF" w:sz="0"/>
              </w:pBdr>
              <w:spacing w:after="60" w:before="150" w:line="240"/>
            </w:pPr>
          </w:p>
          <w:p>
            <w:pPr>
              <w:spacing w:after="20" w:before="0" w:line="240"/>
            </w:pPr>
            <w:r>
              <w:rPr>
                <w:rFonts w:ascii="Arial" w:cs="Arial" w:eastAsia="Arial" w:hAnsi="Arial"/>
                <w:b w:val="false"/>
                <w:bCs w:val="false"/>
                <w:i w:val="false"/>
                <w:iCs w:val="false"/>
                <w:color w:val="6B7B8A"/>
                <w:sz w:val="14"/>
                <w:szCs w:val="14"/>
              </w:rPr>
              <w:t xml:space="preserve">"Gelezen en goedgekeurd", datum en handtekening</w:t>
            </w:r>
          </w:p>
          <w:p>
            <w:pPr>
              <w:pBdr>
                <w:top w:val="none" w:color="FFFFFF" w:sz="0"/>
                <w:bottom w:val="single" w:color="B9C4CD" w:sz="4"/>
                <w:left w:val="none" w:color="FFFFFF" w:sz="0"/>
                <w:right w:val="none" w:color="FFFFFF" w:sz="0"/>
              </w:pBdr>
              <w:spacing w:after="0" w:before="620" w:line="240"/>
            </w:pPr>
          </w:p>
        </w:tc>
        <w:tc>
          <w:tcPr>
            <w:tcW w:type="dxa" w:w="120"/>
            <w:tcMar>
              <w:top w:type="dxa" w:w="70"/>
              <w:left w:type="dxa" w:w="0"/>
              <w:bottom w:type="dxa" w:w="70"/>
              <w:right w:type="dxa" w:w="0"/>
            </w:tcMar>
            <w:vAlign w:val="top"/>
          </w:tcPr>
          <w:p>
            <w:pPr>
              <w:spacing w:after="0" w:before="0" w:line="240"/>
            </w:pPr>
          </w:p>
        </w:tc>
        <w:tc>
          <w:tcPr>
            <w:tcW w:type="dxa" w:w="4980"/>
            <w:tcBorders>
              <w:top w:val="single" w:color="D8DEE4" w:sz="4"/>
              <w:left w:val="single" w:color="D8DEE4" w:sz="4"/>
              <w:bottom w:val="single" w:color="D8DEE4" w:sz="4"/>
              <w:right w:val="single" w:color="D8DEE4" w:sz="4"/>
            </w:tcBorders>
            <w:tcMar>
              <w:top w:type="dxa" w:w="80"/>
              <w:left w:type="dxa" w:w="160"/>
              <w:bottom w:type="dxa" w:w="8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VOOR PRO DEBOUCHAGE BV</w:t>
            </w:r>
          </w:p>
          <w:p>
            <w:pPr>
              <w:spacing w:after="20" w:before="0" w:line="240"/>
            </w:pPr>
            <w:r>
              <w:rPr>
                <w:rFonts w:ascii="Arial" w:cs="Arial" w:eastAsia="Arial" w:hAnsi="Arial"/>
                <w:b w:val="false"/>
                <w:bCs w:val="false"/>
                <w:i w:val="false"/>
                <w:iCs w:val="false"/>
                <w:color w:val="6B7B8A"/>
                <w:sz w:val="14"/>
                <w:szCs w:val="14"/>
              </w:rPr>
              <w:t xml:space="preserve">Naam in hoofdletters</w:t>
            </w:r>
          </w:p>
          <w:p>
            <w:pPr>
              <w:pBdr>
                <w:top w:val="none" w:color="FFFFFF" w:sz="0"/>
                <w:bottom w:val="single" w:color="B9C4CD" w:sz="4"/>
                <w:left w:val="none" w:color="FFFFFF" w:sz="0"/>
                <w:right w:val="none" w:color="FFFFFF" w:sz="0"/>
              </w:pBdr>
              <w:spacing w:after="60" w:before="150" w:line="240"/>
            </w:pPr>
          </w:p>
          <w:p>
            <w:pPr>
              <w:spacing w:after="20" w:before="0" w:line="240"/>
            </w:pPr>
            <w:r>
              <w:rPr>
                <w:rFonts w:ascii="Arial" w:cs="Arial" w:eastAsia="Arial" w:hAnsi="Arial"/>
                <w:b w:val="false"/>
                <w:bCs w:val="false"/>
                <w:i w:val="false"/>
                <w:iCs w:val="false"/>
                <w:color w:val="6B7B8A"/>
                <w:sz w:val="14"/>
                <w:szCs w:val="14"/>
              </w:rPr>
              <w:t xml:space="preserve">Datum</w:t>
            </w:r>
          </w:p>
          <w:p>
            <w:pPr>
              <w:pBdr>
                <w:top w:val="none" w:color="FFFFFF" w:sz="0"/>
                <w:bottom w:val="single" w:color="B9C4CD" w:sz="4"/>
                <w:left w:val="none" w:color="FFFFFF" w:sz="0"/>
                <w:right w:val="none" w:color="FFFFFF" w:sz="0"/>
              </w:pBdr>
              <w:spacing w:after="60" w:before="150" w:line="240"/>
            </w:pPr>
          </w:p>
          <w:p>
            <w:pPr>
              <w:spacing w:after="20" w:before="0" w:line="240"/>
            </w:pPr>
            <w:r>
              <w:rPr>
                <w:rFonts w:ascii="Arial" w:cs="Arial" w:eastAsia="Arial" w:hAnsi="Arial"/>
                <w:b w:val="false"/>
                <w:bCs w:val="false"/>
                <w:i w:val="false"/>
                <w:iCs w:val="false"/>
                <w:color w:val="6B7B8A"/>
                <w:sz w:val="14"/>
                <w:szCs w:val="14"/>
              </w:rPr>
              <w:t xml:space="preserve">"Gelezen en goedgekeurd", datum en handtekening</w:t>
            </w:r>
          </w:p>
          <w:p>
            <w:pPr>
              <w:pBdr>
                <w:top w:val="none" w:color="FFFFFF" w:sz="0"/>
                <w:bottom w:val="single" w:color="B9C4CD" w:sz="4"/>
                <w:left w:val="none" w:color="FFFFFF" w:sz="0"/>
                <w:right w:val="none" w:color="FFFFFF" w:sz="0"/>
              </w:pBdr>
              <w:spacing w:after="0" w:before="620" w:line="240"/>
            </w:pPr>
          </w:p>
        </w:tc>
      </w:tr>
    </w:tbl>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c>
          <w:tcPr>
            <w:tcW w:type="dxa" w:w="10080"/>
            <w:shd w:fill="F2F6F5" w:color="auto" w:val="clear"/>
            <w:tcMar>
              <w:top w:type="dxa" w:w="140"/>
              <w:left w:type="dxa" w:w="200"/>
              <w:bottom w:type="dxa" w:w="140"/>
              <w:right w:type="dxa" w:w="200"/>
            </w:tcMar>
            <w:vAlign w:val="top"/>
          </w:tcPr>
          <w:p>
            <w:pPr>
              <w:spacing w:after="20" w:before="0" w:line="240"/>
            </w:pPr>
            <w:r>
              <w:rPr>
                <w:rFonts w:ascii="Arial" w:cs="Arial" w:eastAsia="Arial" w:hAnsi="Arial"/>
                <w:b/>
                <w:bCs/>
                <w:i w:val="false"/>
                <w:iCs w:val="false"/>
                <w:color w:val="1B2733"/>
                <w:spacing w:val="20"/>
                <w:sz w:val="26"/>
                <w:szCs w:val="26"/>
              </w:rPr>
              <w:t xml:space="preserve">ALGEMENE VOORWAARDEN</w:t>
            </w:r>
          </w:p>
          <w:p>
            <w:pPr>
              <w:spacing w:after="0" w:before="0" w:line="240"/>
            </w:pPr>
            <w:r>
              <w:rPr>
                <w:rFonts w:ascii="Arial" w:cs="Arial" w:eastAsia="Arial" w:hAnsi="Arial"/>
                <w:b w:val="false"/>
                <w:bCs w:val="false"/>
                <w:i w:val="false"/>
                <w:iCs w:val="false"/>
                <w:color w:val="6B7B8A"/>
                <w:sz w:val="14"/>
                <w:szCs w:val="14"/>
              </w:rPr>
              <w:t xml:space="preserve">PRO DEBOUCHAGE BV · Versie van 26 augustus 2026. Zij gelden voor elke opdracht die vanaf die datum wordt gegeven.</w:t>
            </w:r>
          </w:p>
        </w:tc>
      </w:tr>
    </w:tbl>
    <w:p>
      <w:pPr>
        <w:pBdr>
          <w:bottom w:val="single" w:color="27B5A4" w:sz="12"/>
        </w:pBdr>
        <w:spacing w:after="200" w:before="0"/>
      </w:pPr>
    </w:p>
    <w:p>
      <w:pPr>
        <w:spacing w:after="60" w:before="200" w:line="210"/>
      </w:pPr>
      <w:r>
        <w:rPr>
          <w:rFonts w:ascii="Arial" w:cs="Arial" w:eastAsia="Arial" w:hAnsi="Arial"/>
          <w:b/>
          <w:bCs/>
          <w:i w:val="false"/>
          <w:iCs w:val="false"/>
          <w:color w:val="1B2733"/>
          <w:sz w:val="17"/>
          <w:szCs w:val="17"/>
        </w:rPr>
        <w:t xml:space="preserve">Artikel 1. Wie wij zijn</w:t>
      </w:r>
    </w:p>
    <w:p>
      <w:pPr>
        <w:spacing w:after="60" w:before="0" w:line="200"/>
        <w:jc w:val="both"/>
      </w:pPr>
      <w:r>
        <w:rPr>
          <w:rFonts w:ascii="Arial" w:cs="Arial" w:eastAsia="Arial" w:hAnsi="Arial"/>
          <w:b w:val="false"/>
          <w:bCs w:val="false"/>
          <w:i w:val="false"/>
          <w:iCs w:val="false"/>
          <w:color w:val="2C3A47"/>
          <w:sz w:val="14"/>
          <w:szCs w:val="14"/>
        </w:rPr>
        <w:t xml:space="preserve">PRO DEBOUCHAGE BV, besloten vennootschap naar Belgisch recht.</w:t>
      </w:r>
    </w:p>
    <w:p>
      <w:pPr>
        <w:spacing w:after="60" w:before="0" w:line="200"/>
        <w:jc w:val="both"/>
      </w:pPr>
      <w:r>
        <w:rPr>
          <w:rFonts w:ascii="Arial" w:cs="Arial" w:eastAsia="Arial" w:hAnsi="Arial"/>
          <w:b w:val="false"/>
          <w:bCs w:val="false"/>
          <w:i w:val="false"/>
          <w:iCs w:val="false"/>
          <w:color w:val="2C3A47"/>
          <w:sz w:val="14"/>
          <w:szCs w:val="14"/>
        </w:rPr>
        <w:t xml:space="preserve">Zetel: Guldenschaapstraat 6, 1800 Vilvoorde, België.</w:t>
      </w:r>
    </w:p>
    <w:p>
      <w:pPr>
        <w:spacing w:after="60" w:before="0" w:line="200"/>
        <w:jc w:val="both"/>
      </w:pPr>
      <w:r>
        <w:rPr>
          <w:rFonts w:ascii="Arial" w:cs="Arial" w:eastAsia="Arial" w:hAnsi="Arial"/>
          <w:b w:val="false"/>
          <w:bCs w:val="false"/>
          <w:i w:val="false"/>
          <w:iCs w:val="false"/>
          <w:color w:val="2C3A47"/>
          <w:sz w:val="14"/>
          <w:szCs w:val="14"/>
        </w:rPr>
        <w:t xml:space="preserve">Ondernemingsnummer: 1027.454.187.</w:t>
      </w:r>
    </w:p>
    <w:p>
      <w:pPr>
        <w:spacing w:after="60" w:before="0" w:line="200"/>
        <w:jc w:val="both"/>
      </w:pPr>
      <w:r>
        <w:rPr>
          <w:rFonts w:ascii="Arial" w:cs="Arial" w:eastAsia="Arial" w:hAnsi="Arial"/>
          <w:b w:val="false"/>
          <w:bCs w:val="false"/>
          <w:i w:val="false"/>
          <w:iCs w:val="false"/>
          <w:color w:val="2C3A47"/>
          <w:sz w:val="14"/>
          <w:szCs w:val="14"/>
        </w:rPr>
        <w:t xml:space="preserve">Telefoon: 0480 649 649. E-mail: info@prodebouchage24.be.</w:t>
      </w:r>
    </w:p>
    <w:p>
      <w:pPr>
        <w:spacing w:after="60" w:before="0" w:line="200"/>
        <w:jc w:val="both"/>
      </w:pPr>
      <w:r>
        <w:rPr>
          <w:rFonts w:ascii="Arial" w:cs="Arial" w:eastAsia="Arial" w:hAnsi="Arial"/>
          <w:b w:val="false"/>
          <w:bCs w:val="false"/>
          <w:i w:val="false"/>
          <w:iCs w:val="false"/>
          <w:color w:val="2C3A47"/>
          <w:sz w:val="14"/>
          <w:szCs w:val="14"/>
        </w:rPr>
        <w:t xml:space="preserve">Verzekering burgerlijke beroepsaansprakelijkheid: AG Insurance. Een attest wordt u op eenvoudig verzoek bezorgd.</w:t>
      </w:r>
    </w:p>
    <w:p>
      <w:pPr>
        <w:spacing w:after="60" w:before="0" w:line="200"/>
        <w:jc w:val="both"/>
      </w:pPr>
      <w:r>
        <w:rPr>
          <w:rFonts w:ascii="Arial" w:cs="Arial" w:eastAsia="Arial" w:hAnsi="Arial"/>
          <w:b w:val="false"/>
          <w:bCs w:val="false"/>
          <w:i w:val="false"/>
          <w:iCs w:val="false"/>
          <w:color w:val="2C3A47"/>
          <w:sz w:val="14"/>
          <w:szCs w:val="14"/>
        </w:rPr>
        <w:t xml:space="preserve">In deze voorwaarden betekent "wij" PRO DEBOUCHAGE BV en "u" de klant.</w:t>
      </w:r>
    </w:p>
    <w:p>
      <w:pPr>
        <w:spacing w:after="60" w:before="200" w:line="210"/>
      </w:pPr>
      <w:r>
        <w:rPr>
          <w:rFonts w:ascii="Arial" w:cs="Arial" w:eastAsia="Arial" w:hAnsi="Arial"/>
          <w:b/>
          <w:bCs/>
          <w:i w:val="false"/>
          <w:iCs w:val="false"/>
          <w:color w:val="1B2733"/>
          <w:sz w:val="17"/>
          <w:szCs w:val="17"/>
        </w:rPr>
        <w:t xml:space="preserve">Artikel 2. Waarop deze voorwaarden van toepassing zijn</w:t>
      </w:r>
    </w:p>
    <w:p>
      <w:pPr>
        <w:spacing w:after="60" w:before="0" w:line="200"/>
        <w:jc w:val="both"/>
      </w:pPr>
      <w:r>
        <w:rPr>
          <w:rFonts w:ascii="Arial" w:cs="Arial" w:eastAsia="Arial" w:hAnsi="Arial"/>
          <w:b w:val="false"/>
          <w:bCs w:val="false"/>
          <w:i w:val="false"/>
          <w:iCs w:val="false"/>
          <w:color w:val="2C3A47"/>
          <w:sz w:val="14"/>
          <w:szCs w:val="14"/>
        </w:rPr>
        <w:t xml:space="preserve">Deze voorwaarden gelden voor al onze werken: ontstoppen, reinigen onder hoge druk, camera-inspectie, ledigen van septische putten en leegpompen van ondergelopen kelders, zowel bij particulieren als bij ondernemingen.</w:t>
      </w:r>
    </w:p>
    <w:p>
      <w:pPr>
        <w:spacing w:after="60" w:before="0" w:line="200"/>
        <w:jc w:val="both"/>
      </w:pPr>
      <w:r>
        <w:rPr>
          <w:rFonts w:ascii="Arial" w:cs="Arial" w:eastAsia="Arial" w:hAnsi="Arial"/>
          <w:b w:val="false"/>
          <w:bCs w:val="false"/>
          <w:i w:val="false"/>
          <w:iCs w:val="false"/>
          <w:color w:val="2C3A47"/>
          <w:sz w:val="14"/>
          <w:szCs w:val="14"/>
        </w:rPr>
        <w:t xml:space="preserve">U aanvaardt ze op het ogenblik dat u ons de opdracht geeft, per telefoon, via WhatsApp, per e-mail of door de werkbon ter plaatse te ondertekenen. Zij hebben voorrang op uw eigen aankoopvoorwaarden, tenzij wij schriftelijk anders aanvaarden.</w:t>
      </w:r>
    </w:p>
    <w:p>
      <w:pPr>
        <w:spacing w:after="60" w:before="0" w:line="200"/>
        <w:jc w:val="both"/>
      </w:pPr>
      <w:r>
        <w:rPr>
          <w:rFonts w:ascii="Arial" w:cs="Arial" w:eastAsia="Arial" w:hAnsi="Arial"/>
          <w:b w:val="false"/>
          <w:bCs w:val="false"/>
          <w:i w:val="false"/>
          <w:iCs w:val="false"/>
          <w:color w:val="2C3A47"/>
          <w:sz w:val="14"/>
          <w:szCs w:val="14"/>
        </w:rPr>
        <w:t xml:space="preserve">Bent u consument, dan kan niets in deze voorwaarden uw wettelijke rechten beperken. Waar een beding strenger zou zijn dan de wet, geldt de wet.</w:t>
      </w:r>
    </w:p>
    <w:p>
      <w:pPr>
        <w:spacing w:after="60" w:before="200" w:line="210"/>
      </w:pPr>
      <w:r>
        <w:rPr>
          <w:rFonts w:ascii="Arial" w:cs="Arial" w:eastAsia="Arial" w:hAnsi="Arial"/>
          <w:b/>
          <w:bCs/>
          <w:i w:val="false"/>
          <w:iCs w:val="false"/>
          <w:color w:val="1B2733"/>
          <w:sz w:val="17"/>
          <w:szCs w:val="17"/>
        </w:rPr>
        <w:t xml:space="preserve">Artikel 3. Hoe de overeenkomst tot stand komt en hoe de prijs wordt bepaald</w:t>
      </w:r>
    </w:p>
    <w:p>
      <w:pPr>
        <w:spacing w:after="60" w:before="0" w:line="200"/>
        <w:jc w:val="both"/>
      </w:pPr>
      <w:r>
        <w:rPr>
          <w:rFonts w:ascii="Arial" w:cs="Arial" w:eastAsia="Arial" w:hAnsi="Arial"/>
          <w:b w:val="false"/>
          <w:bCs w:val="false"/>
          <w:i w:val="false"/>
          <w:iCs w:val="false"/>
          <w:color w:val="2C3A47"/>
          <w:sz w:val="14"/>
          <w:szCs w:val="14"/>
        </w:rPr>
        <w:t xml:space="preserve">U belt ons, u beschrijft het probleem en wij geven u een prijs aan de telefoon, nog voor wij vertrekken. Die prijs is een vaste prijs voor het beschreven werk, taksen inbegrepen, verplaatsing inbegrepen.</w:t>
      </w:r>
    </w:p>
    <w:p>
      <w:pPr>
        <w:spacing w:after="60" w:before="0" w:line="200"/>
        <w:jc w:val="both"/>
      </w:pPr>
      <w:r>
        <w:rPr>
          <w:rFonts w:ascii="Arial" w:cs="Arial" w:eastAsia="Arial" w:hAnsi="Arial"/>
          <w:b w:val="false"/>
          <w:bCs w:val="false"/>
          <w:i w:val="false"/>
          <w:iCs w:val="false"/>
          <w:color w:val="2C3A47"/>
          <w:sz w:val="14"/>
          <w:szCs w:val="14"/>
        </w:rPr>
        <w:t xml:space="preserve">Die prijs steunt op wat u ons vertelt. Blijkt de toestand ter plaatse werkelijk anders te zijn dan beschreven, dan wijzigen wij niets op eigen houtje: wij tonen u wat wij vaststellen en wij stellen u een nieuwe prijs voor, die u vrij mag weigeren. Artikel 4 legt uit wat er dan gebeurt.</w:t>
      </w:r>
    </w:p>
    <w:p>
      <w:pPr>
        <w:spacing w:after="60" w:before="0" w:line="200"/>
        <w:jc w:val="both"/>
      </w:pPr>
      <w:r>
        <w:rPr>
          <w:rFonts w:ascii="Arial" w:cs="Arial" w:eastAsia="Arial" w:hAnsi="Arial"/>
          <w:b w:val="false"/>
          <w:bCs w:val="false"/>
          <w:i w:val="false"/>
          <w:iCs w:val="false"/>
          <w:color w:val="2C3A47"/>
          <w:sz w:val="14"/>
          <w:szCs w:val="14"/>
        </w:rPr>
        <w:t xml:space="preserve">Na uw telefonisch akkoord sturen wij u een schriftelijke bevestiging per sms, WhatsApp of e-mail, voor de werken beginnen. Daarin staan de opdracht, de totale prijs, de eventuele toeslagen en onze gegevens.</w:t>
      </w:r>
    </w:p>
    <w:p>
      <w:pPr>
        <w:spacing w:after="60" w:before="200" w:line="210"/>
      </w:pPr>
      <w:r>
        <w:rPr>
          <w:rFonts w:ascii="Arial" w:cs="Arial" w:eastAsia="Arial" w:hAnsi="Arial"/>
          <w:b/>
          <w:bCs/>
          <w:i w:val="false"/>
          <w:iCs w:val="false"/>
          <w:color w:val="1B2733"/>
          <w:sz w:val="17"/>
          <w:szCs w:val="17"/>
        </w:rPr>
        <w:t xml:space="preserve">Artikel 4. De prijs wordt aan uw deur bevestigd voor wij beginnen</w:t>
      </w:r>
    </w:p>
    <w:p>
      <w:pPr>
        <w:spacing w:after="60" w:before="0" w:line="200"/>
        <w:jc w:val="both"/>
      </w:pPr>
      <w:r>
        <w:rPr>
          <w:rFonts w:ascii="Arial" w:cs="Arial" w:eastAsia="Arial" w:hAnsi="Arial"/>
          <w:b w:val="false"/>
          <w:bCs w:val="false"/>
          <w:i w:val="false"/>
          <w:iCs w:val="false"/>
          <w:color w:val="2C3A47"/>
          <w:sz w:val="14"/>
          <w:szCs w:val="14"/>
        </w:rPr>
        <w:t xml:space="preserve">Onze technieker bekijkt de situatie en bevestigt u de prijs voor hij begint. Er start niets zonder uw akkoord.</w:t>
      </w:r>
    </w:p>
    <w:p>
      <w:pPr>
        <w:spacing w:after="60" w:before="0" w:line="200"/>
        <w:jc w:val="both"/>
      </w:pPr>
      <w:r>
        <w:rPr>
          <w:rFonts w:ascii="Arial" w:cs="Arial" w:eastAsia="Arial" w:hAnsi="Arial"/>
          <w:b w:val="false"/>
          <w:bCs w:val="false"/>
          <w:i w:val="false"/>
          <w:iCs w:val="false"/>
          <w:color w:val="2C3A47"/>
          <w:sz w:val="14"/>
          <w:szCs w:val="14"/>
        </w:rPr>
        <w:t xml:space="preserve">Stemt de prijs ter plaatse overeen met de prijs aan de telefoon, dan werken wij. Is de situatie anders en verandert de prijs, dan hebt u drie mogelijkheden:</w:t>
      </w:r>
    </w:p>
    <w:p>
      <w:pPr>
        <w:spacing w:after="30" w:line="195"/>
        <w:ind w:left="220" w:hanging="0"/>
      </w:pPr>
      <w:r>
        <w:rPr>
          <w:rFonts w:ascii="Arial" w:cs="Arial" w:eastAsia="Arial" w:hAnsi="Arial"/>
          <w:b w:val="false"/>
          <w:bCs w:val="false"/>
          <w:i w:val="false"/>
          <w:iCs w:val="false"/>
          <w:color w:val="2C3A47"/>
          <w:sz w:val="14"/>
          <w:szCs w:val="14"/>
        </w:rPr>
        <w:t xml:space="preserve">·   u aanvaardt de nieuwe prijs en wij werken;</w:t>
      </w:r>
    </w:p>
    <w:p>
      <w:pPr>
        <w:spacing w:after="30" w:line="195"/>
        <w:ind w:left="220" w:hanging="0"/>
      </w:pPr>
      <w:r>
        <w:rPr>
          <w:rFonts w:ascii="Arial" w:cs="Arial" w:eastAsia="Arial" w:hAnsi="Arial"/>
          <w:b w:val="false"/>
          <w:bCs w:val="false"/>
          <w:i w:val="false"/>
          <w:iCs w:val="false"/>
          <w:color w:val="2C3A47"/>
          <w:sz w:val="14"/>
          <w:szCs w:val="14"/>
        </w:rPr>
        <w:t xml:space="preserve">·   u weigert en u betaalt enkel de verplaatsing, namelijk 60 € btw inbegrepen;</w:t>
      </w:r>
    </w:p>
    <w:p>
      <w:pPr>
        <w:spacing w:after="30" w:line="195"/>
        <w:ind w:left="220" w:hanging="0"/>
      </w:pPr>
      <w:r>
        <w:rPr>
          <w:rFonts w:ascii="Arial" w:cs="Arial" w:eastAsia="Arial" w:hAnsi="Arial"/>
          <w:b w:val="false"/>
          <w:bCs w:val="false"/>
          <w:i w:val="false"/>
          <w:iCs w:val="false"/>
          <w:color w:val="2C3A47"/>
          <w:sz w:val="14"/>
          <w:szCs w:val="14"/>
        </w:rPr>
        <w:t xml:space="preserve">·   u vraagt een schriftelijke offerte en u beslist later, zonder andere kosten dan de verplaatsing.</w:t>
      </w:r>
    </w:p>
    <w:p>
      <w:pPr>
        <w:spacing w:after="60" w:before="0" w:line="200"/>
        <w:jc w:val="both"/>
      </w:pPr>
      <w:r>
        <w:rPr>
          <w:rFonts w:ascii="Arial" w:cs="Arial" w:eastAsia="Arial" w:hAnsi="Arial"/>
          <w:b w:val="false"/>
          <w:bCs w:val="false"/>
          <w:i w:val="false"/>
          <w:iCs w:val="false"/>
          <w:color w:val="2C3A47"/>
          <w:sz w:val="14"/>
          <w:szCs w:val="14"/>
        </w:rPr>
        <w:t xml:space="preserve">U betaalt nooit voor werk dat u niet hebt aanvaard.</w:t>
      </w:r>
    </w:p>
    <w:p>
      <w:pPr>
        <w:spacing w:after="60" w:before="200" w:line="210"/>
      </w:pPr>
      <w:r>
        <w:rPr>
          <w:rFonts w:ascii="Arial" w:cs="Arial" w:eastAsia="Arial" w:hAnsi="Arial"/>
          <w:b/>
          <w:bCs/>
          <w:i w:val="false"/>
          <w:iCs w:val="false"/>
          <w:color w:val="1B2733"/>
          <w:sz w:val="17"/>
          <w:szCs w:val="17"/>
        </w:rPr>
        <w:t xml:space="preserve">Artikel 5. Toeslagen voor avond, nacht, weekend en feestdagen</w:t>
      </w:r>
    </w:p>
    <w:p>
      <w:pPr>
        <w:spacing w:after="60" w:before="0" w:line="200"/>
        <w:jc w:val="both"/>
      </w:pPr>
      <w:r>
        <w:rPr>
          <w:rFonts w:ascii="Arial" w:cs="Arial" w:eastAsia="Arial" w:hAnsi="Arial"/>
          <w:b w:val="false"/>
          <w:bCs w:val="false"/>
          <w:i w:val="false"/>
          <w:iCs w:val="false"/>
          <w:color w:val="2C3A47"/>
          <w:sz w:val="14"/>
          <w:szCs w:val="14"/>
        </w:rPr>
        <w:t xml:space="preserve">Onze basisprijzen gelden op weekdagen van 7 tot 18 uur. Daarbuiten gelden de volgende toeslagen op de aangekondigde basisprijs:</w:t>
      </w:r>
    </w:p>
    <w:p>
      <w:pPr>
        <w:spacing w:after="30" w:line="195"/>
        <w:ind w:left="220" w:hanging="0"/>
      </w:pPr>
      <w:r>
        <w:rPr>
          <w:rFonts w:ascii="Arial" w:cs="Arial" w:eastAsia="Arial" w:hAnsi="Arial"/>
          <w:b w:val="false"/>
          <w:bCs w:val="false"/>
          <w:i w:val="false"/>
          <w:iCs w:val="false"/>
          <w:color w:val="2C3A47"/>
          <w:sz w:val="14"/>
          <w:szCs w:val="14"/>
        </w:rPr>
        <w:t xml:space="preserve">·   avond (18 tot 22 uur) en zaterdag: toeslag van 50 %;</w:t>
      </w:r>
    </w:p>
    <w:p>
      <w:pPr>
        <w:spacing w:after="30" w:line="195"/>
        <w:ind w:left="220" w:hanging="0"/>
      </w:pPr>
      <w:r>
        <w:rPr>
          <w:rFonts w:ascii="Arial" w:cs="Arial" w:eastAsia="Arial" w:hAnsi="Arial"/>
          <w:b w:val="false"/>
          <w:bCs w:val="false"/>
          <w:i w:val="false"/>
          <w:iCs w:val="false"/>
          <w:color w:val="2C3A47"/>
          <w:sz w:val="14"/>
          <w:szCs w:val="14"/>
        </w:rPr>
        <w:t xml:space="preserve">·   nacht (22 tot 7 uur), zondag en wettelijke feestdagen: toeslag van 75 %.</w:t>
      </w:r>
    </w:p>
    <w:p>
      <w:pPr>
        <w:spacing w:after="60" w:before="0" w:line="200"/>
        <w:jc w:val="both"/>
      </w:pPr>
      <w:r>
        <w:rPr>
          <w:rFonts w:ascii="Arial" w:cs="Arial" w:eastAsia="Arial" w:hAnsi="Arial"/>
          <w:b w:val="false"/>
          <w:bCs w:val="false"/>
          <w:i w:val="false"/>
          <w:iCs w:val="false"/>
          <w:color w:val="2C3A47"/>
          <w:sz w:val="14"/>
          <w:szCs w:val="14"/>
        </w:rPr>
        <w:t xml:space="preserve">De toeslag die op u van toepassing is, wordt u samen met de prijs aan de telefoon meegedeeld voor wij vertrekken, en wordt herhaald in de schriftelijke bevestiging. Wij rekenen nooit een toeslag aan die u niet vooraf werd meegedeeld.</w:t>
      </w:r>
    </w:p>
    <w:p>
      <w:pPr>
        <w:spacing w:after="60" w:before="200" w:line="210"/>
      </w:pPr>
      <w:r>
        <w:rPr>
          <w:rFonts w:ascii="Arial" w:cs="Arial" w:eastAsia="Arial" w:hAnsi="Arial"/>
          <w:b/>
          <w:bCs/>
          <w:i w:val="false"/>
          <w:iCs w:val="false"/>
          <w:color w:val="1B2733"/>
          <w:sz w:val="17"/>
          <w:szCs w:val="17"/>
        </w:rPr>
        <w:t xml:space="preserve">Artikel 6. Wat wij van u verwachten</w:t>
      </w:r>
    </w:p>
    <w:p>
      <w:pPr>
        <w:spacing w:after="60" w:before="0" w:line="200"/>
        <w:jc w:val="both"/>
      </w:pPr>
      <w:r>
        <w:rPr>
          <w:rFonts w:ascii="Arial" w:cs="Arial" w:eastAsia="Arial" w:hAnsi="Arial"/>
          <w:b w:val="false"/>
          <w:bCs w:val="false"/>
          <w:i w:val="false"/>
          <w:iCs w:val="false"/>
          <w:color w:val="2C3A47"/>
          <w:sz w:val="14"/>
          <w:szCs w:val="14"/>
        </w:rPr>
        <w:t xml:space="preserve">Opdat de interventie vlot verloopt, verbindt u zich ertoe:</w:t>
      </w:r>
    </w:p>
    <w:p>
      <w:pPr>
        <w:spacing w:after="30" w:line="195"/>
        <w:ind w:left="220" w:hanging="0"/>
      </w:pPr>
      <w:r>
        <w:rPr>
          <w:rFonts w:ascii="Arial" w:cs="Arial" w:eastAsia="Arial" w:hAnsi="Arial"/>
          <w:b w:val="false"/>
          <w:bCs w:val="false"/>
          <w:i w:val="false"/>
          <w:iCs w:val="false"/>
          <w:color w:val="2C3A47"/>
          <w:sz w:val="14"/>
          <w:szCs w:val="14"/>
        </w:rPr>
        <w:t xml:space="preserve">·   ons een juist adres te geven en vrije toegang tot het toezichtsputje, de inspectieput, de sterfput of het betrokken toestel;</w:t>
      </w:r>
    </w:p>
    <w:p>
      <w:pPr>
        <w:spacing w:after="30" w:line="195"/>
        <w:ind w:left="220" w:hanging="0"/>
      </w:pPr>
      <w:r>
        <w:rPr>
          <w:rFonts w:ascii="Arial" w:cs="Arial" w:eastAsia="Arial" w:hAnsi="Arial"/>
          <w:b w:val="false"/>
          <w:bCs w:val="false"/>
          <w:i w:val="false"/>
          <w:iCs w:val="false"/>
          <w:color w:val="2C3A47"/>
          <w:sz w:val="14"/>
          <w:szCs w:val="14"/>
        </w:rPr>
        <w:t xml:space="preserve">·   aanwezig te zijn, of ervoor te zorgen dat een meerderjarige persoon u vertegenwoordigt en de prijs kan aanvaarden en de werkbon kan ondertekenen;</w:t>
      </w:r>
    </w:p>
    <w:p>
      <w:pPr>
        <w:spacing w:after="30" w:line="195"/>
        <w:ind w:left="220" w:hanging="0"/>
      </w:pPr>
      <w:r>
        <w:rPr>
          <w:rFonts w:ascii="Arial" w:cs="Arial" w:eastAsia="Arial" w:hAnsi="Arial"/>
          <w:b w:val="false"/>
          <w:bCs w:val="false"/>
          <w:i w:val="false"/>
          <w:iCs w:val="false"/>
          <w:color w:val="2C3A47"/>
          <w:sz w:val="14"/>
          <w:szCs w:val="14"/>
        </w:rPr>
        <w:t xml:space="preserve">·   ons te melden wat u weet over de installatie: plannen, eerdere werken, kwetsbare leidingen, materialen, aanwezigheid van asbest;</w:t>
      </w:r>
    </w:p>
    <w:p>
      <w:pPr>
        <w:spacing w:after="30" w:line="195"/>
        <w:ind w:left="220" w:hanging="0"/>
      </w:pPr>
      <w:r>
        <w:rPr>
          <w:rFonts w:ascii="Arial" w:cs="Arial" w:eastAsia="Arial" w:hAnsi="Arial"/>
          <w:b w:val="false"/>
          <w:bCs w:val="false"/>
          <w:i w:val="false"/>
          <w:iCs w:val="false"/>
          <w:color w:val="2C3A47"/>
          <w:sz w:val="14"/>
          <w:szCs w:val="14"/>
        </w:rPr>
        <w:t xml:space="preserve">·   gemachtigd te zijn om de werken te bestellen. Bent u huurder, syndicus of beheerder, dan waarborgt u dat de betrokken partij akkoord gaat;</w:t>
      </w:r>
    </w:p>
    <w:p>
      <w:pPr>
        <w:spacing w:after="30" w:line="195"/>
        <w:ind w:left="220" w:hanging="0"/>
      </w:pPr>
      <w:r>
        <w:rPr>
          <w:rFonts w:ascii="Arial" w:cs="Arial" w:eastAsia="Arial" w:hAnsi="Arial"/>
          <w:b w:val="false"/>
          <w:bCs w:val="false"/>
          <w:i w:val="false"/>
          <w:iCs w:val="false"/>
          <w:color w:val="2C3A47"/>
          <w:sz w:val="14"/>
          <w:szCs w:val="14"/>
        </w:rPr>
        <w:t xml:space="preserve">·   de toegang vrij te maken en breekbare voorwerpen rond de werkzone te beschermen of te verplaatsen;</w:t>
      </w:r>
    </w:p>
    <w:p>
      <w:pPr>
        <w:spacing w:after="30" w:line="195"/>
        <w:ind w:left="220" w:hanging="0"/>
      </w:pPr>
      <w:r>
        <w:rPr>
          <w:rFonts w:ascii="Arial" w:cs="Arial" w:eastAsia="Arial" w:hAnsi="Arial"/>
          <w:b w:val="false"/>
          <w:bCs w:val="false"/>
          <w:i w:val="false"/>
          <w:iCs w:val="false"/>
          <w:color w:val="2C3A47"/>
          <w:sz w:val="14"/>
          <w:szCs w:val="14"/>
        </w:rPr>
        <w:t xml:space="preserve">·   water en elektriciteit ter beschikking te stellen wanneer de techniek dat vereist.</w:t>
      </w:r>
    </w:p>
    <w:p>
      <w:pPr>
        <w:spacing w:after="60" w:before="0" w:line="200"/>
        <w:jc w:val="both"/>
      </w:pPr>
      <w:r>
        <w:rPr>
          <w:rFonts w:ascii="Arial" w:cs="Arial" w:eastAsia="Arial" w:hAnsi="Arial"/>
          <w:b w:val="false"/>
          <w:bCs w:val="false"/>
          <w:i w:val="false"/>
          <w:iCs w:val="false"/>
          <w:color w:val="2C3A47"/>
          <w:sz w:val="14"/>
          <w:szCs w:val="14"/>
        </w:rPr>
        <w:t xml:space="preserve">Kunnen wij niet werken omdat aan een van deze voorwaarden niet is voldaan, of doet niemand open op het afgesproken uur, dan factureren wij enkel de verplaatsing, namelijk 60 € btw inbegrepen.</w:t>
      </w:r>
    </w:p>
    <w:p>
      <w:pPr>
        <w:spacing w:after="60" w:before="200" w:line="210"/>
      </w:pPr>
      <w:r>
        <w:rPr>
          <w:rFonts w:ascii="Arial" w:cs="Arial" w:eastAsia="Arial" w:hAnsi="Arial"/>
          <w:b/>
          <w:bCs/>
          <w:i w:val="false"/>
          <w:iCs w:val="false"/>
          <w:color w:val="1B2733"/>
          <w:sz w:val="17"/>
          <w:szCs w:val="17"/>
        </w:rPr>
        <w:t xml:space="preserve">Artikel 7. Herroepingsrecht, en waarom het niet geldt bij een dringende herstelling</w:t>
      </w:r>
    </w:p>
    <w:p>
      <w:pPr>
        <w:spacing w:after="60" w:before="0" w:line="200"/>
        <w:jc w:val="both"/>
      </w:pPr>
      <w:r>
        <w:rPr>
          <w:rFonts w:ascii="Arial" w:cs="Arial" w:eastAsia="Arial" w:hAnsi="Arial"/>
          <w:b w:val="false"/>
          <w:bCs w:val="false"/>
          <w:i w:val="false"/>
          <w:iCs w:val="false"/>
          <w:color w:val="2C3A47"/>
          <w:sz w:val="14"/>
          <w:szCs w:val="14"/>
        </w:rPr>
        <w:t xml:space="preserve">Wanneer u op afstand bestelt, per telefoon of per bericht, of wanneer u bij u thuis ondertekent, geeft de wet u in beginsel veertien kalenderdagen om te herroepen, zonder opgave van reden en zonder kosten (artikelen VI.47 en VI.67 van het Wetboek van economisch recht).</w:t>
      </w:r>
    </w:p>
    <w:p>
      <w:pPr>
        <w:spacing w:after="60" w:before="0" w:line="200"/>
        <w:jc w:val="both"/>
      </w:pPr>
      <w:r>
        <w:rPr>
          <w:rFonts w:ascii="Arial" w:cs="Arial" w:eastAsia="Arial" w:hAnsi="Arial"/>
          <w:b w:val="false"/>
          <w:bCs w:val="false"/>
          <w:i w:val="false"/>
          <w:iCs w:val="false"/>
          <w:color w:val="2C3A47"/>
          <w:sz w:val="14"/>
          <w:szCs w:val="14"/>
        </w:rPr>
        <w:t xml:space="preserve">Er bestaat een uitzondering, en die is precies op ons beroep geschreven. Artikel VI.53, 8° van het Wetboek van economisch recht, en de overeenstemmende bepaling voor overeenkomsten buiten verkoopruimten, sluiten het herroepingsrecht uit voor overeenkomsten waarbij de consument de onderneming specifiek verzocht heeft hem te bezoeken om daar dringende herstellingen of onderhoud te verrichten.</w:t>
      </w:r>
    </w:p>
    <w:p>
      <w:pPr>
        <w:spacing w:after="60" w:before="0" w:line="200"/>
        <w:jc w:val="both"/>
      </w:pPr>
      <w:r>
        <w:rPr>
          <w:rFonts w:ascii="Arial" w:cs="Arial" w:eastAsia="Arial" w:hAnsi="Arial"/>
          <w:b w:val="false"/>
          <w:bCs w:val="false"/>
          <w:i w:val="false"/>
          <w:iCs w:val="false"/>
          <w:color w:val="2C3A47"/>
          <w:sz w:val="14"/>
          <w:szCs w:val="14"/>
        </w:rPr>
        <w:t xml:space="preserve">a) Dringende interventie die u ons uitdrukkelijk vraagt. Door ons te bellen voor een ontstopping, een terugslag, een ondergelopen kelder of een andere noodsituatie, verzoekt u ons uitdrukkelijk om bij u langs te komen voor dringende werken. U beschikt voor die werken en voor de vervangingsonderdelen die daarvoor onmisbaar zijn dus niet over een herroepingsrecht. U bevestigt dat verzoek door de werkbon te ondertekenen.</w:t>
      </w:r>
    </w:p>
    <w:p>
      <w:pPr>
        <w:spacing w:after="60" w:before="0" w:line="200"/>
        <w:jc w:val="both"/>
      </w:pPr>
      <w:r>
        <w:rPr>
          <w:rFonts w:ascii="Arial" w:cs="Arial" w:eastAsia="Arial" w:hAnsi="Arial"/>
          <w:b w:val="false"/>
          <w:bCs w:val="false"/>
          <w:i w:val="false"/>
          <w:iCs w:val="false"/>
          <w:color w:val="2C3A47"/>
          <w:sz w:val="14"/>
          <w:szCs w:val="14"/>
        </w:rPr>
        <w:t xml:space="preserve">b) Alles wat verder gaat dan de dringende herstelling behoudt uw herroepingsrecht. Stellen wij u tijdens dat bezoek een dienst voor die bovenop de gevraagde dienst komt, of een goed dat geen onmisbaar vervangingsonderdeel is, dan beschikt u wel over veertien dagen om die bijkomende dienst of dat bijkomend goed te herroepen.</w:t>
      </w:r>
    </w:p>
    <w:p>
      <w:pPr>
        <w:spacing w:after="60" w:before="0" w:line="200"/>
        <w:jc w:val="both"/>
      </w:pPr>
      <w:r>
        <w:rPr>
          <w:rFonts w:ascii="Arial" w:cs="Arial" w:eastAsia="Arial" w:hAnsi="Arial"/>
          <w:b w:val="false"/>
          <w:bCs w:val="false"/>
          <w:i w:val="false"/>
          <w:iCs w:val="false"/>
          <w:color w:val="2C3A47"/>
          <w:sz w:val="14"/>
          <w:szCs w:val="14"/>
        </w:rPr>
        <w:t xml:space="preserve">c) Niet-dringende werken. Voor een geplande opdracht, bijvoorbeeld een camera-inspectie of een preventieve reiniging op een latere datum, geldt uw herroepingsrecht van veertien dagen volledig, vanaf de dag van het sluiten van de overeenkomst. U oefent het uit door ons een ondubbelzinnige verklaring te sturen op info@prodebouchage24.be of per brief naar het adres in artikel 1. Wenst u dat wij starten voor het einde van die veertien dagen, dan vragen wij u dat uitdrukkelijk schriftelijk te bevestigen; herroept u nadien, dan betaalt u het reeds uitgevoerde deel van de opdracht, in verhouding tot de overeengekomen prijs.</w:t>
      </w:r>
    </w:p>
    <w:p>
      <w:pPr>
        <w:spacing w:after="60" w:before="200" w:line="210"/>
      </w:pPr>
      <w:r>
        <w:rPr>
          <w:rFonts w:ascii="Arial" w:cs="Arial" w:eastAsia="Arial" w:hAnsi="Arial"/>
          <w:b/>
          <w:bCs/>
          <w:i w:val="false"/>
          <w:iCs w:val="false"/>
          <w:color w:val="1B2733"/>
          <w:sz w:val="17"/>
          <w:szCs w:val="17"/>
        </w:rPr>
        <w:t xml:space="preserve">Artikel 8. Bijkomende werken en onderdelen</w:t>
      </w:r>
    </w:p>
    <w:p>
      <w:pPr>
        <w:spacing w:after="60" w:before="0" w:line="200"/>
        <w:jc w:val="both"/>
      </w:pPr>
      <w:r>
        <w:rPr>
          <w:rFonts w:ascii="Arial" w:cs="Arial" w:eastAsia="Arial" w:hAnsi="Arial"/>
          <w:b w:val="false"/>
          <w:bCs w:val="false"/>
          <w:i w:val="false"/>
          <w:iCs w:val="false"/>
          <w:color w:val="2C3A47"/>
          <w:sz w:val="14"/>
          <w:szCs w:val="14"/>
        </w:rPr>
        <w:t xml:space="preserve">Wij voeren nooit bijkomende werken uit zonder u eerst aan te spreken.</w:t>
      </w:r>
    </w:p>
    <w:p>
      <w:pPr>
        <w:spacing w:after="60" w:before="0" w:line="200"/>
        <w:jc w:val="both"/>
      </w:pPr>
      <w:r>
        <w:rPr>
          <w:rFonts w:ascii="Arial" w:cs="Arial" w:eastAsia="Arial" w:hAnsi="Arial"/>
          <w:b w:val="false"/>
          <w:bCs w:val="false"/>
          <w:i w:val="false"/>
          <w:iCs w:val="false"/>
          <w:color w:val="2C3A47"/>
          <w:sz w:val="14"/>
          <w:szCs w:val="14"/>
        </w:rPr>
        <w:t xml:space="preserve">Stellen wij een probleem vast dat verder gaat dan de bestelde opdracht, bijvoorbeeld een gebroken leiding, een verzakking, wortelingroei of een verkeerde helling, dan stoppen wij, tonen wij het u, leggen wij uit wat wij voorstellen en geven wij u een afzonderlijke prijs. U beslist.</w:t>
      </w:r>
    </w:p>
    <w:p>
      <w:pPr>
        <w:spacing w:after="60" w:before="0" w:line="200"/>
        <w:jc w:val="both"/>
      </w:pPr>
      <w:r>
        <w:rPr>
          <w:rFonts w:ascii="Arial" w:cs="Arial" w:eastAsia="Arial" w:hAnsi="Arial"/>
          <w:b w:val="false"/>
          <w:bCs w:val="false"/>
          <w:i w:val="false"/>
          <w:iCs w:val="false"/>
          <w:color w:val="2C3A47"/>
          <w:sz w:val="14"/>
          <w:szCs w:val="14"/>
        </w:rPr>
        <w:t xml:space="preserve">Stellen wij vast dat de installatie in een toestand verkeert waarbij het ontstoppen schade kan veroorzaken, dan zeggen wij u dat voor wij tussenkomen. Vraagt u ons toch om verder te gaan, dan noteren wij dat op de werkbon en ondertekent u die.</w:t>
      </w:r>
    </w:p>
    <w:p>
      <w:pPr>
        <w:spacing w:after="60" w:before="200" w:line="210"/>
      </w:pPr>
      <w:r>
        <w:rPr>
          <w:rFonts w:ascii="Arial" w:cs="Arial" w:eastAsia="Arial" w:hAnsi="Arial"/>
          <w:b/>
          <w:bCs/>
          <w:i w:val="false"/>
          <w:iCs w:val="false"/>
          <w:color w:val="1B2733"/>
          <w:sz w:val="17"/>
          <w:szCs w:val="17"/>
        </w:rPr>
        <w:t xml:space="preserve">Artikel 9. Uitvoering, technische grenzen en overmacht</w:t>
      </w:r>
    </w:p>
    <w:p>
      <w:pPr>
        <w:spacing w:after="60" w:before="0" w:line="200"/>
        <w:jc w:val="both"/>
      </w:pPr>
      <w:r>
        <w:rPr>
          <w:rFonts w:ascii="Arial" w:cs="Arial" w:eastAsia="Arial" w:hAnsi="Arial"/>
          <w:b w:val="false"/>
          <w:bCs w:val="false"/>
          <w:i w:val="false"/>
          <w:iCs w:val="false"/>
          <w:color w:val="2C3A47"/>
          <w:sz w:val="14"/>
          <w:szCs w:val="14"/>
        </w:rPr>
        <w:t xml:space="preserve">Wij zetten het materieel en de middelen in die bij het probleem passen en wij werken volgens de regels van de kunst.</w:t>
      </w:r>
    </w:p>
    <w:p>
      <w:pPr>
        <w:spacing w:after="60" w:before="0" w:line="200"/>
        <w:jc w:val="both"/>
      </w:pPr>
      <w:r>
        <w:rPr>
          <w:rFonts w:ascii="Arial" w:cs="Arial" w:eastAsia="Arial" w:hAnsi="Arial"/>
          <w:b w:val="false"/>
          <w:bCs w:val="false"/>
          <w:i w:val="false"/>
          <w:iCs w:val="false"/>
          <w:color w:val="2C3A47"/>
          <w:sz w:val="14"/>
          <w:szCs w:val="14"/>
        </w:rPr>
        <w:t xml:space="preserve">Wij verbinden ons tot een correcte uitvoering, niet tot een resultaat dat de techniek niet kan waarborgen. Een verstopping kan onbereikbaar blijken zonder demontage, zonder graafwerk of zonder toegang tot een gemeenschappelijk deel waartoe wij geen toegang hebben. In dat geval zeggen wij u dat, tonen wij u de vaststelling en stellen wij u het vervolg voor. Wij factureren geen ontstopping die niet heeft plaatsgevonden; enkel de verplaatsing (60 € btw inbegrepen) en, in voorkomend geval, de werkelijk uitgevoerde camera-inspectie zijn verschuldigd.</w:t>
      </w:r>
    </w:p>
    <w:p>
      <w:pPr>
        <w:spacing w:after="60" w:before="0" w:line="200"/>
        <w:jc w:val="both"/>
      </w:pPr>
      <w:r>
        <w:rPr>
          <w:rFonts w:ascii="Arial" w:cs="Arial" w:eastAsia="Arial" w:hAnsi="Arial"/>
          <w:b w:val="false"/>
          <w:bCs w:val="false"/>
          <w:i w:val="false"/>
          <w:iCs w:val="false"/>
          <w:color w:val="2C3A47"/>
          <w:sz w:val="14"/>
          <w:szCs w:val="14"/>
        </w:rPr>
        <w:t xml:space="preserve">Onze interventietermijnen worden te goeder trouw meegedeeld. Zij hangen af van het verkeer, het weer en de lopende noodgevallen.</w:t>
      </w:r>
    </w:p>
    <w:p>
      <w:pPr>
        <w:spacing w:after="60" w:before="0" w:line="200"/>
        <w:jc w:val="both"/>
      </w:pPr>
      <w:r>
        <w:rPr>
          <w:rFonts w:ascii="Arial" w:cs="Arial" w:eastAsia="Arial" w:hAnsi="Arial"/>
          <w:b w:val="false"/>
          <w:bCs w:val="false"/>
          <w:i w:val="false"/>
          <w:iCs w:val="false"/>
          <w:color w:val="2C3A47"/>
          <w:sz w:val="14"/>
          <w:szCs w:val="14"/>
        </w:rPr>
        <w:t xml:space="preserve">Wij zijn niet aansprakelijk voor vertraging of niet-uitvoering door overmacht of door een gebeurtenis buiten onze wil: uitzonderlijk weer, algemene wateroverlast, verkeersblokkade, staking, storing van het openbare rioleringsnet, beslissing van een overheid, onbeschikbaarheid van een leverancier. In dat geval verwittigen wij u en spreken wij samen een nieuwe datum af, of wordt de opdracht kosteloos geannuleerd voor beide partijen.</w:t>
      </w:r>
    </w:p>
    <w:p>
      <w:pPr>
        <w:spacing w:after="60" w:before="200" w:line="210"/>
      </w:pPr>
      <w:r>
        <w:rPr>
          <w:rFonts w:ascii="Arial" w:cs="Arial" w:eastAsia="Arial" w:hAnsi="Arial"/>
          <w:b/>
          <w:bCs/>
          <w:i w:val="false"/>
          <w:iCs w:val="false"/>
          <w:color w:val="1B2733"/>
          <w:sz w:val="17"/>
          <w:szCs w:val="17"/>
        </w:rPr>
        <w:t xml:space="preserve">Artikel 10. Betaling en btw</w:t>
      </w:r>
    </w:p>
    <w:p>
      <w:pPr>
        <w:spacing w:after="60" w:before="0" w:line="200"/>
        <w:jc w:val="both"/>
      </w:pPr>
      <w:r>
        <w:rPr>
          <w:rFonts w:ascii="Arial" w:cs="Arial" w:eastAsia="Arial" w:hAnsi="Arial"/>
          <w:b w:val="false"/>
          <w:bCs w:val="false"/>
          <w:i w:val="false"/>
          <w:iCs w:val="false"/>
          <w:color w:val="2C3A47"/>
          <w:sz w:val="14"/>
          <w:szCs w:val="14"/>
        </w:rPr>
        <w:t xml:space="preserve">Behoudens schriftelijk andersluidend akkoord zijn onze facturen contant betaalbaar, bij het einde van de interventie. U kunt betalen via overschrijving, via betaallink, of cash tegen onmiddellijke afgifte van een ontvangstbewijs. U ontvangt altijd een factuur.</w:t>
      </w:r>
    </w:p>
    <w:p>
      <w:pPr>
        <w:spacing w:after="60" w:before="0" w:line="200"/>
        <w:jc w:val="both"/>
      </w:pPr>
      <w:r>
        <w:rPr>
          <w:rFonts w:ascii="Arial" w:cs="Arial" w:eastAsia="Arial" w:hAnsi="Arial"/>
          <w:b w:val="false"/>
          <w:bCs w:val="false"/>
          <w:i w:val="false"/>
          <w:iCs w:val="false"/>
          <w:color w:val="2C3A47"/>
          <w:sz w:val="14"/>
          <w:szCs w:val="14"/>
        </w:rPr>
        <w:t xml:space="preserve">De prijzen die wij aan consumenten meedelen op onze website en aan de telefoon zijn prijzen taksen inbegrepen. Het tarief van 6 % geldt wanneer de wettelijke voorwaarden vervuld zijn: een gebouw waarvan de eerste ingebruikneming ten minste tien jaar voorafgaat aan de datum van de eerste factuur voor de werken, dat na de werken voor meer dan 50 % als privéwoning wordt gebruikt, en werken die aan de eindgebruiker worden gefactureerd. De wettelijk voorgeschreven verklaring staat op de factuur; betwist u die niet schriftelijk binnen de maand na ontvangst van de factuur, dan wordt u geacht de juistheid ervan te erkennen. In alle andere gevallen, onder meer voor gebouwen van minder dan tien jaar oud en voor professionele klanten, geldt het tarief van 21 %. Wij delen u het toepasselijke tarief aan de telefoon mee, voor wij vertrekken.</w:t>
      </w:r>
    </w:p>
    <w:p>
      <w:pPr>
        <w:spacing w:after="60" w:before="0" w:line="200"/>
        <w:jc w:val="both"/>
      </w:pPr>
      <w:r>
        <w:rPr>
          <w:rFonts w:ascii="Arial" w:cs="Arial" w:eastAsia="Arial" w:hAnsi="Arial"/>
          <w:b w:val="false"/>
          <w:bCs w:val="false"/>
          <w:i w:val="false"/>
          <w:iCs w:val="false"/>
          <w:color w:val="2C3A47"/>
          <w:sz w:val="14"/>
          <w:szCs w:val="14"/>
        </w:rPr>
        <w:t xml:space="preserve">Voor werken in onroerende staat verricht voor een belastingplichtige die periodieke aangiften indient, is de belasting verschuldigd door de medecontractant wanneer de wettelijke voorwaarden vervuld zijn, en staat de overeenstemmende wettelijke vermelding op de factuur.</w:t>
      </w:r>
    </w:p>
    <w:p>
      <w:pPr>
        <w:spacing w:after="60" w:before="200" w:line="210"/>
      </w:pPr>
      <w:r>
        <w:rPr>
          <w:rFonts w:ascii="Arial" w:cs="Arial" w:eastAsia="Arial" w:hAnsi="Arial"/>
          <w:b/>
          <w:bCs/>
          <w:i w:val="false"/>
          <w:iCs w:val="false"/>
          <w:color w:val="1B2733"/>
          <w:sz w:val="17"/>
          <w:szCs w:val="17"/>
        </w:rPr>
        <w:t xml:space="preserve">Artikel 11. Laattijdige betaling</w:t>
      </w:r>
    </w:p>
    <w:p>
      <w:pPr>
        <w:spacing w:after="60" w:before="0" w:line="200"/>
        <w:jc w:val="both"/>
      </w:pPr>
      <w:r>
        <w:rPr>
          <w:rFonts w:ascii="Arial" w:cs="Arial" w:eastAsia="Arial" w:hAnsi="Arial"/>
          <w:b w:val="false"/>
          <w:bCs w:val="false"/>
          <w:i w:val="false"/>
          <w:iCs w:val="false"/>
          <w:color w:val="2C3A47"/>
          <w:sz w:val="14"/>
          <w:szCs w:val="14"/>
        </w:rPr>
        <w:t xml:space="preserve">Bent u consument. Bij niet-betaling op de vervaldag sturen wij u eerst een gratis eerste herinnering. Er is geen enkele interest en geen enkele vergoeding verschuldigd voor het verstrijken van een termijn van veertien kalenderdagen, die begint te lopen op de derde werkdag na de verzending van de herinnering per post, of op de dag na de verzending langs elektronische weg.</w:t>
      </w:r>
    </w:p>
    <w:p>
      <w:pPr>
        <w:spacing w:after="60" w:before="0" w:line="200"/>
        <w:jc w:val="both"/>
      </w:pPr>
      <w:r>
        <w:rPr>
          <w:rFonts w:ascii="Arial" w:cs="Arial" w:eastAsia="Arial" w:hAnsi="Arial"/>
          <w:b w:val="false"/>
          <w:bCs w:val="false"/>
          <w:i w:val="false"/>
          <w:iCs w:val="false"/>
          <w:color w:val="2C3A47"/>
          <w:sz w:val="14"/>
          <w:szCs w:val="14"/>
        </w:rPr>
        <w:t xml:space="preserve">Na het verstrijken van die termijn, en pas dan, zijn van rechtswege verschuldigd:</w:t>
      </w:r>
    </w:p>
    <w:p>
      <w:pPr>
        <w:spacing w:after="30" w:line="195"/>
        <w:ind w:left="220" w:hanging="0"/>
      </w:pPr>
      <w:r>
        <w:rPr>
          <w:rFonts w:ascii="Arial" w:cs="Arial" w:eastAsia="Arial" w:hAnsi="Arial"/>
          <w:b w:val="false"/>
          <w:bCs w:val="false"/>
          <w:i w:val="false"/>
          <w:iCs w:val="false"/>
          <w:color w:val="2C3A47"/>
          <w:sz w:val="14"/>
          <w:szCs w:val="14"/>
        </w:rPr>
        <w:t xml:space="preserve">·   een verwijlinterest tegen het maximumtarief toegelaten door artikel XIX.4 van het Wetboek van economisch recht, berekend op het openstaande saldo;</w:t>
      </w:r>
    </w:p>
    <w:p>
      <w:pPr>
        <w:spacing w:after="30" w:line="195"/>
        <w:ind w:left="220" w:hanging="0"/>
      </w:pPr>
      <w:r>
        <w:rPr>
          <w:rFonts w:ascii="Arial" w:cs="Arial" w:eastAsia="Arial" w:hAnsi="Arial"/>
          <w:b w:val="false"/>
          <w:bCs w:val="false"/>
          <w:i w:val="false"/>
          <w:iCs w:val="false"/>
          <w:color w:val="2C3A47"/>
          <w:sz w:val="14"/>
          <w:szCs w:val="14"/>
        </w:rPr>
        <w:t xml:space="preserve">·   een forfaitaire vergoeding, beperkt tot de wettelijke maxima: 20 € indien het verschuldigde saldo lager is dan of gelijk aan 150 €; 30 € plus 10 % van het deel van het saldo tussen 150,01 € en 500 €; 65 € plus 5 % van het deel van het saldo boven 500 €, met een maximum van 2 000 €.</w:t>
      </w:r>
    </w:p>
    <w:p>
      <w:pPr>
        <w:spacing w:after="60" w:before="0" w:line="200"/>
        <w:jc w:val="both"/>
      </w:pPr>
      <w:r>
        <w:rPr>
          <w:rFonts w:ascii="Arial" w:cs="Arial" w:eastAsia="Arial" w:hAnsi="Arial"/>
          <w:b w:val="false"/>
          <w:bCs w:val="false"/>
          <w:i w:val="false"/>
          <w:iCs w:val="false"/>
          <w:color w:val="2C3A47"/>
          <w:sz w:val="14"/>
          <w:szCs w:val="14"/>
        </w:rPr>
        <w:t xml:space="preserve">Wederkerigheid. Moeten wij u een bedrag terugbetalen en doen wij dat niet binnen de afgesproken termijn, dan hebt u onder dezelfde voorwaarden en na een herinnering van uw kant recht op een interest tegen dezelfde voet en op een forfaitaire vergoeding berekend volgens dezelfde maxima.</w:t>
      </w:r>
    </w:p>
    <w:p>
      <w:pPr>
        <w:spacing w:after="60" w:before="0" w:line="200"/>
        <w:jc w:val="both"/>
      </w:pPr>
      <w:r>
        <w:rPr>
          <w:rFonts w:ascii="Arial" w:cs="Arial" w:eastAsia="Arial" w:hAnsi="Arial"/>
          <w:b w:val="false"/>
          <w:bCs w:val="false"/>
          <w:i w:val="false"/>
          <w:iCs w:val="false"/>
          <w:color w:val="2C3A47"/>
          <w:sz w:val="14"/>
          <w:szCs w:val="14"/>
        </w:rPr>
        <w:t xml:space="preserve">Bent u onderneming. Bij niet-betaling op de vervaldag zijn van rechtswege en zonder ingebrekestelling verschuldigd: een interest tegen de voet bepaald in de wet van 2 augustus 2002 betreffende de bestrijding van de betalingsachterstand bij handelstransacties, alsook een forfaitaire schadevergoeding van 10 % van het onbetaalde bedrag met een minimum van 75 €.</w:t>
      </w:r>
    </w:p>
    <w:p>
      <w:pPr>
        <w:spacing w:after="60" w:before="200" w:line="210"/>
      </w:pPr>
      <w:r>
        <w:rPr>
          <w:rFonts w:ascii="Arial" w:cs="Arial" w:eastAsia="Arial" w:hAnsi="Arial"/>
          <w:b/>
          <w:bCs/>
          <w:i w:val="false"/>
          <w:iCs w:val="false"/>
          <w:color w:val="1B2733"/>
          <w:sz w:val="17"/>
          <w:szCs w:val="17"/>
        </w:rPr>
        <w:t xml:space="preserve">Artikel 12. Onze terugkomgarantie van 30 dagen op de ontstopping</w:t>
      </w:r>
    </w:p>
    <w:p>
      <w:pPr>
        <w:spacing w:after="60" w:before="0" w:line="200"/>
        <w:jc w:val="both"/>
      </w:pPr>
      <w:r>
        <w:rPr>
          <w:rFonts w:ascii="Arial" w:cs="Arial" w:eastAsia="Arial" w:hAnsi="Arial"/>
          <w:b w:val="false"/>
          <w:bCs w:val="false"/>
          <w:i w:val="false"/>
          <w:iCs w:val="false"/>
          <w:color w:val="2C3A47"/>
          <w:sz w:val="14"/>
          <w:szCs w:val="14"/>
        </w:rPr>
        <w:t xml:space="preserve">Wat wij beloven. Raakt de leiding die wij hebben ontstopt binnen dertig kalenderdagen na onze interventie opnieuw verstopt, op dezelfde plaats en door dezelfde oorzaak, dan komen wij gratis terug, verplaatsing en werkuren inbegrepen.</w:t>
      </w:r>
    </w:p>
    <w:p>
      <w:pPr>
        <w:spacing w:after="60" w:before="0" w:line="200"/>
        <w:jc w:val="both"/>
      </w:pPr>
      <w:r>
        <w:rPr>
          <w:rFonts w:ascii="Arial" w:cs="Arial" w:eastAsia="Arial" w:hAnsi="Arial"/>
          <w:b w:val="false"/>
          <w:bCs w:val="false"/>
          <w:i w:val="false"/>
          <w:iCs w:val="false"/>
          <w:color w:val="2C3A47"/>
          <w:sz w:val="14"/>
          <w:szCs w:val="14"/>
        </w:rPr>
        <w:t xml:space="preserve">Hoe u er beroep op doet. Bel 0480 649 649 of schrijf naar info@prodebouchage24.be binnen die dertig dagen, met vermelding van de datum van de interventie en het factuurnummer.</w:t>
      </w:r>
    </w:p>
    <w:p>
      <w:pPr>
        <w:spacing w:after="60" w:before="0" w:line="200"/>
        <w:jc w:val="both"/>
      </w:pPr>
      <w:r>
        <w:rPr>
          <w:rFonts w:ascii="Arial" w:cs="Arial" w:eastAsia="Arial" w:hAnsi="Arial"/>
          <w:b w:val="false"/>
          <w:bCs w:val="false"/>
          <w:i w:val="false"/>
          <w:iCs w:val="false"/>
          <w:color w:val="2C3A47"/>
          <w:sz w:val="14"/>
          <w:szCs w:val="14"/>
        </w:rPr>
        <w:t xml:space="preserve">Wat de waarborg niet dekt:</w:t>
      </w:r>
    </w:p>
    <w:p>
      <w:pPr>
        <w:spacing w:after="30" w:line="195"/>
        <w:ind w:left="220" w:hanging="0"/>
      </w:pPr>
      <w:r>
        <w:rPr>
          <w:rFonts w:ascii="Arial" w:cs="Arial" w:eastAsia="Arial" w:hAnsi="Arial"/>
          <w:b w:val="false"/>
          <w:bCs w:val="false"/>
          <w:i w:val="false"/>
          <w:iCs w:val="false"/>
          <w:color w:val="2C3A47"/>
          <w:sz w:val="14"/>
          <w:szCs w:val="14"/>
        </w:rPr>
        <w:t xml:space="preserve">·   vochtige doekjes, poetsdoeken, kattenbakvulling, maandverband en ander hygiënisch materiaal, vetten, frituurolie, resten van beton, cement of gips, en elk ander voorwerp dat na onze doorgang in de leiding terechtkomt;</w:t>
      </w:r>
    </w:p>
    <w:p>
      <w:pPr>
        <w:spacing w:after="30" w:line="195"/>
        <w:ind w:left="220" w:hanging="0"/>
      </w:pPr>
      <w:r>
        <w:rPr>
          <w:rFonts w:ascii="Arial" w:cs="Arial" w:eastAsia="Arial" w:hAnsi="Arial"/>
          <w:b w:val="false"/>
          <w:bCs w:val="false"/>
          <w:i w:val="false"/>
          <w:iCs w:val="false"/>
          <w:color w:val="2C3A47"/>
          <w:sz w:val="14"/>
          <w:szCs w:val="14"/>
        </w:rPr>
        <w:t xml:space="preserve">·   wortels van bomen of struiken in de leiding;</w:t>
      </w:r>
    </w:p>
    <w:p>
      <w:pPr>
        <w:spacing w:after="30" w:line="195"/>
        <w:ind w:left="220" w:hanging="0"/>
      </w:pPr>
      <w:r>
        <w:rPr>
          <w:rFonts w:ascii="Arial" w:cs="Arial" w:eastAsia="Arial" w:hAnsi="Arial"/>
          <w:b w:val="false"/>
          <w:bCs w:val="false"/>
          <w:i w:val="false"/>
          <w:iCs w:val="false"/>
          <w:color w:val="2C3A47"/>
          <w:sz w:val="14"/>
          <w:szCs w:val="14"/>
        </w:rPr>
        <w:t xml:space="preserve">·   een gebroken, gebarsten, verzakte, platgedrukte of verkeerd aangesloten leiding, een leiding met een verkeerde helling, en elk structureel gebrek dat wij u hebben gemeld en dat u niet hebt laten herstellen;</w:t>
      </w:r>
    </w:p>
    <w:p>
      <w:pPr>
        <w:spacing w:after="30" w:line="195"/>
        <w:ind w:left="220" w:hanging="0"/>
      </w:pPr>
      <w:r>
        <w:rPr>
          <w:rFonts w:ascii="Arial" w:cs="Arial" w:eastAsia="Arial" w:hAnsi="Arial"/>
          <w:b w:val="false"/>
          <w:bCs w:val="false"/>
          <w:i w:val="false"/>
          <w:iCs w:val="false"/>
          <w:color w:val="2C3A47"/>
          <w:sz w:val="14"/>
          <w:szCs w:val="14"/>
        </w:rPr>
        <w:t xml:space="preserve">·   een nieuwe verstopping op een andere plaats van het net, of door een andere oorzaak;</w:t>
      </w:r>
    </w:p>
    <w:p>
      <w:pPr>
        <w:spacing w:after="30" w:line="195"/>
        <w:ind w:left="220" w:hanging="0"/>
      </w:pPr>
      <w:r>
        <w:rPr>
          <w:rFonts w:ascii="Arial" w:cs="Arial" w:eastAsia="Arial" w:hAnsi="Arial"/>
          <w:b w:val="false"/>
          <w:bCs w:val="false"/>
          <w:i w:val="false"/>
          <w:iCs w:val="false"/>
          <w:color w:val="2C3A47"/>
          <w:sz w:val="14"/>
          <w:szCs w:val="14"/>
        </w:rPr>
        <w:t xml:space="preserve">·   een terugslag afkomstig van het openbare rioleringsnet, van een gemeenschappelijk deel of van een naburige installatie;</w:t>
      </w:r>
    </w:p>
    <w:p>
      <w:pPr>
        <w:spacing w:after="30" w:line="195"/>
        <w:ind w:left="220" w:hanging="0"/>
      </w:pPr>
      <w:r>
        <w:rPr>
          <w:rFonts w:ascii="Arial" w:cs="Arial" w:eastAsia="Arial" w:hAnsi="Arial"/>
          <w:b w:val="false"/>
          <w:bCs w:val="false"/>
          <w:i w:val="false"/>
          <w:iCs w:val="false"/>
          <w:color w:val="2C3A47"/>
          <w:sz w:val="14"/>
          <w:szCs w:val="14"/>
        </w:rPr>
        <w:t xml:space="preserve">·   interventies die op uw vraag beperkt werden, bijvoorbeeld wanneer u de door ons voorgestelde reiniging hebt geweigerd;</w:t>
      </w:r>
    </w:p>
    <w:p>
      <w:pPr>
        <w:spacing w:after="30" w:line="195"/>
        <w:ind w:left="220" w:hanging="0"/>
      </w:pPr>
      <w:r>
        <w:rPr>
          <w:rFonts w:ascii="Arial" w:cs="Arial" w:eastAsia="Arial" w:hAnsi="Arial"/>
          <w:b w:val="false"/>
          <w:bCs w:val="false"/>
          <w:i w:val="false"/>
          <w:iCs w:val="false"/>
          <w:color w:val="2C3A47"/>
          <w:sz w:val="14"/>
          <w:szCs w:val="14"/>
        </w:rPr>
        <w:t xml:space="preserve">·   elke tussenkomst van een derde op de leiding tussen onze doorgang en uw oproep.</w:t>
      </w:r>
    </w:p>
    <w:p>
      <w:pPr>
        <w:spacing w:after="60" w:before="0" w:line="200"/>
        <w:jc w:val="both"/>
      </w:pPr>
      <w:r>
        <w:rPr>
          <w:rFonts w:ascii="Arial" w:cs="Arial" w:eastAsia="Arial" w:hAnsi="Arial"/>
          <w:b w:val="false"/>
          <w:bCs w:val="false"/>
          <w:i w:val="false"/>
          <w:iCs w:val="false"/>
          <w:color w:val="2C3A47"/>
          <w:sz w:val="14"/>
          <w:szCs w:val="14"/>
        </w:rPr>
        <w:t xml:space="preserve">Uw wettelijke rechten blijven onaangetast. Deze commerciële waarborg van dertig dagen is een vrijwillige verbintenis van onze kant. Zij komt bovenop de rechten die de wet u als klant geeft en beperkt die op geen enkele wijze.</w:t>
      </w:r>
    </w:p>
    <w:p>
      <w:pPr>
        <w:spacing w:after="60" w:before="200" w:line="210"/>
      </w:pPr>
      <w:r>
        <w:rPr>
          <w:rFonts w:ascii="Arial" w:cs="Arial" w:eastAsia="Arial" w:hAnsi="Arial"/>
          <w:b/>
          <w:bCs/>
          <w:i w:val="false"/>
          <w:iCs w:val="false"/>
          <w:color w:val="1B2733"/>
          <w:sz w:val="17"/>
          <w:szCs w:val="17"/>
        </w:rPr>
        <w:t xml:space="preserve">Artikel 13. Onze aansprakelijkheid en onze verzekering</w:t>
      </w:r>
    </w:p>
    <w:p>
      <w:pPr>
        <w:spacing w:after="60" w:before="0" w:line="200"/>
        <w:jc w:val="both"/>
      </w:pPr>
      <w:r>
        <w:rPr>
          <w:rFonts w:ascii="Arial" w:cs="Arial" w:eastAsia="Arial" w:hAnsi="Arial"/>
          <w:b w:val="false"/>
          <w:bCs w:val="false"/>
          <w:i w:val="false"/>
          <w:iCs w:val="false"/>
          <w:color w:val="2C3A47"/>
          <w:sz w:val="14"/>
          <w:szCs w:val="14"/>
        </w:rPr>
        <w:t xml:space="preserve">Wij zijn verzekerd voor burgerlijke beroepsaansprakelijkheid bij AG Insurance. Een attest wordt u op eenvoudig verzoek bezorgd.</w:t>
      </w:r>
    </w:p>
    <w:p>
      <w:pPr>
        <w:spacing w:after="60" w:before="0" w:line="200"/>
        <w:jc w:val="both"/>
      </w:pPr>
      <w:r>
        <w:rPr>
          <w:rFonts w:ascii="Arial" w:cs="Arial" w:eastAsia="Arial" w:hAnsi="Arial"/>
          <w:b w:val="false"/>
          <w:bCs w:val="false"/>
          <w:i w:val="false"/>
          <w:iCs w:val="false"/>
          <w:color w:val="2C3A47"/>
          <w:sz w:val="14"/>
          <w:szCs w:val="14"/>
        </w:rPr>
        <w:t xml:space="preserve">Wij staan in voor de schade die wij door onze fout bij de uitvoering van onze werken veroorzaken.</w:t>
      </w:r>
    </w:p>
    <w:p>
      <w:pPr>
        <w:spacing w:after="60" w:before="0" w:line="200"/>
        <w:jc w:val="both"/>
      </w:pPr>
      <w:r>
        <w:rPr>
          <w:rFonts w:ascii="Arial" w:cs="Arial" w:eastAsia="Arial" w:hAnsi="Arial"/>
          <w:b w:val="false"/>
          <w:bCs w:val="false"/>
          <w:i w:val="false"/>
          <w:iCs w:val="false"/>
          <w:color w:val="2C3A47"/>
          <w:sz w:val="14"/>
          <w:szCs w:val="14"/>
        </w:rPr>
        <w:t xml:space="preserve">Wij sluiten onze aansprakelijkheid op geen enkele wijze uit of beperken ze op geen enkele wijze: bij opzet of zware fout, in onzen hoofde of in hoofde van onze aangestelden; bij niet-uitvoering van een van de hoofdprestaties van de overeenkomst; bij aantasting van het leven of de fysieke integriteit van een persoon.</w:t>
      </w:r>
    </w:p>
    <w:p>
      <w:pPr>
        <w:spacing w:after="60" w:before="0" w:line="200"/>
        <w:jc w:val="both"/>
      </w:pPr>
      <w:r>
        <w:rPr>
          <w:rFonts w:ascii="Arial" w:cs="Arial" w:eastAsia="Arial" w:hAnsi="Arial"/>
          <w:b w:val="false"/>
          <w:bCs w:val="false"/>
          <w:i w:val="false"/>
          <w:iCs w:val="false"/>
          <w:color w:val="2C3A47"/>
          <w:sz w:val="14"/>
          <w:szCs w:val="14"/>
        </w:rPr>
        <w:t xml:space="preserve">Voor het overige, dat wil zeggen voor materiële en indirecte schade die voortvloeit uit een lichte fout bij de uitvoering van een bijkomstige verbintenis, is onze vergoeding beperkt tot het bedrag dat onze verzekering burgerlijke beroepsaansprakelijkheid voor het betrokken schadegeval werkelijk ten laste neemt.</w:t>
      </w:r>
    </w:p>
    <w:p>
      <w:pPr>
        <w:spacing w:after="60" w:before="0" w:line="200"/>
        <w:jc w:val="both"/>
      </w:pPr>
      <w:r>
        <w:rPr>
          <w:rFonts w:ascii="Arial" w:cs="Arial" w:eastAsia="Arial" w:hAnsi="Arial"/>
          <w:b w:val="false"/>
          <w:bCs w:val="false"/>
          <w:i w:val="false"/>
          <w:iCs w:val="false"/>
          <w:color w:val="2C3A47"/>
          <w:sz w:val="14"/>
          <w:szCs w:val="14"/>
        </w:rPr>
        <w:t xml:space="preserve">Wij staan niet in: voor de vooraf bestaande toestand van uw installatie, noch voor slijtage, corrosie, barsten of structurele gebreken die er voor onze doorgang al waren; voor schade die voortvloeit uit onjuiste of onvolledige informatie die u ons over de installatie hebt gegeven; voor schade aan een leiding waarvan wij u de kwetsbaarheid vooraf hebben gemeld en waarvoor u ons schriftelijk hebt gevraagd toch verder te gaan; voor schade die al was ontstaan voor onze aankomst, in het bijzonder de waterschade veroorzaakt door de terugslag zelf.</w:t>
      </w:r>
    </w:p>
    <w:p>
      <w:pPr>
        <w:spacing w:after="60" w:before="200" w:line="210"/>
      </w:pPr>
      <w:r>
        <w:rPr>
          <w:rFonts w:ascii="Arial" w:cs="Arial" w:eastAsia="Arial" w:hAnsi="Arial"/>
          <w:b/>
          <w:bCs/>
          <w:i w:val="false"/>
          <w:iCs w:val="false"/>
          <w:color w:val="1B2733"/>
          <w:sz w:val="17"/>
          <w:szCs w:val="17"/>
        </w:rPr>
        <w:t xml:space="preserve">Artikel 14. Klachten, bemiddeling, toepasselijk recht en bevoegde rechtbank</w:t>
      </w:r>
    </w:p>
    <w:p>
      <w:pPr>
        <w:spacing w:after="60" w:before="0" w:line="200"/>
        <w:jc w:val="both"/>
      </w:pPr>
      <w:r>
        <w:rPr>
          <w:rFonts w:ascii="Arial" w:cs="Arial" w:eastAsia="Arial" w:hAnsi="Arial"/>
          <w:b w:val="false"/>
          <w:bCs w:val="false"/>
          <w:i w:val="false"/>
          <w:iCs w:val="false"/>
          <w:color w:val="2C3A47"/>
          <w:sz w:val="14"/>
          <w:szCs w:val="14"/>
        </w:rPr>
        <w:t xml:space="preserve">Spreek ons eerst aan. Een klacht raakt sneller opgelost in rechtstreeks contact. Schrijf naar info@prodebouchage24.be of bel 0480 649 649, bij voorkeur binnen veertien dagen na de interventie of na ontvangst van de factuur, met een omschrijving van het probleem en zo mogelijk foto's. Wij antwoorden binnen zeven werkdagen.</w:t>
      </w:r>
    </w:p>
    <w:p>
      <w:pPr>
        <w:spacing w:after="60" w:before="0" w:line="200"/>
        <w:jc w:val="both"/>
      </w:pPr>
      <w:r>
        <w:rPr>
          <w:rFonts w:ascii="Arial" w:cs="Arial" w:eastAsia="Arial" w:hAnsi="Arial"/>
          <w:b w:val="false"/>
          <w:bCs w:val="false"/>
          <w:i w:val="false"/>
          <w:iCs w:val="false"/>
          <w:color w:val="2C3A47"/>
          <w:sz w:val="14"/>
          <w:szCs w:val="14"/>
        </w:rPr>
        <w:t xml:space="preserve">Bemiddeling. Bent u niet tevreden met ons antwoord, dan kunt u zich als consument gratis wenden tot de Consumentenombudsdienst, North Gate II, Koning Albert II-laan 8 bus 1, 1000 Brussel, telefoon 02 702 52 00, contact@consumentenombudsdienst.be, www.consumentenombudsdienst.be. Het Europese platform voor onlinegeschillenbeslechting werd op 20 juli 2025 definitief gesloten en is niet meer beschikbaar.</w:t>
      </w:r>
    </w:p>
    <w:p>
      <w:pPr>
        <w:spacing w:after="60" w:before="0" w:line="200"/>
        <w:jc w:val="both"/>
      </w:pPr>
      <w:r>
        <w:rPr>
          <w:rFonts w:ascii="Arial" w:cs="Arial" w:eastAsia="Arial" w:hAnsi="Arial"/>
          <w:b w:val="false"/>
          <w:bCs w:val="false"/>
          <w:i w:val="false"/>
          <w:iCs w:val="false"/>
          <w:color w:val="2C3A47"/>
          <w:sz w:val="14"/>
          <w:szCs w:val="14"/>
        </w:rPr>
        <w:t xml:space="preserve">Toepasselijk recht. Op onze overeenkomsten is het Belgisch recht van toepassing.</w:t>
      </w:r>
    </w:p>
    <w:p>
      <w:pPr>
        <w:spacing w:after="60" w:before="0" w:line="200"/>
        <w:jc w:val="both"/>
      </w:pPr>
      <w:r>
        <w:rPr>
          <w:rFonts w:ascii="Arial" w:cs="Arial" w:eastAsia="Arial" w:hAnsi="Arial"/>
          <w:b w:val="false"/>
          <w:bCs w:val="false"/>
          <w:i w:val="false"/>
          <w:iCs w:val="false"/>
          <w:color w:val="2C3A47"/>
          <w:sz w:val="14"/>
          <w:szCs w:val="14"/>
        </w:rPr>
        <w:t xml:space="preserve">Bevoegde rechtbank. Bij een geschil zijn de rechtbanken bevoegd die worden aangewezen door de artikelen 624 en volgende van het Gerechtelijk Wetboek. Wij leggen geen andere rechtbank op.</w:t>
      </w:r>
    </w:p>
    <w:p>
      <w:pPr>
        <w:spacing w:after="60" w:before="0" w:line="200"/>
        <w:jc w:val="both"/>
      </w:pPr>
      <w:r>
        <w:rPr>
          <w:rFonts w:ascii="Arial" w:cs="Arial" w:eastAsia="Arial" w:hAnsi="Arial"/>
          <w:b w:val="false"/>
          <w:bCs w:val="false"/>
          <w:i w:val="false"/>
          <w:iCs w:val="false"/>
          <w:color w:val="2C3A47"/>
          <w:sz w:val="14"/>
          <w:szCs w:val="14"/>
        </w:rPr>
        <w:t xml:space="preserve">Gedeeltelijke nietigheid. Wordt een beding van deze voorwaarden nietig of voor niet geschreven gehouden, dan blijven de overige bedingen gelden.</w:t>
      </w:r>
    </w:p>
    <w:p>
      <w:pPr>
        <w:spacing w:after="60" w:before="0" w:line="200"/>
        <w:jc w:val="both"/>
      </w:pPr>
      <w:r>
        <w:rPr>
          <w:rFonts w:ascii="Arial" w:cs="Arial" w:eastAsia="Arial" w:hAnsi="Arial"/>
          <w:b w:val="false"/>
          <w:bCs w:val="false"/>
          <w:i w:val="false"/>
          <w:iCs w:val="false"/>
          <w:color w:val="2C3A47"/>
          <w:sz w:val="14"/>
          <w:szCs w:val="14"/>
        </w:rPr>
        <w:t xml:space="preserve">Privacy. De verwerking van uw persoonsgegevens is beschreven in ons privacybeleid.</w:t>
      </w:r>
    </w:p>
    <w:sectPr>
      <w:pgSz w:w="11906" w:h="16838" w:orient="portrait"/>
      <w:pgMar w:top="907"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7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3c500f9d01f1f95460c768b0398e3bca6493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2026-08-27T11:17:30.834Z</dcterms:created>
  <dcterms:modified xsi:type="dcterms:W3CDTF">2026-08-27T11:17:30.834Z</dcterms:modified>
</cp:coreProperties>
</file>

<file path=docProps/custom.xml><?xml version="1.0" encoding="utf-8"?>
<Properties xmlns="http://schemas.openxmlformats.org/officeDocument/2006/custom-properties" xmlns:vt="http://schemas.openxmlformats.org/officeDocument/2006/docPropsVTypes"/>
</file>