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glossary/document.xml" ContentType="application/vnd.openxmlformats-officedocument.wordprocessingml.document.glossary+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r="http://schemas.openxmlformats.org/officeDocument/2006/relationships" xmlns:m="http://schemas.openxmlformats.org/officeDocument/2006/math"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body>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00"/>
        <w:gridCol w:w="6680"/>
      </w:tblGrid>
      <w:tr>
        <w:tc>
          <w:tcPr>
            <w:tcW w:w="3400" w:type="dxa"/>
            <w:tcMar>
              <w:top w:w="0" w:type="dxa"/>
              <w:left w:w="0" w:type="dxa"/>
              <w:bottom w:w="0" w:type="dxa"/>
              <w:right w:w="110" w:type="dxa"/>
            </w:tcMar>
            <w:vAlign w:val="bottom"/>
          </w:tcPr>
          <w:p>
            <w:pPr>
              <w:spacing w:before="0" w:after="0" w:line="240" w:lineRule="auto"/>
            </w:pPr>
            <w:r>
              <w:drawing>
                <wp:inline distT="0" distB="0" distL="0" distR="0">
                  <wp:extent cx="940000" cy="587500"/>
                  <wp:effectExtent l="0" t="0" r="0" b="0"/>
                  <wp:docPr id="1" name="Logo 1" descr="Pro Debouch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1"/>
                          <pic:cNvPicPr>
                            <a:picLocks noChangeAspect="1" noChangeArrowheads="1"/>
                          </pic:cNvPicPr>
                        </pic:nvPicPr>
                        <pic:blipFill>
                          <a:blip r:embed="rIdLogo" cstate="none"/>
                          <a:srcRect/>
                          <a:stretch>
                            <a:fillRect/>
                          </a:stretch>
                        </pic:blipFill>
                        <pic:spPr bwMode="auto">
                          <a:xfrm>
                            <a:off x="0" y="0"/>
                            <a:ext cx="940000" cy="587500"/>
                          </a:xfrm>
                          <a:prstGeom prst="rect">
                            <a:avLst/>
                          </a:prstGeom>
                        </pic:spPr>
                      </pic:pic>
                    </a:graphicData>
                  </a:graphic>
                </wp:inline>
              </w:drawing>
            </w:r>
          </w:p>
        </w:tc>
        <w:tc>
          <w:tcPr>
            <w:tcW w:w="6680" w:type="dxa"/>
            <w:tcMar>
              <w:top w:w="70" w:type="dxa"/>
              <w:left w:w="110" w:type="dxa"/>
              <w:bottom w:w="0" w:type="dxa"/>
              <w:right w:w="0" w:type="dxa"/>
            </w:tcMar>
            <w:vAlign w:val="bottom"/>
          </w:tcPr>
          <w:p>
            <w:pPr>
              <w:spacing w:before="0" w:after="0" w:line="240" w:lineRule="auto"/>
              <w:jc w:val="right"/>
            </w:pPr>
            <w:r>
              <w:rPr>
                <w:rFonts w:ascii="Arial" w:hAnsi="Arial" w:eastAsia="Arial" w:cs="Arial"/>
                <w:b/>
                <w:bCs/>
                <w:i w:val="false"/>
                <w:iCs w:val="false"/>
                <w:color w:val="1B2733"/>
                <w:spacing w:val="10"/>
                <w:sz w:val="36"/>
                <w:szCs w:val="36"/>
              </w:rPr>
              <w:t xml:space="preserve">GUIDE DE LA FACTURE</w:t>
            </w:r>
          </w:p>
        </w:tc>
      </w:tr>
    </w:tbl>
    <w:p>
      <w:pPr>
        <w:pBdr>
          <w:top w:val="none" w:color="FFFFFF" w:sz="0"/>
          <w:left w:val="none" w:color="FFFFFF" w:sz="0"/>
          <w:bottom w:val="single" w:color="27B5A4" w:sz="12"/>
          <w:right w:val="none" w:color="FFFFFF" w:sz="0"/>
        </w:pBdr>
        <w:spacing w:before="0" w:after="70" w:line="240" w:lineRule="auto"/>
      </w:pPr>
    </w:p>
    <w:p>
      <w:pPr>
        <w:spacing w:before="0" w:after="40" w:line="240" w:lineRule="auto"/>
      </w:pPr>
      <w:r>
        <w:rPr>
          <w:rFonts w:ascii="Arial" w:hAnsi="Arial" w:eastAsia="Arial" w:cs="Arial"/>
          <w:b w:val="false"/>
          <w:bCs w:val="false"/>
          <w:i w:val="false"/>
          <w:iCs w:val="false"/>
          <w:color w:val="6B7B8A"/>
          <w:sz w:val="16"/>
          <w:szCs w:val="16"/>
        </w:rPr>
        <w:t xml:space="preserve">Comment remplir la facture Pro Débouchage. À garder près de l'ordinateur.</w:t>
      </w:r>
    </w:p>
    <w:p>
      <w:pPr>
        <w:pBdr>
          <w:top w:val="none" w:color="FFFFFF" w:sz="0"/>
          <w:left w:val="none" w:color="FFFFFF" w:sz="0"/>
          <w:bottom w:val="single" w:color="D8DEE4" w:sz="4"/>
          <w:right w:val="none" w:color="FFFFFF" w:sz="0"/>
        </w:pBdr>
        <w:spacing w:before="0" w:after="120" w:line="240" w:lineRule="auto"/>
      </w:pPr>
    </w:p>
    <w:p>
      <w:pPr>
        <w:spacing w:before="190" w:after="55" w:line="240" w:lineRule="auto"/>
      </w:pPr>
      <w:r>
        <w:rPr>
          <w:rFonts w:ascii="Arial" w:hAnsi="Arial" w:eastAsia="Arial" w:cs="Arial"/>
          <w:b/>
          <w:bCs/>
          <w:i w:val="false"/>
          <w:iCs w:val="false"/>
          <w:color w:val="27B5A4"/>
          <w:spacing w:val="24"/>
          <w:sz w:val="17"/>
          <w:szCs w:val="17"/>
        </w:rPr>
        <w:t xml:space="preserve">1. Comment remplir</w:t>
      </w:r>
    </w:p>
    <w:p>
      <w:pPr>
        <w:spacing w:before="0" w:after="60" w:line="215" w:lineRule="auto"/>
      </w:pPr>
      <w:r>
        <w:rPr>
          <w:rFonts w:ascii="Arial" w:hAnsi="Arial" w:eastAsia="Arial" w:cs="Arial"/>
          <w:b w:val="false"/>
          <w:bCs w:val="false"/>
          <w:i w:val="false"/>
          <w:iCs w:val="false"/>
          <w:color w:val="2C3A47"/>
          <w:sz w:val="18"/>
          <w:szCs w:val="18"/>
        </w:rPr>
        <w:t xml:space="preserve">Le fichier arrive par WhatsApp ou par e-mail, donc Word l'ouvre en mode protégé, avec une bande jaune en haut. Cliquez sur Activer la modification. Tant que ce n'est pas fait, les cases refusent le texte et les carrés ne se cochent pas. C'est normal, et c'est à faire une seule fois par fichier.</w:t>
      </w:r>
    </w:p>
    <w:p>
      <w:pPr>
        <w:spacing w:before="0" w:after="60" w:line="215" w:lineRule="auto"/>
      </w:pPr>
      <w:r>
        <w:rPr>
          <w:rFonts w:ascii="Arial" w:hAnsi="Arial" w:eastAsia="Arial" w:cs="Arial"/>
          <w:b w:val="false"/>
          <w:bCs w:val="false"/>
          <w:i w:val="false"/>
          <w:iCs w:val="false"/>
          <w:color w:val="2C3A47"/>
          <w:sz w:val="18"/>
          <w:szCs w:val="18"/>
        </w:rPr>
        <w:t xml:space="preserve">La facture vide est le modèle : elle ne se remplit jamais. Pour chaque facture, faites d'abord Fichier &gt; Enregistrer sous, puis remplissez la copie. Nommez-la avec le numéro et le nom du client, par exemple 1784 Dupont.docx. Ce dossier devient votre archive, celle que vous devez de toute façon garder dix ans.</w:t>
      </w:r>
    </w:p>
    <w:p>
      <w:pPr>
        <w:spacing w:before="0" w:after="60" w:line="215" w:lineRule="auto"/>
      </w:pPr>
      <w:r>
        <w:rPr>
          <w:rFonts w:ascii="Arial" w:hAnsi="Arial" w:eastAsia="Arial" w:cs="Arial"/>
          <w:b w:val="false"/>
          <w:bCs w:val="false"/>
          <w:i w:val="false"/>
          <w:iCs w:val="false"/>
          <w:color w:val="2C3A47"/>
          <w:sz w:val="18"/>
          <w:szCs w:val="18"/>
        </w:rPr>
        <w:t xml:space="preserve">Cliquez dans une case grise et tapez. Le texte gris disparaît dès que vous tapez.</w:t>
      </w:r>
    </w:p>
    <w:p>
      <w:pPr>
        <w:spacing w:before="0" w:after="60" w:line="215" w:lineRule="auto"/>
      </w:pPr>
      <w:r>
        <w:rPr>
          <w:rFonts w:ascii="Arial" w:hAnsi="Arial" w:eastAsia="Arial" w:cs="Arial"/>
          <w:b w:val="false"/>
          <w:bCs w:val="false"/>
          <w:i w:val="false"/>
          <w:iCs w:val="false"/>
          <w:color w:val="2C3A47"/>
          <w:sz w:val="18"/>
          <w:szCs w:val="18"/>
        </w:rPr>
        <w:t xml:space="preserve">Appuyez sur la touche Tab pour passer à la case suivante.</w:t>
      </w:r>
    </w:p>
    <w:p>
      <w:pPr>
        <w:spacing w:before="0" w:after="60" w:line="215" w:lineRule="auto"/>
      </w:pPr>
      <w:r>
        <w:rPr>
          <w:rFonts w:ascii="Arial" w:hAnsi="Arial" w:eastAsia="Arial" w:cs="Arial"/>
          <w:b w:val="false"/>
          <w:bCs w:val="false"/>
          <w:i w:val="false"/>
          <w:iCs w:val="false"/>
          <w:color w:val="2C3A47"/>
          <w:sz w:val="18"/>
          <w:szCs w:val="18"/>
        </w:rPr>
        <w:t xml:space="preserve">Les petits carrés se cochent quand vous cliquez dessus.</w:t>
      </w:r>
    </w:p>
    <w:p>
      <w:pPr>
        <w:spacing w:before="0" w:after="60" w:line="215" w:lineRule="auto"/>
      </w:pPr>
      <w:r>
        <w:rPr>
          <w:rFonts w:ascii="Arial" w:hAnsi="Arial" w:eastAsia="Arial" w:cs="Arial"/>
          <w:b w:val="false"/>
          <w:bCs w:val="false"/>
          <w:i w:val="false"/>
          <w:iCs w:val="false"/>
          <w:color w:val="2C3A47"/>
          <w:sz w:val="18"/>
          <w:szCs w:val="18"/>
        </w:rPr>
        <w:t xml:space="preserve">Les paragraphes de loi, en bas de la facture, ne se modifient pas. C'est voulu : ils protègent l'entreprise.</w:t>
      </w:r>
    </w:p>
    <w:p>
      <w:pPr>
        <w:spacing w:before="190" w:after="55" w:line="240" w:lineRule="auto"/>
      </w:pPr>
      <w:r>
        <w:rPr>
          <w:rFonts w:ascii="Arial" w:hAnsi="Arial" w:eastAsia="Arial" w:cs="Arial"/>
          <w:b/>
          <w:bCs/>
          <w:i w:val="false"/>
          <w:iCs w:val="false"/>
          <w:color w:val="27B5A4"/>
          <w:spacing w:val="24"/>
          <w:sz w:val="17"/>
          <w:szCs w:val="17"/>
        </w:rPr>
        <w:t xml:space="preserve">2. Le numéro de facture</w:t>
      </w:r>
    </w:p>
    <w:p>
      <w:pPr>
        <w:spacing w:before="0" w:after="60" w:line="215" w:lineRule="auto"/>
      </w:pPr>
      <w:r>
        <w:rPr>
          <w:rFonts w:ascii="Arial" w:hAnsi="Arial" w:eastAsia="Arial" w:cs="Arial"/>
          <w:b w:val="false"/>
          <w:bCs w:val="false"/>
          <w:i w:val="false"/>
          <w:iCs w:val="false"/>
          <w:color w:val="2C3A47"/>
          <w:sz w:val="18"/>
          <w:szCs w:val="18"/>
        </w:rPr>
        <w:t xml:space="preserve">Vous continuez votre numérotation, celle que vous utilisez déjà.</w:t>
      </w:r>
    </w:p>
    <w:p>
      <w:pPr>
        <w:spacing w:before="0" w:after="60" w:line="215" w:lineRule="auto"/>
      </w:pPr>
      <w:r>
        <w:rPr>
          <w:rFonts w:ascii="Arial" w:hAnsi="Arial" w:eastAsia="Arial" w:cs="Arial"/>
          <w:b w:val="false"/>
          <w:bCs w:val="false"/>
          <w:i w:val="false"/>
          <w:iCs w:val="false"/>
          <w:color w:val="2C3A47"/>
          <w:sz w:val="18"/>
          <w:szCs w:val="18"/>
        </w:rPr>
        <w:t xml:space="preserve">Dans l'ordre, sans trou. Jamais deux fois le même numéro. Un numéro par facture.</w:t>
      </w:r>
    </w:p>
    <w:p>
      <w:pPr>
        <w:spacing w:before="0" w:after="60" w:line="215" w:lineRule="auto"/>
      </w:pPr>
      <w:r>
        <w:rPr>
          <w:rFonts w:ascii="Arial" w:hAnsi="Arial" w:eastAsia="Arial" w:cs="Arial"/>
          <w:b w:val="false"/>
          <w:bCs w:val="false"/>
          <w:i w:val="false"/>
          <w:iCs w:val="false"/>
          <w:color w:val="2C3A47"/>
          <w:sz w:val="18"/>
          <w:szCs w:val="18"/>
        </w:rPr>
        <w:t xml:space="preserve">Une erreur sur une facture déjà envoyée ? On ne la supprime pas et on ne la corrige pas. On fait une note de crédit, avec sa propre numérotation, qui reprend le numéro de la facture concernée.</w:t>
      </w:r>
    </w:p>
    <w:p>
      <w:pPr>
        <w:spacing w:before="190" w:after="55" w:line="240" w:lineRule="auto"/>
      </w:pPr>
      <w:r>
        <w:rPr>
          <w:rFonts w:ascii="Arial" w:hAnsi="Arial" w:eastAsia="Arial" w:cs="Arial"/>
          <w:b/>
          <w:bCs/>
          <w:i w:val="false"/>
          <w:iCs w:val="false"/>
          <w:color w:val="27B5A4"/>
          <w:spacing w:val="24"/>
          <w:sz w:val="17"/>
          <w:szCs w:val="17"/>
        </w:rPr>
        <w:t xml:space="preserve">3. Le taux de TVA : 6 % ou 21 %</w:t>
      </w:r>
    </w:p>
    <w:p>
      <w:pPr>
        <w:spacing w:before="0" w:after="60" w:line="215" w:lineRule="auto"/>
      </w:pPr>
      <w:r>
        <w:rPr>
          <w:rFonts w:ascii="Arial" w:hAnsi="Arial" w:eastAsia="Arial" w:cs="Arial"/>
          <w:b w:val="false"/>
          <w:bCs w:val="false"/>
          <w:i w:val="false"/>
          <w:iCs w:val="false"/>
          <w:color w:val="2C3A47"/>
          <w:sz w:val="18"/>
          <w:szCs w:val="18"/>
        </w:rPr>
        <w:t xml:space="preserve">Trois questions. Trois fois oui, c'est 6 %.</w:t>
      </w:r>
    </w:p>
    <w:p>
      <w:pPr>
        <w:spacing w:before="0" w:after="35" w:line="215" w:lineRule="auto"/>
        <w:ind w:left="320" w:hanging="200"/>
      </w:pPr>
      <w:r>
        <w:rPr>
          <w:rFonts w:ascii="Arial" w:hAnsi="Arial" w:eastAsia="Arial" w:cs="Arial"/>
          <w:b w:val="false"/>
          <w:bCs w:val="false"/>
          <w:i w:val="false"/>
          <w:iCs w:val="false"/>
          <w:color w:val="2C3A47"/>
          <w:sz w:val="18"/>
          <w:szCs w:val="18"/>
        </w:rPr>
        <w:t xml:space="preserve">·</w:t>
      </w:r>
      <w:r>
        <w:rPr>
          <w:rFonts w:ascii="Arial" w:hAnsi="Arial" w:eastAsia="Arial" w:cs="Arial"/>
          <w:b w:val="false"/>
          <w:bCs w:val="false"/>
          <w:i w:val="false"/>
          <w:iCs w:val="false"/>
          <w:color w:val="2C3A47"/>
          <w:sz w:val="18"/>
          <w:szCs w:val="18"/>
        </w:rPr>
        <w:t xml:space="preserve">   Le bâtiment a plus de dix ans ?</w:t>
      </w:r>
    </w:p>
    <w:p>
      <w:pPr>
        <w:spacing w:before="0" w:after="35" w:line="215" w:lineRule="auto"/>
        <w:ind w:left="320" w:hanging="200"/>
      </w:pPr>
      <w:r>
        <w:rPr>
          <w:rFonts w:ascii="Arial" w:hAnsi="Arial" w:eastAsia="Arial" w:cs="Arial"/>
          <w:b w:val="false"/>
          <w:bCs w:val="false"/>
          <w:i w:val="false"/>
          <w:iCs w:val="false"/>
          <w:color w:val="2C3A47"/>
          <w:sz w:val="18"/>
          <w:szCs w:val="18"/>
        </w:rPr>
        <w:t xml:space="preserve">·</w:t>
      </w:r>
      <w:r>
        <w:rPr>
          <w:rFonts w:ascii="Arial" w:hAnsi="Arial" w:eastAsia="Arial" w:cs="Arial"/>
          <w:b w:val="false"/>
          <w:bCs w:val="false"/>
          <w:i w:val="false"/>
          <w:iCs w:val="false"/>
          <w:color w:val="2C3A47"/>
          <w:sz w:val="18"/>
          <w:szCs w:val="18"/>
        </w:rPr>
        <w:t xml:space="preserve">   Il sert surtout de logement privé ?</w:t>
      </w:r>
    </w:p>
    <w:p>
      <w:pPr>
        <w:spacing w:before="0" w:after="35" w:line="215" w:lineRule="auto"/>
        <w:ind w:left="320" w:hanging="200"/>
      </w:pPr>
      <w:r>
        <w:rPr>
          <w:rFonts w:ascii="Arial" w:hAnsi="Arial" w:eastAsia="Arial" w:cs="Arial"/>
          <w:b w:val="false"/>
          <w:bCs w:val="false"/>
          <w:i w:val="false"/>
          <w:iCs w:val="false"/>
          <w:color w:val="2C3A47"/>
          <w:sz w:val="18"/>
          <w:szCs w:val="18"/>
        </w:rPr>
        <w:t xml:space="preserve">·</w:t>
      </w:r>
      <w:r>
        <w:rPr>
          <w:rFonts w:ascii="Arial" w:hAnsi="Arial" w:eastAsia="Arial" w:cs="Arial"/>
          <w:b w:val="false"/>
          <w:bCs w:val="false"/>
          <w:i w:val="false"/>
          <w:iCs w:val="false"/>
          <w:color w:val="2C3A47"/>
          <w:sz w:val="18"/>
          <w:szCs w:val="18"/>
        </w:rPr>
        <w:t xml:space="preserve">   La facture va à la personne qui y habite ?</w:t>
      </w:r>
    </w:p>
    <w:p>
      <w:pPr>
        <w:spacing w:before="0" w:after="60" w:line="215" w:lineRule="auto"/>
      </w:pPr>
      <w:r>
        <w:rPr>
          <w:rFonts w:ascii="Arial" w:hAnsi="Arial" w:eastAsia="Arial" w:cs="Arial"/>
          <w:b w:val="false"/>
          <w:bCs w:val="false"/>
          <w:i w:val="false"/>
          <w:iCs w:val="false"/>
          <w:color w:val="2C3A47"/>
          <w:sz w:val="18"/>
          <w:szCs w:val="18"/>
        </w:rPr>
        <w:t xml:space="preserve">Un seul non, c'est 21 %. Un chantier avec les deux taux : vous utilisez les deux lignes du tableau, jamais une moyenne. Dans le doute, 21 % et vous demandez.</w:t>
      </w:r>
    </w:p>
    <w:p>
      <w:pPr>
        <w:spacing w:before="0" w:after="60" w:line="215" w:lineRule="auto"/>
      </w:pPr>
      <w:r>
        <w:rPr>
          <w:rFonts w:ascii="Arial" w:hAnsi="Arial" w:eastAsia="Arial" w:cs="Arial"/>
          <w:b w:val="false"/>
          <w:bCs w:val="false"/>
          <w:i w:val="false"/>
          <w:iCs w:val="false"/>
          <w:color w:val="2C3A47"/>
          <w:sz w:val="18"/>
          <w:szCs w:val="18"/>
        </w:rPr>
        <w:t xml:space="preserve">Vidange de fosse septique seule, inspection caméra seule, pompage de cave seul : le taux n'est pas encore tranché. Demandez avant de facturer.</w:t>
      </w:r>
    </w:p>
    <w:p>
      <w:pPr>
        <w:spacing w:before="190" w:after="55" w:line="240" w:lineRule="auto"/>
      </w:pPr>
      <w:r>
        <w:rPr>
          <w:rFonts w:ascii="Arial" w:hAnsi="Arial" w:eastAsia="Arial" w:cs="Arial"/>
          <w:b/>
          <w:bCs/>
          <w:i w:val="false"/>
          <w:iCs w:val="false"/>
          <w:color w:val="27B5A4"/>
          <w:spacing w:val="24"/>
          <w:sz w:val="17"/>
          <w:szCs w:val="17"/>
        </w:rPr>
        <w:t xml:space="preserve">4. Le mot à ne jamais écrire</w:t>
      </w:r>
    </w:p>
    <w:p>
      <w:pPr>
        <w:spacing w:before="0" w:after="60" w:line="215" w:lineRule="auto"/>
      </w:pPr>
      <w:r>
        <w:rPr>
          <w:rFonts w:ascii="Arial" w:hAnsi="Arial" w:eastAsia="Arial" w:cs="Arial"/>
          <w:b w:val="false"/>
          <w:bCs w:val="false"/>
          <w:i w:val="false"/>
          <w:iCs w:val="false"/>
          <w:color w:val="2C3A47"/>
          <w:sz w:val="18"/>
          <w:szCs w:val="18"/>
        </w:rPr>
        <w:t xml:space="preserve">Pour le travail à haute pression, écrivez curage ou débouchage. Le mot nettoyage peut faire passer le chantier à 21 %.</w:t>
      </w:r>
    </w:p>
    <w:p>
      <w:pPr>
        <w:spacing w:before="190" w:after="55" w:line="240" w:lineRule="auto"/>
      </w:pPr>
      <w:r>
        <w:rPr>
          <w:rFonts w:ascii="Arial" w:hAnsi="Arial" w:eastAsia="Arial" w:cs="Arial"/>
          <w:b/>
          <w:bCs/>
          <w:i w:val="false"/>
          <w:iCs w:val="false"/>
          <w:color w:val="27B5A4"/>
          <w:spacing w:val="24"/>
          <w:sz w:val="17"/>
          <w:szCs w:val="17"/>
        </w:rPr>
        <w:t xml:space="preserve">5. Décrire le travail</w:t>
      </w:r>
    </w:p>
    <w:p>
      <w:pPr>
        <w:spacing w:before="0" w:after="60" w:line="215" w:lineRule="auto"/>
      </w:pPr>
      <w:r>
        <w:rPr>
          <w:rFonts w:ascii="Arial" w:hAnsi="Arial" w:eastAsia="Arial" w:cs="Arial"/>
          <w:b w:val="false"/>
          <w:bCs w:val="false"/>
          <w:i w:val="false"/>
          <w:iCs w:val="false"/>
          <w:color w:val="2C3A47"/>
          <w:sz w:val="18"/>
          <w:szCs w:val="18"/>
        </w:rPr>
        <w:t xml:space="preserve">Des vrais mots, une ligne par opération. Par exemple : Débouchage WC, furet électrique.</w:t>
      </w:r>
    </w:p>
    <w:p>
      <w:pPr>
        <w:spacing w:before="0" w:after="60" w:line="215" w:lineRule="auto"/>
      </w:pPr>
      <w:r>
        <w:rPr>
          <w:rFonts w:ascii="Arial" w:hAnsi="Arial" w:eastAsia="Arial" w:cs="Arial"/>
          <w:b w:val="false"/>
          <w:bCs w:val="false"/>
          <w:i w:val="false"/>
          <w:iCs w:val="false"/>
          <w:color w:val="2C3A47"/>
          <w:sz w:val="18"/>
          <w:szCs w:val="18"/>
        </w:rPr>
        <w:t xml:space="preserve">L'adresse du bâtiment va dans le bloc Lieu d'intervention : c'est elle qui justifie le taux de TVA.</w:t>
      </w:r>
    </w:p>
    <w:p>
      <w:pPr>
        <w:spacing w:before="0" w:after="60" w:line="215" w:lineRule="auto"/>
      </w:pPr>
      <w:r>
        <w:rPr>
          <w:rFonts w:ascii="Arial" w:hAnsi="Arial" w:eastAsia="Arial" w:cs="Arial"/>
          <w:b w:val="false"/>
          <w:bCs w:val="false"/>
          <w:i w:val="false"/>
          <w:iCs w:val="false"/>
          <w:color w:val="2C3A47"/>
          <w:sz w:val="18"/>
          <w:szCs w:val="18"/>
        </w:rPr>
        <w:t xml:space="preserve">Une seule ligne qui dit travaux ne suffit pas.</w:t>
      </w:r>
    </w:p>
    <w:p>
      <w:pPr>
        <w:spacing w:before="190" w:after="55" w:line="240" w:lineRule="auto"/>
      </w:pPr>
      <w:r>
        <w:rPr>
          <w:rFonts w:ascii="Arial" w:hAnsi="Arial" w:eastAsia="Arial" w:cs="Arial"/>
          <w:b/>
          <w:bCs/>
          <w:i w:val="false"/>
          <w:iCs w:val="false"/>
          <w:color w:val="27B5A4"/>
          <w:spacing w:val="24"/>
          <w:sz w:val="17"/>
          <w:szCs w:val="17"/>
        </w:rPr>
        <w:t xml:space="preserve">6. Clients professionnels</w:t>
      </w:r>
    </w:p>
    <w:p>
      <w:pPr>
        <w:spacing w:before="0" w:after="60" w:line="215" w:lineRule="auto"/>
      </w:pPr>
      <w:r>
        <w:rPr>
          <w:rFonts w:ascii="Arial" w:hAnsi="Arial" w:eastAsia="Arial" w:cs="Arial"/>
          <w:b w:val="false"/>
          <w:bCs w:val="false"/>
          <w:i w:val="false"/>
          <w:iCs w:val="false"/>
          <w:color w:val="2C3A47"/>
          <w:sz w:val="18"/>
          <w:szCs w:val="18"/>
        </w:rPr>
        <w:t xml:space="preserve">Client belge avec un numéro de TVA : depuis janvier 2026, cette facture Word ne suffit plus. Elle passe par Peppol, comme vous le faites déjà.</w:t>
      </w:r>
    </w:p>
    <w:p>
      <w:pPr>
        <w:spacing w:before="0" w:after="60" w:line="215" w:lineRule="auto"/>
      </w:pPr>
      <w:r>
        <w:rPr>
          <w:rFonts w:ascii="Arial" w:hAnsi="Arial" w:eastAsia="Arial" w:cs="Arial"/>
          <w:b w:val="false"/>
          <w:bCs w:val="false"/>
          <w:i w:val="false"/>
          <w:iCs w:val="false"/>
          <w:color w:val="2C3A47"/>
          <w:sz w:val="18"/>
          <w:szCs w:val="18"/>
        </w:rPr>
        <w:t xml:space="preserve">Particuliers et syndics : cette facture Word, sur papier ou en PDF.</w:t>
      </w:r>
    </w:p>
    <w:p>
      <w:pPr>
        <w:spacing w:before="190" w:after="55" w:line="240" w:lineRule="auto"/>
      </w:pPr>
      <w:r>
        <w:rPr>
          <w:rFonts w:ascii="Arial" w:hAnsi="Arial" w:eastAsia="Arial" w:cs="Arial"/>
          <w:b/>
          <w:bCs/>
          <w:i w:val="false"/>
          <w:iCs w:val="false"/>
          <w:color w:val="27B5A4"/>
          <w:spacing w:val="24"/>
          <w:sz w:val="17"/>
          <w:szCs w:val="17"/>
        </w:rPr>
        <w:t xml:space="preserve">7. Quand facturer</w:t>
      </w:r>
    </w:p>
    <w:p>
      <w:pPr>
        <w:spacing w:before="0" w:after="60" w:line="215" w:lineRule="auto"/>
      </w:pPr>
      <w:r>
        <w:rPr>
          <w:rFonts w:ascii="Arial" w:hAnsi="Arial" w:eastAsia="Arial" w:cs="Arial"/>
          <w:b w:val="false"/>
          <w:bCs w:val="false"/>
          <w:i w:val="false"/>
          <w:iCs w:val="false"/>
          <w:color w:val="2C3A47"/>
          <w:sz w:val="18"/>
          <w:szCs w:val="18"/>
        </w:rPr>
        <w:t xml:space="preserve">Chaque chantier a sa facture, même un petit paiement en espèces la nuit. Pas d'exception, pas de montant minimum.</w:t>
      </w:r>
    </w:p>
    <w:p>
      <w:pPr>
        <w:spacing w:before="0" w:after="60" w:line="215" w:lineRule="auto"/>
      </w:pPr>
      <w:r>
        <w:rPr>
          <w:rFonts w:ascii="Arial" w:hAnsi="Arial" w:eastAsia="Arial" w:cs="Arial"/>
          <w:b w:val="false"/>
          <w:bCs w:val="false"/>
          <w:i w:val="false"/>
          <w:iCs w:val="false"/>
          <w:color w:val="2C3A47"/>
          <w:sz w:val="18"/>
          <w:szCs w:val="18"/>
        </w:rPr>
        <w:t xml:space="preserve">Au plus tard le 15 du mois qui suit le mois du travail. Le plus simple : la même semaine.</w:t>
      </w:r>
    </w:p>
    <w:p>
      <w:pPr>
        <w:spacing w:before="190" w:after="55" w:line="240" w:lineRule="auto"/>
      </w:pPr>
      <w:r>
        <w:rPr>
          <w:rFonts w:ascii="Arial" w:hAnsi="Arial" w:eastAsia="Arial" w:cs="Arial"/>
          <w:b/>
          <w:bCs/>
          <w:i w:val="false"/>
          <w:iCs w:val="false"/>
          <w:color w:val="27B5A4"/>
          <w:spacing w:val="24"/>
          <w:sz w:val="17"/>
          <w:szCs w:val="17"/>
        </w:rPr>
        <w:t xml:space="preserve">8. À garder</w:t>
      </w:r>
    </w:p>
    <w:p>
      <w:pPr>
        <w:spacing w:before="0" w:after="60" w:line="215" w:lineRule="auto"/>
      </w:pPr>
      <w:r>
        <w:rPr>
          <w:rFonts w:ascii="Arial" w:hAnsi="Arial" w:eastAsia="Arial" w:cs="Arial"/>
          <w:b w:val="false"/>
          <w:bCs w:val="false"/>
          <w:i w:val="false"/>
          <w:iCs w:val="false"/>
          <w:color w:val="2C3A47"/>
          <w:sz w:val="18"/>
          <w:szCs w:val="18"/>
        </w:rPr>
        <w:t xml:space="preserve">Les paiements en espèces sont plafonnés à 3.000 euros par chantier. Pour le reste, votre dossier de factures est déjà l'archive des dix ans.</w:t>
      </w:r>
    </w:p>
    <w:p>
      <w:pPr>
        <w:spacing w:before="190" w:after="55" w:line="240" w:lineRule="auto"/>
      </w:pPr>
      <w:r>
        <w:rPr>
          <w:rFonts w:ascii="Arial" w:hAnsi="Arial" w:eastAsia="Arial" w:cs="Arial"/>
          <w:b/>
          <w:bCs/>
          <w:i w:val="false"/>
          <w:iCs w:val="false"/>
          <w:color w:val="27B5A4"/>
          <w:spacing w:val="24"/>
          <w:sz w:val="17"/>
          <w:szCs w:val="17"/>
        </w:rPr>
        <w:t xml:space="preserve">9. La note de crédit</w:t>
      </w:r>
    </w:p>
    <w:p>
      <w:pPr>
        <w:spacing w:before="0" w:after="60" w:line="215" w:lineRule="auto"/>
      </w:pPr>
      <w:r>
        <w:rPr>
          <w:rFonts w:ascii="Arial" w:hAnsi="Arial" w:eastAsia="Arial" w:cs="Arial"/>
          <w:b w:val="false"/>
          <w:bCs w:val="false"/>
          <w:i w:val="false"/>
          <w:iCs w:val="false"/>
          <w:color w:val="2C3A47"/>
          <w:sz w:val="18"/>
          <w:szCs w:val="18"/>
        </w:rPr>
        <w:t xml:space="preserve">Une note de crédit corrige une facture déjà envoyée. La facture, elle, ne se supprime jamais et ne se réécrit jamais.</w:t>
      </w:r>
    </w:p>
    <w:p>
      <w:pPr>
        <w:spacing w:before="0" w:after="60" w:line="215" w:lineRule="auto"/>
      </w:pPr>
      <w:r>
        <w:rPr>
          <w:rFonts w:ascii="Arial" w:hAnsi="Arial" w:eastAsia="Arial" w:cs="Arial"/>
          <w:b w:val="false"/>
          <w:bCs w:val="false"/>
          <w:i w:val="false"/>
          <w:iCs w:val="false"/>
          <w:color w:val="2C3A47"/>
          <w:sz w:val="18"/>
          <w:szCs w:val="18"/>
        </w:rPr>
        <w:t xml:space="preserve">On en fait une quand le montant est trop élevé, quand le client a été facturé deux fois, quand le travail n'a pas été fait, ou quand une erreur sur le client rend la facture inutilisable. Pas de note de crédit si la facture n'est pas encore partie : là vous corrigez la facture. Pas de note de crédit non plus si le client ne paie pas : là c'est un rappel.</w:t>
      </w:r>
    </w:p>
    <w:p>
      <w:pPr>
        <w:spacing w:before="0" w:after="60" w:line="215" w:lineRule="auto"/>
      </w:pPr>
      <w:r>
        <w:rPr>
          <w:rFonts w:ascii="Arial" w:hAnsi="Arial" w:eastAsia="Arial" w:cs="Arial"/>
          <w:b w:val="false"/>
          <w:bCs w:val="false"/>
          <w:i w:val="false"/>
          <w:iCs w:val="false"/>
          <w:color w:val="2C3A47"/>
          <w:sz w:val="18"/>
          <w:szCs w:val="18"/>
        </w:rPr>
        <w:t xml:space="preserve">Le fichier est PRO-DEBOUCHAGE-note-de-credit-FR.docx, et PRO-DEBOUCHAGE-creditnota-NL.docx en néerlandais. Il se remplit comme la facture.</w:t>
      </w:r>
    </w:p>
    <w:p>
      <w:pPr>
        <w:spacing w:before="0" w:after="60" w:line="215" w:lineRule="auto"/>
      </w:pPr>
      <w:r>
        <w:rPr>
          <w:rFonts w:ascii="Arial" w:hAnsi="Arial" w:eastAsia="Arial" w:cs="Arial"/>
          <w:b w:val="false"/>
          <w:bCs w:val="false"/>
          <w:i w:val="false"/>
          <w:iCs w:val="false"/>
          <w:color w:val="2C3A47"/>
          <w:sz w:val="18"/>
          <w:szCs w:val="18"/>
        </w:rPr>
        <w:t xml:space="preserve">Sa numérotation est à part : NC-2026-001, NC-2026-002, dans l'ordre, jamais un numéro de facture. Elle reprend toujours le numéro et la date de la facture corrigée, et le même taux de TVA que cette facture.</w:t>
      </w:r>
    </w:p>
    <w:p>
      <w:pPr>
        <w:spacing w:before="240" w:after="0" w:line="240" w:lineRule="auto"/>
      </w:pPr>
      <w:r>
        <w:rPr>
          <w:rFonts w:ascii="Arial" w:hAnsi="Arial" w:eastAsia="Arial" w:cs="Arial"/>
          <w:b/>
          <w:bCs/>
          <w:i w:val="false"/>
          <w:iCs w:val="false"/>
          <w:color w:val="27B5A4"/>
          <w:sz w:val="17"/>
          <w:szCs w:val="17"/>
        </w:rPr>
        <w:t xml:space="preserve">Une question sur un point ? Écrivez à Fady : hi@fady.be.</w:t>
      </w:r>
    </w:p>
    <w:sectPr>
      <w:pgSz w:w="11906" w:h="16838" w:orient="portrait"/>
      <w:pgMar w:top="907" w:right="907" w:bottom="907" w:left="907" w:header="708" w:footer="708" w:gutter="0"/>
      <w:cols w:num="1"/>
      <w:docGrid w:linePitch="360"/>
    </w:sectPr>
  </w:body>
</w:document>
</file>

<file path=word/fontTable.xml><?xml version="1.0" encoding="utf-8"?>
<w:fonts xmlns:wpc="http://schemas.microsoft.com/office/word/2010/wordprocessingCanvas" xmlns:mc="http://schemas.openxmlformats.org/markup-compatibility/2006" xmlns:r="http://schemas.openxmlformats.org/officeDocument/2006/relationships" xmlns:m="http://schemas.openxmlformats.org/officeDocument/2006/math"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font w:name="Arial">
    <w:family w:val="swiss"/>
    <w:pitch w:val="variable"/>
  </w:font>
  <w:font w:name="MS Gothic">
    <w:family w:val="modern"/>
    <w:pitch w:val="fixed"/>
  </w:font>
</w:fonts>
</file>

<file path=word/settings.xml><?xml version="1.0" encoding="utf-8"?>
<w:settings xmlns:wpc="http://schemas.microsoft.com/office/word/2010/wordprocessingCanvas" xmlns:mc="http://schemas.openxmlformats.org/markup-compatibility/2006" xmlns:r="http://schemas.openxmlformats.org/officeDocument/2006/relationships" xmlns:m="http://schemas.openxmlformats.org/officeDocument/2006/math"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defaultTabStop w:val="720"/>
  <w:compat>
    <w:compatSetting w:name="compatibilityMode" w:uri="http://schemas.microsoft.com/office/word" w:val="15"/>
  </w:compat>
</w:settings>
</file>

<file path=word/styles.xml><?xml version="1.0" encoding="utf-8"?>
<w:styles xmlns:wpc="http://schemas.microsoft.com/office/word/2010/wordprocessingCanvas" xmlns:mc="http://schemas.openxmlformats.org/markup-compatibility/2006" xmlns:r="http://schemas.openxmlformats.org/officeDocument/2006/relationships" xmlns:m="http://schemas.openxmlformats.org/officeDocument/2006/math"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docDefaults>
    <w:rPrDefault>
      <w:rPr>
        <w:rFonts w:ascii="Arial" w:hAnsi="Arial" w:eastAsia="Arial" w:cs="Arial"/>
        <w:color w:val="1B2733"/>
        <w:sz w:val="19"/>
        <w:szCs w:val="19"/>
        <w:lang w:val="fr-BE" w:eastAsia="fr-BE" w:bidi="ar-SA"/>
      </w:rPr>
    </w:rPrDefault>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style>
  <w:style w:type="character" w:styleId="PlaceholderText">
    <w:name w:val="Placeholder Text"/>
    <w:basedOn w:val="DefaultParagraphFont"/>
    <w:uiPriority w:val="99"/>
    <w:semiHidden/>
    <w:rPr>
      <w:color w:val="808080"/>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nts" Type="http://schemas.openxmlformats.org/officeDocument/2006/relationships/fontTable" Target="fontTable.xml"/><Relationship Id="rIdGlossary" Type="http://schemas.openxmlformats.org/officeDocument/2006/relationships/glossaryDocument" Target="glossary/document.xml"/><Relationship Id="rIdLogo" Type="http://schemas.openxmlformats.org/officeDocument/2006/relationships/image" Target="media/logo.png"/></Relationships>
</file>

<file path=word/glossary/document.xml><?xml version="1.0" encoding="utf-8"?>
<w:glossaryDocument xmlns:wpc="http://schemas.microsoft.com/office/word/2010/wordprocessingCanvas" xmlns:mc="http://schemas.openxmlformats.org/markup-compatibility/2006" xmlns:r="http://schemas.openxmlformats.org/officeDocument/2006/relationships" xmlns:m="http://schemas.openxmlformats.org/officeDocument/2006/math"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docParts/>
</w:glossaryDocument>
</file>

<file path=docProps/app.xml><?xml version="1.0" encoding="utf-8"?>
<Properties xmlns="http://schemas.openxmlformats.org/officeDocument/2006/extended-properties" xmlns:vt="http://schemas.openxmlformats.org/officeDocument/2006/docPropsVTypes">
  <Application>build-invoice.js</Application>
</Properties>
</file>

<file path=docProps/core.xml><?xml version="1.0" encoding="utf-8"?>
<cp:coreProperties xmlns:cp="http://schemas.openxmlformats.org/package/2006/metadata/core-properties" xmlns:dc="http://purl.org/dc/elements/1.1/" xmlns:dcterms="http://purl.org/dc/terms/" xmlns:xsi="http://www.w3.org/2001/XMLSchema-instance">
  <dc:title>PRO DEBOUCHAGE GUIDE DE LA FACTURE</dc:title>
  <dc:creator>PRO DEBOUCHAGE</dc:creator>
  <cp:lastModifiedBy>PRO DEBOUCHAGE</cp:lastModifiedBy>
  <dcterms:created xsi:type="dcterms:W3CDTF">2026-08-30T00:00:00Z</dcterms:created>
  <dcterms:modified xsi:type="dcterms:W3CDTF">2026-08-30T00:00:00Z</dcterms:modified>
</cp:coreProperties>
</file>