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X9d7386e1e1672cd4adbf4c7f871a0838505d772"/>
    <w:p>
      <w:pPr>
        <w:pStyle w:val="Heading1"/>
      </w:pPr>
      <w:r>
        <w:t xml:space="preserve">AIMEDIArt — Valorisation indicative &amp; pacte d’associés (brouillon)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Objet</w:t>
            </w:r>
          </w:p>
        </w:tc>
        <w:tc>
          <w:tcPr/>
          <w:p>
            <w:pPr>
              <w:pStyle w:val="Compact"/>
            </w:pPr>
            <w:r>
              <w:t xml:space="preserve">(1) Valorisation « réelle » de la plateforme AIMEDIArt · (2) Cadre de pacte d’associés avec apport d’un</w:t>
            </w:r>
            <w:r>
              <w:t xml:space="preserve"> </w:t>
            </w:r>
            <w:r>
              <w:rPr>
                <w:b/>
                <w:bCs/>
              </w:rPr>
              <w:t xml:space="preserve">droit de licence exclusif</w:t>
            </w:r>
            <w:r>
              <w:t xml:space="preserve"> </w:t>
            </w:r>
            <w:r>
              <w:t xml:space="preserve">valorisé à</w:t>
            </w:r>
            <w:r>
              <w:t xml:space="preserve"> </w:t>
            </w:r>
            <w:r>
              <w:rPr>
                <w:b/>
                <w:bCs/>
              </w:rPr>
              <w:t xml:space="preserve">5 000 €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25 juillet 2026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Statut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Brouillon de travail</w:t>
            </w:r>
            <w:r>
              <w:t xml:space="preserve"> </w:t>
            </w:r>
            <w:r>
              <w:t xml:space="preserve">— à faire reprendre / adapter par avocat et expert-comptable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Avertissement</w:t>
            </w:r>
          </w:p>
        </w:tc>
        <w:tc>
          <w:tcPr/>
          <w:p>
            <w:pPr>
              <w:pStyle w:val="Compact"/>
            </w:pPr>
            <w:r>
              <w:t xml:space="preserve">Ce document n’est</w:t>
            </w:r>
            <w:r>
              <w:t xml:space="preserve"> </w:t>
            </w:r>
            <w:r>
              <w:rPr>
                <w:b/>
                <w:bCs/>
              </w:rPr>
              <w:t xml:space="preserve">pas</w:t>
            </w:r>
            <w:r>
              <w:t xml:space="preserve"> </w:t>
            </w:r>
            <w:r>
              <w:t xml:space="preserve">un rapport de commissaire aux apports</w:t>
            </w:r>
            <w:r>
              <w:rPr>
                <w:rStyle w:val="FootnoteReference"/>
              </w:rPr>
              <w:footnoteReference w:id="9"/>
            </w:r>
            <w:r>
              <w:t xml:space="preserve">, ni un acte juridique signé. Il ne constitue pas un conseil juridique ou fiscal personnalisé.</w:t>
            </w:r>
          </w:p>
        </w:tc>
      </w:tr>
    </w:tbl>
    <w:p>
      <w:pPr>
        <w:pStyle w:val="BodyText"/>
      </w:pPr>
      <w:r>
        <w:rPr>
          <w:b/>
          <w:bCs/>
        </w:rPr>
        <w:t xml:space="preserve">Personnes / rôles (à compléter) 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80"/>
        <w:gridCol w:w="1800"/>
        <w:gridCol w:w="50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Rôle</w:t>
            </w:r>
          </w:p>
        </w:tc>
        <w:tc>
          <w:tcPr/>
          <w:p>
            <w:pPr>
              <w:pStyle w:val="Compact"/>
            </w:pPr>
            <w:r>
              <w:t xml:space="preserve">Identité</w:t>
            </w:r>
          </w:p>
        </w:tc>
        <w:tc>
          <w:tcPr/>
          <w:p>
            <w:pPr>
              <w:pStyle w:val="Compact"/>
            </w:pPr>
            <w:r>
              <w:t xml:space="preserve">Apport envisagé au capital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Associé A</w:t>
            </w:r>
            <w:r>
              <w:t xml:space="preserve"> </w:t>
            </w:r>
            <w:r>
              <w:t xml:space="preserve">(Porteur / titulaire de la PI</w:t>
            </w:r>
            <w:r>
              <w:rPr>
                <w:rStyle w:val="FootnoteReference"/>
              </w:rPr>
              <w:footnoteReference w:id="10"/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DUPONT Fabien (à confirmer)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5 100 €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rPr>
                <w:b/>
                <w:bCs/>
              </w:rPr>
              <w:t xml:space="preserve">5 000 €</w:t>
            </w:r>
            <w:r>
              <w:t xml:space="preserve"> </w:t>
            </w:r>
            <w:r>
              <w:t xml:space="preserve">droit de licence exclusif +</w:t>
            </w:r>
            <w:r>
              <w:t xml:space="preserve"> </w:t>
            </w:r>
            <w:r>
              <w:rPr>
                <w:b/>
                <w:bCs/>
              </w:rPr>
              <w:t xml:space="preserve">100 €</w:t>
            </w:r>
            <w:r>
              <w:t xml:space="preserve"> </w:t>
            </w:r>
            <w:r>
              <w:t xml:space="preserve">en numéraire</w:t>
            </w:r>
            <w:r>
              <w:rPr>
                <w:rStyle w:val="FootnoteReference"/>
              </w:rPr>
              <w:footnoteReference w:id="11"/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b/>
                <w:bCs/>
              </w:rPr>
              <w:t xml:space="preserve">51 %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Associés B &amp; C</w:t>
            </w:r>
          </w:p>
        </w:tc>
        <w:tc>
          <w:tcPr/>
          <w:p>
            <w:pPr>
              <w:pStyle w:val="Compact"/>
            </w:pPr>
            <w:r>
              <w:t xml:space="preserve">(à nommer)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4 900 €</w:t>
            </w:r>
            <w:r>
              <w:t xml:space="preserve"> </w:t>
            </w:r>
            <w:r>
              <w:t xml:space="preserve">en numéraire au total →</w:t>
            </w:r>
            <w:r>
              <w:t xml:space="preserve"> </w:t>
            </w:r>
            <w:r>
              <w:rPr>
                <w:b/>
                <w:bCs/>
              </w:rPr>
              <w:t xml:space="preserve">49 %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Société</w:t>
            </w:r>
          </w:p>
        </w:tc>
        <w:tc>
          <w:tcPr/>
          <w:p>
            <w:pPr>
              <w:pStyle w:val="Compact"/>
            </w:pPr>
            <w:r>
              <w:t xml:space="preserve">(dénomination, forme SAS</w:t>
            </w:r>
            <w:r>
              <w:rPr>
                <w:rStyle w:val="FootnoteReference"/>
              </w:rPr>
              <w:footnoteReference w:id="12"/>
            </w:r>
            <w:r>
              <w:t xml:space="preserve">/SARL</w:t>
            </w:r>
            <w:r>
              <w:rPr>
                <w:rStyle w:val="FootnoteReference"/>
              </w:rPr>
              <w:footnoteReference w:id="13"/>
            </w:r>
            <w:r>
              <w:t xml:space="preserve">, siège)</w:t>
            </w:r>
          </w:p>
        </w:tc>
        <w:tc>
          <w:tcPr/>
          <w:p>
            <w:pPr>
              <w:pStyle w:val="Compact"/>
            </w:pPr>
            <w:r>
              <w:t xml:space="preserve">Capital social cible</w:t>
            </w:r>
            <w:r>
              <w:t xml:space="preserve"> </w:t>
            </w:r>
            <w:r>
              <w:rPr>
                <w:b/>
                <w:bCs/>
              </w:rPr>
              <w:t xml:space="preserve">10 000 €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43" w:name="Xa6e8684f39daeee4dafdc9ac07ddf7fe4db9772"/>
    <w:p>
      <w:pPr>
        <w:pStyle w:val="Heading1"/>
      </w:pPr>
      <w:r>
        <w:t xml:space="preserve">Partie 1 — Valorisation « réelle » de AIMEDIArt</w:t>
      </w:r>
    </w:p>
    <w:bookmarkStart w:id="30" w:name="périmètre-de-lactif-évalué"/>
    <w:p>
      <w:pPr>
        <w:pStyle w:val="Heading2"/>
      </w:pPr>
      <w:r>
        <w:t xml:space="preserve">1.1 Périmètre de l’actif évalué</w:t>
      </w:r>
    </w:p>
    <w:p>
      <w:pPr>
        <w:pStyle w:val="FirstParagraph"/>
      </w:pPr>
      <w:r>
        <w:t xml:space="preserve">L’évaluation porte sur la</w:t>
      </w:r>
      <w:r>
        <w:t xml:space="preserve"> </w:t>
      </w:r>
      <w:r>
        <w:rPr>
          <w:b/>
          <w:bCs/>
        </w:rPr>
        <w:t xml:space="preserve">plateforme logicielle AIMEDIArt</w:t>
      </w:r>
      <w:r>
        <w:t xml:space="preserve"> </w:t>
      </w:r>
      <w:r>
        <w:t xml:space="preserve">(application web</w:t>
      </w:r>
      <w:r>
        <w:rPr>
          <w:rStyle w:val="FootnoteReference"/>
        </w:rPr>
        <w:footnoteReference w:id="15"/>
      </w:r>
      <w:r>
        <w:t xml:space="preserve"> </w:t>
      </w:r>
      <w:r>
        <w:t xml:space="preserve">en mode SaaS</w:t>
      </w:r>
      <w:r>
        <w:rPr>
          <w:rStyle w:val="FootnoteReference"/>
        </w:rPr>
        <w:footnoteReference w:id="16"/>
      </w:r>
      <w:r>
        <w:t xml:space="preserve"> </w:t>
      </w:r>
      <w:r>
        <w:t xml:space="preserve">de médiation culturelle assistée par IA</w:t>
      </w:r>
      <w:r>
        <w:rPr>
          <w:rStyle w:val="FootnoteReference"/>
        </w:rPr>
        <w:footnoteReference w:id="17"/>
      </w:r>
      <w:r>
        <w:t xml:space="preserve">), telle qu’existante à la date du présent document, et notamment :</w:t>
      </w:r>
    </w:p>
    <w:p>
      <w:pPr>
        <w:pStyle w:val="Compact"/>
        <w:numPr>
          <w:ilvl w:val="0"/>
          <w:numId w:val="1001"/>
        </w:numPr>
      </w:pPr>
      <w:r>
        <w:t xml:space="preserve">code source et architecture (partie cliente / interface</w:t>
      </w:r>
      <w:r>
        <w:rPr>
          <w:rStyle w:val="FootnoteReference"/>
        </w:rPr>
        <w:footnoteReference w:id="18"/>
      </w:r>
      <w:r>
        <w:t xml:space="preserve">, partie serveur</w:t>
      </w:r>
      <w:r>
        <w:rPr>
          <w:rStyle w:val="FootnoteReference"/>
        </w:rPr>
        <w:footnoteReference w:id="19"/>
      </w:r>
      <w:r>
        <w:t xml:space="preserve">, base de données, fonctions serveur) ;</w:t>
      </w:r>
    </w:p>
    <w:p>
      <w:pPr>
        <w:pStyle w:val="Compact"/>
        <w:numPr>
          <w:ilvl w:val="0"/>
          <w:numId w:val="1001"/>
        </w:numPr>
      </w:pPr>
      <w:r>
        <w:t xml:space="preserve">parcours métier (institutions / expositions / œuvres / visiteurs) ;</w:t>
      </w:r>
    </w:p>
    <w:p>
      <w:pPr>
        <w:pStyle w:val="Compact"/>
        <w:numPr>
          <w:ilvl w:val="0"/>
          <w:numId w:val="1001"/>
        </w:numPr>
      </w:pPr>
      <w:r>
        <w:t xml:space="preserve">fonctionnalités associées (internationalisation</w:t>
      </w:r>
      <w:r>
        <w:rPr>
          <w:rStyle w:val="FootnoteReference"/>
        </w:rPr>
        <w:footnoteReference w:id="20"/>
      </w:r>
      <w:r>
        <w:t xml:space="preserve">, audio / synthèse vocale</w:t>
      </w:r>
      <w:r>
        <w:rPr>
          <w:rStyle w:val="FootnoteReference"/>
        </w:rPr>
        <w:footnoteReference w:id="21"/>
      </w:r>
      <w:r>
        <w:t xml:space="preserve">, codes QR</w:t>
      </w:r>
      <w:r>
        <w:rPr>
          <w:rStyle w:val="FootnoteReference"/>
        </w:rPr>
        <w:footnoteReference w:id="22"/>
      </w:r>
      <w:r>
        <w:t xml:space="preserve">, statistiques, GED</w:t>
      </w:r>
      <w:r>
        <w:rPr>
          <w:rStyle w:val="FootnoteReference"/>
        </w:rPr>
        <w:footnoteReference w:id="23"/>
      </w:r>
      <w:r>
        <w:t xml:space="preserve">, authentification</w:t>
      </w:r>
      <w:r>
        <w:rPr>
          <w:rStyle w:val="FootnoteReference"/>
        </w:rPr>
        <w:footnoteReference w:id="24"/>
      </w:r>
      <w:r>
        <w:t xml:space="preserve">, etc.) ;</w:t>
      </w:r>
    </w:p>
    <w:p>
      <w:pPr>
        <w:pStyle w:val="Compact"/>
        <w:numPr>
          <w:ilvl w:val="0"/>
          <w:numId w:val="1001"/>
        </w:numPr>
      </w:pPr>
      <w:r>
        <w:t xml:space="preserve">éléments d’identité et documentation liés au produit ;</w:t>
      </w:r>
    </w:p>
    <w:p>
      <w:pPr>
        <w:pStyle w:val="Compact"/>
        <w:numPr>
          <w:ilvl w:val="0"/>
          <w:numId w:val="1001"/>
        </w:numPr>
      </w:pPr>
      <w:r>
        <w:t xml:space="preserve">preuve d’antériorité éventuelle (ex. dépôt e-Soleau</w:t>
      </w:r>
      <w:r>
        <w:rPr>
          <w:rStyle w:val="FootnoteReference"/>
        </w:rPr>
        <w:footnoteReference w:id="25"/>
      </w:r>
      <w:r>
        <w:t xml:space="preserve">),</w:t>
      </w:r>
      <w:r>
        <w:t xml:space="preserve"> </w:t>
      </w:r>
      <w:r>
        <w:rPr>
          <w:b/>
          <w:bCs/>
        </w:rPr>
        <w:t xml:space="preserve">sans</w:t>
      </w:r>
      <w:r>
        <w:t xml:space="preserve"> </w:t>
      </w:r>
      <w:r>
        <w:t xml:space="preserve">assimilation à un titre de propriété industrielle.</w:t>
      </w:r>
    </w:p>
    <w:p>
      <w:pPr>
        <w:pStyle w:val="FirstParagraph"/>
      </w:pPr>
      <w:r>
        <w:rPr>
          <w:b/>
          <w:bCs/>
        </w:rPr>
        <w:t xml:space="preserve">Hors périmètre de cette valorisation « réelle » :</w:t>
      </w:r>
    </w:p>
    <w:p>
      <w:pPr>
        <w:pStyle w:val="Compact"/>
        <w:numPr>
          <w:ilvl w:val="0"/>
          <w:numId w:val="1002"/>
        </w:numPr>
      </w:pPr>
      <w:r>
        <w:t xml:space="preserve">prévisions de chiffre d’affaires (plan d’affaires</w:t>
      </w:r>
      <w:r>
        <w:rPr>
          <w:rStyle w:val="FootnoteReference"/>
        </w:rPr>
        <w:footnoteReference w:id="26"/>
      </w:r>
      <w:r>
        <w:t xml:space="preserve">) ;</w:t>
      </w:r>
    </w:p>
    <w:p>
      <w:pPr>
        <w:pStyle w:val="Compact"/>
        <w:numPr>
          <w:ilvl w:val="0"/>
          <w:numId w:val="1002"/>
        </w:numPr>
      </w:pPr>
      <w:r>
        <w:t xml:space="preserve">multiples de revenu récurrent mensuel</w:t>
      </w:r>
      <w:r>
        <w:rPr>
          <w:rStyle w:val="FootnoteReference"/>
        </w:rPr>
        <w:footnoteReference w:id="27"/>
      </w:r>
      <w:r>
        <w:t xml:space="preserve"> </w:t>
      </w:r>
      <w:r>
        <w:t xml:space="preserve">/ annuel</w:t>
      </w:r>
      <w:r>
        <w:rPr>
          <w:rStyle w:val="FootnoteReference"/>
        </w:rPr>
        <w:footnoteReference w:id="28"/>
      </w:r>
      <w:r>
        <w:t xml:space="preserve"> </w:t>
      </w:r>
      <w:r>
        <w:t xml:space="preserve">(pas de vie publique significative à ce stade) ;</w:t>
      </w:r>
    </w:p>
    <w:p>
      <w:pPr>
        <w:pStyle w:val="Compact"/>
        <w:numPr>
          <w:ilvl w:val="0"/>
          <w:numId w:val="1002"/>
        </w:numPr>
      </w:pPr>
      <w:r>
        <w:t xml:space="preserve">survaleur commerciale</w:t>
      </w:r>
      <w:r>
        <w:rPr>
          <w:rStyle w:val="FootnoteReference"/>
        </w:rPr>
        <w:footnoteReference w:id="29"/>
      </w:r>
      <w:r>
        <w:t xml:space="preserve">, portefeuille clients, contrats signés (non constitués ou non significatifs).</w:t>
      </w:r>
    </w:p>
    <w:bookmarkEnd w:id="30"/>
    <w:bookmarkStart w:id="32" w:name="contexte-factuel-retenu"/>
    <w:p>
      <w:pPr>
        <w:pStyle w:val="Heading2"/>
      </w:pPr>
      <w:r>
        <w:t xml:space="preserve">1.2 Contexte factuel retenu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Critère</w:t>
            </w:r>
          </w:p>
        </w:tc>
        <w:tc>
          <w:tcPr/>
          <w:p>
            <w:pPr>
              <w:pStyle w:val="Compact"/>
            </w:pPr>
            <w:r>
              <w:t xml:space="preserve">Constat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Maturité produit</w:t>
            </w:r>
          </w:p>
        </w:tc>
        <w:tc>
          <w:tcPr/>
          <w:p>
            <w:pPr>
              <w:pStyle w:val="Compact"/>
            </w:pPr>
            <w:r>
              <w:t xml:space="preserve">Estimée à environ</w:t>
            </w:r>
            <w:r>
              <w:t xml:space="preserve"> </w:t>
            </w:r>
            <w:r>
              <w:rPr>
                <w:b/>
                <w:bCs/>
              </w:rPr>
              <w:t xml:space="preserve">95 %</w:t>
            </w:r>
            <w:r>
              <w:t xml:space="preserve"> </w:t>
            </w:r>
            <w:r>
              <w:t xml:space="preserve">de fonctionnalité opérationnelle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Vie publique / commerciale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Absente ou non significative</w:t>
            </w:r>
            <w:r>
              <w:t xml:space="preserve"> </w:t>
            </w:r>
            <w:r>
              <w:t xml:space="preserve">au jour de l’évaluation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Historique de construction</w:t>
            </w:r>
          </w:p>
        </w:tc>
        <w:tc>
          <w:tcPr/>
          <w:p>
            <w:pPr>
              <w:pStyle w:val="Compact"/>
            </w:pPr>
            <w:r>
              <w:t xml:space="preserve">Environ</w:t>
            </w:r>
            <w:r>
              <w:t xml:space="preserve"> </w:t>
            </w:r>
            <w:r>
              <w:rPr>
                <w:b/>
                <w:bCs/>
              </w:rPr>
              <w:t xml:space="preserve">5 mois</w:t>
            </w:r>
            <w:r>
              <w:t xml:space="preserve">, idée initiale → produit, par un porteur</w:t>
            </w:r>
            <w:r>
              <w:t xml:space="preserve"> </w:t>
            </w:r>
            <w:r>
              <w:rPr>
                <w:b/>
                <w:bCs/>
              </w:rPr>
              <w:t xml:space="preserve">non développeur</w:t>
            </w:r>
            <w:r>
              <w:t xml:space="preserve">, avec assistance d’</w:t>
            </w:r>
            <w:r>
              <w:rPr>
                <w:b/>
                <w:bCs/>
              </w:rPr>
              <w:t xml:space="preserve">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Lecture de ce délai</w:t>
            </w:r>
          </w:p>
        </w:tc>
        <w:tc>
          <w:tcPr/>
          <w:p>
            <w:pPr>
              <w:pStyle w:val="Compact"/>
            </w:pPr>
            <w:r>
              <w:t xml:space="preserve">Le calendrier du porteur</w:t>
            </w:r>
            <w:r>
              <w:t xml:space="preserve"> </w:t>
            </w:r>
            <w:r>
              <w:rPr>
                <w:b/>
                <w:bCs/>
              </w:rPr>
              <w:t xml:space="preserve">n’est pas</w:t>
            </w:r>
            <w:r>
              <w:t xml:space="preserve"> </w:t>
            </w:r>
            <w:r>
              <w:t xml:space="preserve">la base de valorisation : un développeur professionnel aurait un rythme différent ; on valorise le</w:t>
            </w:r>
            <w:r>
              <w:t xml:space="preserve"> </w:t>
            </w:r>
            <w:r>
              <w:rPr>
                <w:b/>
                <w:bCs/>
              </w:rPr>
              <w:t xml:space="preserve">coût de reconstitution</w:t>
            </w:r>
            <w:r>
              <w:rPr>
                <w:rStyle w:val="FootnoteReference"/>
              </w:rPr>
              <w:footnoteReference w:id="31"/>
            </w:r>
            <w:r>
              <w:t xml:space="preserve"> </w:t>
            </w:r>
            <w:r>
              <w:rPr>
                <w:b/>
                <w:bCs/>
              </w:rPr>
              <w:t xml:space="preserve">de marché</w:t>
            </w:r>
            <w:r>
              <w:t xml:space="preserve"> </w:t>
            </w:r>
            <w:r>
              <w:t xml:space="preserve">de l’actif abouti, pas les heures personnelles</w:t>
            </w:r>
          </w:p>
        </w:tc>
      </w:tr>
    </w:tbl>
    <w:bookmarkEnd w:id="32"/>
    <w:bookmarkStart w:id="37" w:name="X02e2e95919d1937dd3aca2beeab35a02cbe99ca"/>
    <w:p>
      <w:pPr>
        <w:pStyle w:val="Heading2"/>
      </w:pPr>
      <w:r>
        <w:t xml:space="preserve">1.3 Méthode : coût de reconstitution uniquement</w:t>
      </w:r>
    </w:p>
    <w:p>
      <w:pPr>
        <w:pStyle w:val="FirstParagraph"/>
      </w:pPr>
      <w:r>
        <w:rPr>
          <w:b/>
          <w:bCs/>
        </w:rPr>
        <w:t xml:space="preserve">Principe :</w:t>
      </w:r>
      <w:r>
        <w:t xml:space="preserve"> </w:t>
      </w:r>
      <w:r>
        <w:t xml:space="preserve">combien coûterait, aujourd’hui, à un professionnel (indépendant expérimenté</w:t>
      </w:r>
      <w:r>
        <w:rPr>
          <w:rStyle w:val="FootnoteReference"/>
        </w:rPr>
        <w:footnoteReference w:id="33"/>
      </w:r>
      <w:r>
        <w:t xml:space="preserve"> </w:t>
      </w:r>
      <w:r>
        <w:t xml:space="preserve">ou agence) de</w:t>
      </w:r>
      <w:r>
        <w:t xml:space="preserve"> </w:t>
      </w:r>
      <w:r>
        <w:rPr>
          <w:b/>
          <w:bCs/>
        </w:rPr>
        <w:t xml:space="preserve">reconstruire un actif comparable</w:t>
      </w:r>
      <w:r>
        <w:t xml:space="preserve"> </w:t>
      </w:r>
      <w:r>
        <w:t xml:space="preserve">à environ 95 % de complétude.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2376"/>
        <w:gridCol w:w="2772"/>
        <w:gridCol w:w="145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Approche</w:t>
            </w:r>
          </w:p>
        </w:tc>
        <w:tc>
          <w:tcPr/>
          <w:p>
            <w:pPr>
              <w:pStyle w:val="Compact"/>
            </w:pPr>
            <w:r>
              <w:t xml:space="preserve">Effort indicatif</w:t>
            </w:r>
          </w:p>
        </w:tc>
        <w:tc>
          <w:tcPr/>
          <w:p>
            <w:pPr>
              <w:pStyle w:val="Compact"/>
            </w:pPr>
            <w:r>
              <w:t xml:space="preserve">TJM</w:t>
            </w:r>
            <w:r>
              <w:rPr>
                <w:rStyle w:val="FootnoteReference"/>
              </w:rPr>
              <w:footnoteReference w:id="34"/>
            </w:r>
            <w:r>
              <w:t xml:space="preserve"> </w:t>
            </w:r>
            <w:r>
              <w:t xml:space="preserve">indicatif</w:t>
            </w:r>
          </w:p>
        </w:tc>
        <w:tc>
          <w:tcPr/>
          <w:p>
            <w:pPr>
              <w:pStyle w:val="Compact"/>
            </w:pPr>
            <w:r>
              <w:t xml:space="preserve">Coût brut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Développeur seul expérimenté</w:t>
            </w:r>
          </w:p>
        </w:tc>
        <w:tc>
          <w:tcPr/>
          <w:p>
            <w:pPr>
              <w:pStyle w:val="Compact"/>
            </w:pPr>
            <w:r>
              <w:t xml:space="preserve">~200 – 350 jours</w:t>
            </w:r>
          </w:p>
        </w:tc>
        <w:tc>
          <w:tcPr/>
          <w:p>
            <w:pPr>
              <w:pStyle w:val="Compact"/>
            </w:pPr>
            <w:r>
              <w:t xml:space="preserve">450 – 500 €</w:t>
            </w:r>
          </w:p>
        </w:tc>
        <w:tc>
          <w:tcPr/>
          <w:p>
            <w:pPr>
              <w:pStyle w:val="Compact"/>
            </w:pPr>
            <w:r>
              <w:t xml:space="preserve">~90 – 175 k€</w:t>
            </w:r>
            <w:r>
              <w:rPr>
                <w:rStyle w:val="FootnoteReference"/>
              </w:rPr>
              <w:footnoteReference w:id="35"/>
            </w:r>
          </w:p>
        </w:tc>
      </w:tr>
      <w:tr>
        <w:tc>
          <w:tcPr/>
          <w:p>
            <w:pPr>
              <w:pStyle w:val="Compact"/>
            </w:pPr>
            <w:r>
              <w:t xml:space="preserve">Reconstitution type agence</w:t>
            </w:r>
          </w:p>
        </w:tc>
        <w:tc>
          <w:tcPr/>
          <w:p>
            <w:pPr>
              <w:pStyle w:val="Compact"/>
            </w:pPr>
            <w:r>
              <w:t xml:space="preserve">~500 – 800 jours</w:t>
            </w:r>
          </w:p>
        </w:tc>
        <w:tc>
          <w:tcPr/>
          <w:p>
            <w:pPr>
              <w:pStyle w:val="Compact"/>
            </w:pPr>
            <w:r>
              <w:t xml:space="preserve">450 – 500 €</w:t>
            </w:r>
          </w:p>
        </w:tc>
        <w:tc>
          <w:tcPr/>
          <w:p>
            <w:pPr>
              <w:pStyle w:val="Compact"/>
            </w:pPr>
            <w:r>
              <w:t xml:space="preserve">~225 – 400 k€</w:t>
            </w:r>
          </w:p>
        </w:tc>
      </w:tr>
    </w:tbl>
    <w:p>
      <w:pPr>
        <w:pStyle w:val="BodyText"/>
      </w:pPr>
      <w:r>
        <w:rPr>
          <w:b/>
          <w:bCs/>
        </w:rPr>
        <w:t xml:space="preserve">Décotes appliquées pour l’apport / la discussion entre associés :</w:t>
      </w:r>
    </w:p>
    <w:p>
      <w:pPr>
        <w:pStyle w:val="Compact"/>
        <w:numPr>
          <w:ilvl w:val="0"/>
          <w:numId w:val="1003"/>
        </w:numPr>
      </w:pPr>
      <w:r>
        <w:t xml:space="preserve">~5 % restant à finaliser ;</w:t>
      </w:r>
    </w:p>
    <w:p>
      <w:pPr>
        <w:pStyle w:val="Compact"/>
        <w:numPr>
          <w:ilvl w:val="0"/>
          <w:numId w:val="1003"/>
        </w:numPr>
      </w:pPr>
      <w:r>
        <w:t xml:space="preserve">absence de traction commerciale</w:t>
      </w:r>
      <w:r>
        <w:rPr>
          <w:rStyle w:val="FootnoteReference"/>
        </w:rPr>
        <w:footnoteReference w:id="36"/>
      </w:r>
      <w:r>
        <w:t xml:space="preserve"> </w:t>
      </w:r>
      <w:r>
        <w:t xml:space="preserve">(pas de prime de croissance) ;</w:t>
      </w:r>
    </w:p>
    <w:p>
      <w:pPr>
        <w:pStyle w:val="Compact"/>
        <w:numPr>
          <w:ilvl w:val="0"/>
          <w:numId w:val="1003"/>
        </w:numPr>
      </w:pPr>
      <w:r>
        <w:t xml:space="preserve">dépendance au savoir du porteur ;</w:t>
      </w:r>
    </w:p>
    <w:p>
      <w:pPr>
        <w:pStyle w:val="Compact"/>
        <w:numPr>
          <w:ilvl w:val="0"/>
          <w:numId w:val="1003"/>
        </w:numPr>
      </w:pPr>
      <w:r>
        <w:t xml:space="preserve">éventuelle accélération possible d’une reconstruction « aujourd’hui » avec outils d’IA (−10 à −20 % sur le coût brut agence).</w:t>
      </w:r>
    </w:p>
    <w:bookmarkEnd w:id="37"/>
    <w:bookmarkStart w:id="39" w:name="fourchette-de-valorisation-indicative"/>
    <w:p>
      <w:pPr>
        <w:pStyle w:val="Heading2"/>
      </w:pPr>
      <w:r>
        <w:t xml:space="preserve">1.4 Fourchette de valorisation indicative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40"/>
        <w:gridCol w:w="4067"/>
        <w:gridCol w:w="171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Scénario</w:t>
            </w:r>
          </w:p>
        </w:tc>
        <w:tc>
          <w:tcPr/>
          <w:p>
            <w:pPr>
              <w:pStyle w:val="Compact"/>
            </w:pPr>
            <w:r>
              <w:t xml:space="preserve">Valeur indicative</w:t>
            </w:r>
          </w:p>
        </w:tc>
        <w:tc>
          <w:tcPr/>
          <w:p>
            <w:pPr>
              <w:pStyle w:val="Compact"/>
            </w:pPr>
            <w:r>
              <w:t xml:space="preserve">Usage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Conservateur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120 – 160 k€</w:t>
            </w:r>
          </w:p>
        </w:tc>
        <w:tc>
          <w:tcPr/>
          <w:p>
            <w:pPr>
              <w:pStyle w:val="Compact"/>
            </w:pPr>
            <w:r>
              <w:t xml:space="preserve">Discussion prudente / marge de sécurité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Central (retenu)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180 – 200 k€</w:t>
            </w:r>
          </w:p>
        </w:tc>
        <w:tc>
          <w:tcPr/>
          <w:p>
            <w:pPr>
              <w:pStyle w:val="Compact"/>
            </w:pPr>
            <w:r>
              <w:t xml:space="preserve">Ancrage de discussion entre associés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Haut encore défendable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250 – 300 k€</w:t>
            </w:r>
          </w:p>
        </w:tc>
        <w:tc>
          <w:tcPr/>
          <w:p>
            <w:pPr>
              <w:pStyle w:val="Compact"/>
            </w:pPr>
            <w:r>
              <w:t xml:space="preserve">Si reconstitution riche, décote légère</w:t>
            </w:r>
          </w:p>
        </w:tc>
      </w:tr>
    </w:tbl>
    <w:p>
      <w:pPr>
        <w:pStyle w:val="BodyText"/>
      </w:pPr>
      <w:r>
        <w:rPr>
          <w:b/>
          <w:bCs/>
        </w:rPr>
        <w:t xml:space="preserve">Valeur de référence retenue pour ce dossier :</w:t>
      </w:r>
      <w:r>
        <w:t xml:space="preserve"> </w:t>
      </w:r>
      <w:r>
        <w:rPr>
          <w:b/>
          <w:bCs/>
        </w:rPr>
        <w:t xml:space="preserve">190 000 €</w:t>
      </w:r>
      <w:r>
        <w:t xml:space="preserve"> </w:t>
      </w:r>
      <w:r>
        <w:t xml:space="preserve">(milieu de fourchette centrale), arrondie pour la clarté des échanges à</w:t>
      </w:r>
      <w:r>
        <w:t xml:space="preserve"> </w:t>
      </w:r>
      <w:r>
        <w:rPr>
          <w:b/>
          <w:bCs/>
        </w:rPr>
        <w:t xml:space="preserve">environ 180 000 – 200 000 €</w:t>
      </w:r>
      <w:r>
        <w:t xml:space="preserve">.</w:t>
      </w:r>
    </w:p>
    <w:bookmarkStart w:id="38" w:name="point-dancrage-proposé"/>
    <w:p>
      <w:pPr>
        <w:pStyle w:val="Heading3"/>
      </w:pPr>
      <w:r>
        <w:t xml:space="preserve">Point d’ancrage proposé</w:t>
      </w:r>
    </w:p>
    <w:p>
      <w:pPr>
        <w:pStyle w:val="BlockText"/>
      </w:pPr>
      <w:r>
        <w:rPr>
          <w:b/>
          <w:bCs/>
        </w:rPr>
        <w:t xml:space="preserve">Valorisation économique indicative d’AIMEDIArt (actif logiciel ~95 %, sans vie publique) : 190 000 €</w:t>
      </w:r>
      <w:r>
        <w:t xml:space="preserve">, déterminée par coût de reconstitution,</w:t>
      </w:r>
      <w:r>
        <w:t xml:space="preserve"> </w:t>
      </w:r>
      <w:r>
        <w:rPr>
          <w:b/>
          <w:bCs/>
        </w:rPr>
        <w:t xml:space="preserve">sans</w:t>
      </w:r>
      <w:r>
        <w:t xml:space="preserve"> </w:t>
      </w:r>
      <w:r>
        <w:t xml:space="preserve">prise en compte du plan d’affaires prévisionnel.</w:t>
      </w:r>
    </w:p>
    <w:bookmarkEnd w:id="38"/>
    <w:bookmarkEnd w:id="39"/>
    <w:bookmarkStart w:id="40" w:name="X7725560f29b2388fe0033031bae332df3126ffd"/>
    <w:p>
      <w:pPr>
        <w:pStyle w:val="Heading2"/>
      </w:pPr>
      <w:r>
        <w:t xml:space="preserve">1.5 Écart avec la valeur d’apport au capital (5 000 €)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40"/>
        <w:gridCol w:w="64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Montant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Valorisation économique indicative</w:t>
            </w:r>
          </w:p>
        </w:tc>
        <w:tc>
          <w:tcPr/>
          <w:p>
            <w:pPr>
              <w:pStyle w:val="Compact"/>
            </w:pPr>
            <w:r>
              <w:t xml:space="preserve">~</w:t>
            </w:r>
            <w:r>
              <w:rPr>
                <w:b/>
                <w:bCs/>
              </w:rPr>
              <w:t xml:space="preserve">190 000 €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Valeur comptable / capital de l’apport « droit de licence »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5 000 €</w:t>
            </w:r>
          </w:p>
        </w:tc>
      </w:tr>
      <w:tr>
        <w:tc>
          <w:tcPr/>
          <w:p>
            <w:pPr>
              <w:pStyle w:val="Compact"/>
            </w:pPr>
            <w:r>
              <w:t xml:space="preserve">Écart</w:t>
            </w:r>
          </w:p>
        </w:tc>
        <w:tc>
          <w:tcPr/>
          <w:p>
            <w:pPr>
              <w:pStyle w:val="Compact"/>
            </w:pPr>
            <w:r>
              <w:t xml:space="preserve">~</w:t>
            </w:r>
            <w:r>
              <w:rPr>
                <w:b/>
                <w:bCs/>
              </w:rPr>
              <w:t xml:space="preserve">185 000 €</w:t>
            </w:r>
          </w:p>
        </w:tc>
      </w:tr>
    </w:tbl>
    <w:p>
      <w:pPr>
        <w:pStyle w:val="BodyText"/>
      </w:pPr>
      <w:r>
        <w:rPr>
          <w:b/>
          <w:bCs/>
        </w:rPr>
        <w:t xml:space="preserve">Lecture :</w:t>
      </w:r>
      <w:r>
        <w:t xml:space="preserve"> </w:t>
      </w:r>
      <w:r>
        <w:t xml:space="preserve">l’inscription à 5 000 € au capital est un</w:t>
      </w:r>
      <w:r>
        <w:t xml:space="preserve"> </w:t>
      </w:r>
      <w:r>
        <w:rPr>
          <w:b/>
          <w:bCs/>
        </w:rPr>
        <w:t xml:space="preserve">choix de sous-évaluation volontaire</w:t>
      </w:r>
      <w:r>
        <w:t xml:space="preserve"> </w:t>
      </w:r>
      <w:r>
        <w:t xml:space="preserve">par rapport à la valeur économique indicative. Avec deux autres associés, cet écart constitue, au sens économique, un</w:t>
      </w:r>
      <w:r>
        <w:t xml:space="preserve"> </w:t>
      </w:r>
      <w:r>
        <w:rPr>
          <w:b/>
          <w:bCs/>
        </w:rPr>
        <w:t xml:space="preserve">avantage</w:t>
      </w:r>
      <w:r>
        <w:t xml:space="preserve"> </w:t>
      </w:r>
      <w:r>
        <w:t xml:space="preserve">pour la société et, indirectement, pour les associés B et C (49 %), sauf mécanismes de rattrapage prévus au pacte.</w:t>
      </w:r>
    </w:p>
    <w:p>
      <w:pPr>
        <w:pStyle w:val="BodyText"/>
      </w:pPr>
      <w:r>
        <w:t xml:space="preserve">Ce choix peut être</w:t>
      </w:r>
      <w:r>
        <w:t xml:space="preserve"> </w:t>
      </w:r>
      <w:r>
        <w:rPr>
          <w:b/>
          <w:bCs/>
        </w:rPr>
        <w:t xml:space="preserve">assumé</w:t>
      </w:r>
      <w:r>
        <w:t xml:space="preserve"> </w:t>
      </w:r>
      <w:r>
        <w:t xml:space="preserve">(simplicité, dispense éventuelle de commissaire aux apports, démarrage rapide), à condition d’être</w:t>
      </w:r>
      <w:r>
        <w:t xml:space="preserve"> </w:t>
      </w:r>
      <w:r>
        <w:rPr>
          <w:b/>
          <w:bCs/>
        </w:rPr>
        <w:t xml:space="preserve">explicite</w:t>
      </w:r>
      <w:r>
        <w:t xml:space="preserve"> </w:t>
      </w:r>
      <w:r>
        <w:t xml:space="preserve">dans le pacte et l’acte d’apport.</w:t>
      </w:r>
    </w:p>
    <w:bookmarkEnd w:id="40"/>
    <w:bookmarkStart w:id="42" w:name="commissaire-aux-apports-rappel-chiffré"/>
    <w:p>
      <w:pPr>
        <w:pStyle w:val="Heading2"/>
      </w:pPr>
      <w:r>
        <w:t xml:space="preserve">1.6 Commissaire aux apports (rappel chiffré)</w:t>
      </w:r>
    </w:p>
    <w:p>
      <w:pPr>
        <w:pStyle w:val="FirstParagraph"/>
      </w:pPr>
      <w:r>
        <w:t xml:space="preserve">Hypothèse de capital social</w:t>
      </w:r>
      <w:r>
        <w:t xml:space="preserve"> </w:t>
      </w:r>
      <w:r>
        <w:rPr>
          <w:b/>
          <w:bCs/>
        </w:rPr>
        <w:t xml:space="preserve">10 000 €</w:t>
      </w:r>
      <w:r>
        <w:t xml:space="preserve"> </w:t>
      </w:r>
      <w:r>
        <w:t xml:space="preserve">et apport en nature</w:t>
      </w:r>
      <w:r>
        <w:rPr>
          <w:rStyle w:val="FootnoteReference"/>
        </w:rPr>
        <w:footnoteReference w:id="41"/>
      </w:r>
      <w:r>
        <w:t xml:space="preserve"> </w:t>
      </w:r>
      <w:r>
        <w:t xml:space="preserve">(droit de licence)</w:t>
      </w:r>
      <w:r>
        <w:t xml:space="preserve"> </w:t>
      </w:r>
      <w:r>
        <w:rPr>
          <w:b/>
          <w:bCs/>
        </w:rPr>
        <w:t xml:space="preserve">5 000 €</w:t>
      </w:r>
      <w:r>
        <w:t xml:space="preserve"> 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276"/>
        <w:gridCol w:w="16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Condition de dispense (rappel indicatif)</w:t>
            </w:r>
          </w:p>
        </w:tc>
        <w:tc>
          <w:tcPr/>
          <w:p>
            <w:pPr>
              <w:pStyle w:val="Compact"/>
            </w:pPr>
            <w:r>
              <w:t xml:space="preserve">Situation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Chaque apport en nature ≤ 30 000 €</w:t>
            </w:r>
          </w:p>
        </w:tc>
        <w:tc>
          <w:tcPr/>
          <w:p>
            <w:pPr>
              <w:pStyle w:val="Compact"/>
            </w:pPr>
            <w:r>
              <w:t xml:space="preserve">5 000 € → 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 apports en nature ≤ moitié du capital</w:t>
            </w:r>
          </w:p>
        </w:tc>
        <w:tc>
          <w:tcPr/>
          <w:p>
            <w:pPr>
              <w:pStyle w:val="Compact"/>
            </w:pPr>
            <w:r>
              <w:t xml:space="preserve">5 000 € = 50 % de 10 000 € → en principe OK</w:t>
            </w:r>
          </w:p>
        </w:tc>
      </w:tr>
    </w:tbl>
    <w:p>
      <w:pPr>
        <w:pStyle w:val="BodyText"/>
      </w:pPr>
      <w:r>
        <w:t xml:space="preserve">→ Dispense</w:t>
      </w:r>
      <w:r>
        <w:t xml:space="preserve"> </w:t>
      </w:r>
      <w:r>
        <w:rPr>
          <w:b/>
          <w:bCs/>
        </w:rPr>
        <w:t xml:space="preserve">éventuellement</w:t>
      </w:r>
      <w:r>
        <w:t xml:space="preserve"> </w:t>
      </w:r>
      <w:r>
        <w:t xml:space="preserve">possible selon forme sociale (SAS/SARL) et formalités (souvent unanimité).</w:t>
      </w:r>
      <w:r>
        <w:t xml:space="preserve"> </w:t>
      </w:r>
      <w:r>
        <w:rPr>
          <w:b/>
          <w:bCs/>
        </w:rPr>
        <w:t xml:space="preserve">À confirmer</w:t>
      </w:r>
      <w:r>
        <w:t xml:space="preserve"> </w:t>
      </w:r>
      <w:r>
        <w:t xml:space="preserve">par le conseil.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83" w:name="partie-2-pacte-dassociés-brouillon"/>
    <w:p>
      <w:pPr>
        <w:pStyle w:val="Heading1"/>
      </w:pPr>
      <w:r>
        <w:t xml:space="preserve">Partie 2 — Pacte d’associés (brouillon)</w:t>
      </w:r>
    </w:p>
    <w:p>
      <w:pPr>
        <w:pStyle w:val="BlockText"/>
      </w:pPr>
      <w:r>
        <w:rPr>
          <w:b/>
          <w:bCs/>
        </w:rPr>
        <w:t xml:space="preserve">Objet du pacte :</w:t>
      </w:r>
      <w:r>
        <w:t xml:space="preserve"> </w:t>
      </w:r>
      <w:r>
        <w:t xml:space="preserve">organiser les relations entre Associé A, Associés B et C et la Société, autour notamment de l’apport d’un</w:t>
      </w:r>
      <w:r>
        <w:t xml:space="preserve"> </w:t>
      </w:r>
      <w:r>
        <w:rPr>
          <w:b/>
          <w:bCs/>
        </w:rPr>
        <w:t xml:space="preserve">droit de licence exclusif</w:t>
      </w:r>
      <w:r>
        <w:t xml:space="preserve"> </w:t>
      </w:r>
      <w:r>
        <w:t xml:space="preserve">AIMEDIArt valorisé</w:t>
      </w:r>
      <w:r>
        <w:t xml:space="preserve"> </w:t>
      </w:r>
      <w:r>
        <w:rPr>
          <w:b/>
          <w:bCs/>
        </w:rPr>
        <w:t xml:space="preserve">5 000 €</w:t>
      </w:r>
      <w:r>
        <w:t xml:space="preserve">, et des conséquences d’une</w:t>
      </w:r>
      <w:r>
        <w:t xml:space="preserve"> </w:t>
      </w:r>
      <w:r>
        <w:rPr>
          <w:b/>
          <w:bCs/>
        </w:rPr>
        <w:t xml:space="preserve">levée de fonds</w:t>
      </w:r>
      <w:r>
        <w:t xml:space="preserve">, d’une</w:t>
      </w:r>
      <w:r>
        <w:t xml:space="preserve"> </w:t>
      </w:r>
      <w:r>
        <w:rPr>
          <w:b/>
          <w:bCs/>
        </w:rPr>
        <w:t xml:space="preserve">cession / changement de contrôle</w:t>
      </w:r>
      <w:r>
        <w:t xml:space="preserve">, ou d’une</w:t>
      </w:r>
      <w:r>
        <w:t xml:space="preserve"> </w:t>
      </w:r>
      <w:r>
        <w:rPr>
          <w:b/>
          <w:bCs/>
        </w:rPr>
        <w:t xml:space="preserve">récupération / renégociation</w:t>
      </w:r>
      <w:r>
        <w:t xml:space="preserve"> </w:t>
      </w:r>
      <w:r>
        <w:t xml:space="preserve">de la licence.</w:t>
      </w:r>
    </w:p>
    <w:p>
      <w:pPr>
        <w:pStyle w:val="FirstParagraph"/>
      </w:pPr>
      <w:r>
        <w:t xml:space="preserve">Les articles ci-dessous sont des</w:t>
      </w:r>
      <w:r>
        <w:t xml:space="preserve"> </w:t>
      </w:r>
      <w:r>
        <w:rPr>
          <w:b/>
          <w:bCs/>
        </w:rPr>
        <w:t xml:space="preserve">clauses types à adapter</w:t>
      </w:r>
      <w:r>
        <w:t xml:space="preserve">. Les crochets</w:t>
      </w:r>
      <w:r>
        <w:t xml:space="preserve"> </w:t>
      </w:r>
      <w:r>
        <w:rPr>
          <w:rStyle w:val="VerbatimChar"/>
        </w:rPr>
        <w:t xml:space="preserve">[…]</w:t>
      </w:r>
      <w:r>
        <w:t xml:space="preserve"> </w:t>
      </w:r>
      <w:r>
        <w:t xml:space="preserve">restent à compléter.</w:t>
      </w:r>
    </w:p>
    <w:p>
      <w:r>
        <w:pict>
          <v:rect style="width:0;height:1.5pt" o:hralign="center" o:hrstd="t" o:hr="t"/>
        </w:pict>
      </w:r>
    </w:p>
    <w:bookmarkStart w:id="45" w:name="article-1-définitions"/>
    <w:p>
      <w:pPr>
        <w:pStyle w:val="Heading2"/>
      </w:pPr>
      <w:r>
        <w:t xml:space="preserve">Article 1 — Définitions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17"/>
        <w:gridCol w:w="500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Terme</w:t>
            </w:r>
          </w:p>
        </w:tc>
        <w:tc>
          <w:tcPr/>
          <w:p>
            <w:pPr>
              <w:pStyle w:val="Compact"/>
            </w:pPr>
            <w:r>
              <w:t xml:space="preserve">Définition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Société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[Dénomination]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[SAS/SARL]</w:t>
            </w:r>
            <w:r>
              <w:t xml:space="preserve">, capital social de</w:t>
            </w:r>
            <w:r>
              <w:t xml:space="preserve"> </w:t>
            </w:r>
            <w:r>
              <w:rPr>
                <w:b/>
                <w:bCs/>
              </w:rPr>
              <w:t xml:space="preserve">10 000 €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Associé A</w:t>
            </w:r>
          </w:p>
        </w:tc>
        <w:tc>
          <w:tcPr/>
          <w:p>
            <w:pPr>
              <w:pStyle w:val="Compact"/>
            </w:pPr>
            <w:r>
              <w:t xml:space="preserve">Titulaire initial de la propriété intellectuelle AIMEDIArt ; apporteur du Droit de Licence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Associés B et C</w:t>
            </w:r>
          </w:p>
        </w:tc>
        <w:tc>
          <w:tcPr/>
          <w:p>
            <w:pPr>
              <w:pStyle w:val="Compact"/>
            </w:pPr>
            <w:r>
              <w:t xml:space="preserve">Autres associés fondateurs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AIMEDIArt</w:t>
            </w:r>
          </w:p>
        </w:tc>
        <w:tc>
          <w:tcPr/>
          <w:p>
            <w:pPr>
              <w:pStyle w:val="Compact"/>
            </w:pPr>
            <w:r>
              <w:t xml:space="preserve">Plateforme logicielle (application web) et actifs immatériels associés décrits en Annexe 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PI Réservée</w:t>
            </w:r>
          </w:p>
        </w:tc>
        <w:tc>
          <w:tcPr/>
          <w:p>
            <w:pPr>
              <w:pStyle w:val="Compact"/>
            </w:pPr>
            <w:r>
              <w:t xml:space="preserve">Ensemble des droits de propriété intellectuelle sur AIMEDIArt</w:t>
            </w:r>
            <w:r>
              <w:t xml:space="preserve"> </w:t>
            </w:r>
            <w:r>
              <w:rPr>
                <w:b/>
                <w:bCs/>
              </w:rPr>
              <w:t xml:space="preserve">non apportés</w:t>
            </w:r>
            <w:r>
              <w:t xml:space="preserve"> </w:t>
            </w:r>
            <w:r>
              <w:t xml:space="preserve">au capital et restant la propriété d’Associé A (ou de sa société holding</w:t>
            </w:r>
            <w:r>
              <w:rPr>
                <w:rStyle w:val="FootnoteReference"/>
              </w:rPr>
              <w:footnoteReference w:id="44"/>
            </w:r>
            <w:r>
              <w:t xml:space="preserve">), sous réserve du Droit de Licence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Droit de Licence</w:t>
            </w:r>
          </w:p>
        </w:tc>
        <w:tc>
          <w:tcPr/>
          <w:p>
            <w:pPr>
              <w:pStyle w:val="Compact"/>
            </w:pPr>
            <w:r>
              <w:t xml:space="preserve">Droit d’exploitation</w:t>
            </w:r>
            <w:r>
              <w:t xml:space="preserve"> </w:t>
            </w:r>
            <w:r>
              <w:rPr>
                <w:b/>
                <w:bCs/>
              </w:rPr>
              <w:t xml:space="preserve">exclusif</w:t>
            </w:r>
            <w:r>
              <w:t xml:space="preserve"> </w:t>
            </w:r>
            <w:r>
              <w:t xml:space="preserve">d’AIMEDIArt apporté à la Société, tel que défini à l’Article 3 et en Annexe 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Valeur Économique de Référence</w:t>
            </w:r>
          </w:p>
        </w:tc>
        <w:tc>
          <w:tcPr/>
          <w:p>
            <w:pPr>
              <w:pStyle w:val="Compact"/>
            </w:pPr>
            <w:r>
              <w:t xml:space="preserve">Montant indicatif de</w:t>
            </w:r>
            <w:r>
              <w:t xml:space="preserve"> </w:t>
            </w:r>
            <w:r>
              <w:rPr>
                <w:b/>
                <w:bCs/>
              </w:rPr>
              <w:t xml:space="preserve">190 000 €</w:t>
            </w:r>
            <w:r>
              <w:t xml:space="preserve"> </w:t>
            </w:r>
            <w:r>
              <w:t xml:space="preserve">(Partie 1), révisable d’un commun accord ou par expert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Levée de Fonds</w:t>
            </w:r>
          </w:p>
        </w:tc>
        <w:tc>
          <w:tcPr/>
          <w:p>
            <w:pPr>
              <w:pStyle w:val="Compact"/>
            </w:pPr>
            <w:r>
              <w:t xml:space="preserve">Augmentation de capital, émission de titres donnant accès au capital, ou financement assimilé avec entrée d’investisseur(s)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Changement de Contrôle</w:t>
            </w:r>
          </w:p>
        </w:tc>
        <w:tc>
          <w:tcPr/>
          <w:p>
            <w:pPr>
              <w:pStyle w:val="Compact"/>
            </w:pPr>
            <w:r>
              <w:t xml:space="preserve">Cession, directement ou indirectement, de plus de</w:t>
            </w:r>
            <w:r>
              <w:t xml:space="preserve"> </w:t>
            </w:r>
            <w:r>
              <w:rPr>
                <w:b/>
                <w:bCs/>
              </w:rPr>
              <w:t xml:space="preserve">50 %</w:t>
            </w:r>
            <w:r>
              <w:t xml:space="preserve"> </w:t>
            </w:r>
            <w:r>
              <w:t xml:space="preserve">des droits de vote ou du capital de la Société ; ou cession de la quasi-totalité des actifs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Sortie</w:t>
            </w:r>
          </w:p>
        </w:tc>
        <w:tc>
          <w:tcPr/>
          <w:p>
            <w:pPr>
              <w:pStyle w:val="Compact"/>
            </w:pPr>
            <w:r>
              <w:t xml:space="preserve">Cession de titres de la Société, fusion, apport partiel d’actif, introduction en bourse, ou opération assimilée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5"/>
    <w:bookmarkStart w:id="46" w:name="article-2-capital-et-répartition"/>
    <w:p>
      <w:pPr>
        <w:pStyle w:val="Heading2"/>
      </w:pPr>
      <w:r>
        <w:t xml:space="preserve">Article 2 — Capital et répartition</w:t>
      </w:r>
    </w:p>
    <w:p>
      <w:pPr>
        <w:pStyle w:val="FirstParagraph"/>
      </w:pPr>
      <w:r>
        <w:t xml:space="preserve">2.1. Le capital social est fixé à</w:t>
      </w:r>
      <w:r>
        <w:t xml:space="preserve"> </w:t>
      </w:r>
      <w:r>
        <w:rPr>
          <w:b/>
          <w:bCs/>
        </w:rPr>
        <w:t xml:space="preserve">10 000 €</w:t>
      </w:r>
      <w:r>
        <w:t xml:space="preserve">, réparti comme suit à la constitution (ou à l’opération d’apport) 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26"/>
        <w:gridCol w:w="1712"/>
        <w:gridCol w:w="1926"/>
        <w:gridCol w:w="235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Associé</w:t>
            </w:r>
          </w:p>
        </w:tc>
        <w:tc>
          <w:tcPr/>
          <w:p>
            <w:pPr>
              <w:pStyle w:val="Compact"/>
            </w:pPr>
            <w:r>
              <w:t xml:space="preserve">Apport</w:t>
            </w:r>
          </w:p>
        </w:tc>
        <w:tc>
          <w:tcPr/>
          <w:p>
            <w:pPr>
              <w:pStyle w:val="Compact"/>
            </w:pPr>
            <w:r>
              <w:t xml:space="preserve">Montant</w:t>
            </w:r>
          </w:p>
        </w:tc>
        <w:tc>
          <w:tcPr/>
          <w:p>
            <w:pPr>
              <w:pStyle w:val="Compact"/>
            </w:pPr>
            <w:r>
              <w:t xml:space="preserve">% capital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Associé A</w:t>
            </w:r>
          </w:p>
        </w:tc>
        <w:tc>
          <w:tcPr/>
          <w:p>
            <w:pPr>
              <w:pStyle w:val="Compact"/>
            </w:pPr>
            <w:r>
              <w:t xml:space="preserve">Droit de Licence + numéraire</w:t>
            </w:r>
          </w:p>
        </w:tc>
        <w:tc>
          <w:tcPr/>
          <w:p>
            <w:pPr>
              <w:pStyle w:val="Compact"/>
            </w:pPr>
            <w:r>
              <w:t xml:space="preserve">5 000 € + 100 € =</w:t>
            </w:r>
            <w:r>
              <w:t xml:space="preserve"> </w:t>
            </w:r>
            <w:r>
              <w:rPr>
                <w:b/>
                <w:bCs/>
              </w:rPr>
              <w:t xml:space="preserve">5 100 €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51 %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Associés B + C</w:t>
            </w:r>
          </w:p>
        </w:tc>
        <w:tc>
          <w:tcPr/>
          <w:p>
            <w:pPr>
              <w:pStyle w:val="Compact"/>
            </w:pPr>
            <w:r>
              <w:t xml:space="preserve">Numéraire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4 900 €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49 %</w:t>
            </w:r>
          </w:p>
        </w:tc>
      </w:tr>
    </w:tbl>
    <w:p>
      <w:pPr>
        <w:pStyle w:val="BodyText"/>
      </w:pPr>
      <w:r>
        <w:t xml:space="preserve">2.2. Les Associés reconnaissent avoir pris connaissance de la</w:t>
      </w:r>
      <w:r>
        <w:t xml:space="preserve"> </w:t>
      </w:r>
      <w:r>
        <w:rPr>
          <w:b/>
          <w:bCs/>
        </w:rPr>
        <w:t xml:space="preserve">Partie 1</w:t>
      </w:r>
      <w:r>
        <w:t xml:space="preserve"> </w:t>
      </w:r>
      <w:r>
        <w:t xml:space="preserve">(valorisation indicative ~190 000 €) et du fait que la valeur d’apport du Droit de Licence (</w:t>
      </w:r>
      <w:r>
        <w:rPr>
          <w:b/>
          <w:bCs/>
        </w:rPr>
        <w:t xml:space="preserve">5 000 €</w:t>
      </w:r>
      <w:r>
        <w:t xml:space="preserve">) est</w:t>
      </w:r>
      <w:r>
        <w:t xml:space="preserve"> </w:t>
      </w:r>
      <w:r>
        <w:rPr>
          <w:b/>
          <w:bCs/>
        </w:rPr>
        <w:t xml:space="preserve">volontairement inférieure</w:t>
      </w:r>
      <w:r>
        <w:t xml:space="preserve"> </w:t>
      </w:r>
      <w:r>
        <w:t xml:space="preserve">à cette estimation.</w:t>
      </w:r>
    </w:p>
    <w:p>
      <w:pPr>
        <w:pStyle w:val="BodyText"/>
      </w:pPr>
      <w:r>
        <w:t xml:space="preserve">2.3. Les Associés B et C déclarent accepter cette sous-évaluation dans le cadre du démarrage de la Société,</w:t>
      </w:r>
      <w:r>
        <w:t xml:space="preserve"> </w:t>
      </w:r>
      <w:r>
        <w:rPr>
          <w:b/>
          <w:bCs/>
        </w:rPr>
        <w:t xml:space="preserve">sous réserve</w:t>
      </w:r>
      <w:r>
        <w:t xml:space="preserve"> </w:t>
      </w:r>
      <w:r>
        <w:t xml:space="preserve">des mécanismes des Articles 6 à 9 (rattrapage, levée, sortie, récupération).</w:t>
      </w:r>
    </w:p>
    <w:p>
      <w:r>
        <w:pict>
          <v:rect style="width:0;height:1.5pt" o:hralign="center" o:hrstd="t" o:hr="t"/>
        </w:pict>
      </w:r>
    </w:p>
    <w:bookmarkEnd w:id="46"/>
    <w:bookmarkStart w:id="55" w:name="Xe8d399bdd40eb8ce93c4275c99fe9ef05fa1e84"/>
    <w:p>
      <w:pPr>
        <w:pStyle w:val="Heading2"/>
      </w:pPr>
      <w:r>
        <w:t xml:space="preserve">Article 3 — Apport du Droit de Licence exclusif</w:t>
      </w:r>
    </w:p>
    <w:bookmarkStart w:id="47" w:name="nature-de-lapport"/>
    <w:p>
      <w:pPr>
        <w:pStyle w:val="Heading3"/>
      </w:pPr>
      <w:r>
        <w:t xml:space="preserve">3.1 Nature de l’apport</w:t>
      </w:r>
    </w:p>
    <w:p>
      <w:pPr>
        <w:pStyle w:val="FirstParagraph"/>
      </w:pPr>
      <w:r>
        <w:t xml:space="preserve">Associé A apporte à la Société, en pleine jouissance, un</w:t>
      </w:r>
      <w:r>
        <w:t xml:space="preserve"> </w:t>
      </w:r>
      <w:r>
        <w:rPr>
          <w:b/>
          <w:bCs/>
        </w:rPr>
        <w:t xml:space="preserve">droit de licence exclusif</w:t>
      </w:r>
      <w:r>
        <w:t xml:space="preserve"> </w:t>
      </w:r>
      <w:r>
        <w:t xml:space="preserve">d’exploitation d’AIMEDIArt (le</w:t>
      </w:r>
      <w:r>
        <w:t xml:space="preserve"> </w:t>
      </w:r>
      <w:r>
        <w:rPr>
          <w:b/>
          <w:bCs/>
        </w:rPr>
        <w:t xml:space="preserve">Droit de Licence</w:t>
      </w:r>
      <w:r>
        <w:t xml:space="preserve">), valorisé pour les besoins du capital social à</w:t>
      </w:r>
      <w:r>
        <w:t xml:space="preserve"> </w:t>
      </w:r>
      <w:r>
        <w:rPr>
          <w:b/>
          <w:bCs/>
        </w:rPr>
        <w:t xml:space="preserve">cinq mille euros (5 000 €)</w:t>
      </w:r>
      <w:r>
        <w:t xml:space="preserve">.</w:t>
      </w:r>
    </w:p>
    <w:p>
      <w:pPr>
        <w:pStyle w:val="BodyText"/>
      </w:pPr>
      <w:r>
        <w:t xml:space="preserve">Cet apport</w:t>
      </w:r>
      <w:r>
        <w:t xml:space="preserve"> </w:t>
      </w:r>
      <w:r>
        <w:rPr>
          <w:b/>
          <w:bCs/>
        </w:rPr>
        <w:t xml:space="preserve">ne constitue pas</w:t>
      </w:r>
      <w:r>
        <w:t xml:space="preserve"> </w:t>
      </w:r>
      <w:r>
        <w:t xml:space="preserve">une cession de la PI Réservée. Associé A demeure titulaire de la PI Réservée, sous réserve des droits concédés à la Société.</w:t>
      </w:r>
    </w:p>
    <w:bookmarkEnd w:id="47"/>
    <w:bookmarkStart w:id="48" w:name="X86488c8e4f499c95fcefb04783b8a334c313c63"/>
    <w:p>
      <w:pPr>
        <w:pStyle w:val="Heading3"/>
      </w:pPr>
      <w:r>
        <w:t xml:space="preserve">3.2 Contenu du Droit de Licence (à détailler en Annexe 2)</w:t>
      </w:r>
    </w:p>
    <w:p>
      <w:pPr>
        <w:pStyle w:val="FirstParagraph"/>
      </w:pPr>
      <w:r>
        <w:t xml:space="preserve">Sauf stipulation contraire de l’Annexe 2, le Droit de Licence comprend le droit pour la Société, à titre</w:t>
      </w:r>
      <w:r>
        <w:t xml:space="preserve"> </w:t>
      </w:r>
      <w:r>
        <w:rPr>
          <w:b/>
          <w:bCs/>
        </w:rPr>
        <w:t xml:space="preserve">exclusif</w:t>
      </w:r>
      <w:r>
        <w:t xml:space="preserve"> </w:t>
      </w:r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d’</w:t>
      </w:r>
      <w:r>
        <w:rPr>
          <w:b/>
          <w:bCs/>
        </w:rPr>
        <w:t xml:space="preserve">exploiter</w:t>
      </w:r>
      <w:r>
        <w:t xml:space="preserve"> </w:t>
      </w:r>
      <w:r>
        <w:t xml:space="preserve">commercialement AIMEDIArt (service logiciel en ligne / SaaS, abonnements, prestations liées) ;</w:t>
      </w:r>
    </w:p>
    <w:p>
      <w:pPr>
        <w:pStyle w:val="Compact"/>
        <w:numPr>
          <w:ilvl w:val="0"/>
          <w:numId w:val="1004"/>
        </w:numPr>
      </w:pPr>
      <w:r>
        <w:t xml:space="preserve">d’</w:t>
      </w:r>
      <w:r>
        <w:rPr>
          <w:b/>
          <w:bCs/>
        </w:rPr>
        <w:t xml:space="preserve">héberger</w:t>
      </w:r>
      <w:r>
        <w:t xml:space="preserve">, maintenir, faire évoluer le produit pour les besoins de l’exploitation ;</w:t>
      </w:r>
    </w:p>
    <w:p>
      <w:pPr>
        <w:pStyle w:val="Compact"/>
        <w:numPr>
          <w:ilvl w:val="0"/>
          <w:numId w:val="1004"/>
        </w:numPr>
      </w:pPr>
      <w:r>
        <w:t xml:space="preserve">d’utiliser les signes distinctifs AIMEDIArt nécessaires à l’exploitation (dans les limites de l’Annexe 2) ;</w:t>
      </w:r>
    </w:p>
    <w:p>
      <w:pPr>
        <w:pStyle w:val="Compact"/>
        <w:numPr>
          <w:ilvl w:val="0"/>
          <w:numId w:val="1004"/>
        </w:numPr>
      </w:pPr>
      <w:r>
        <w:t xml:space="preserve">de sous-licencier</w:t>
      </w:r>
      <w:r>
        <w:t xml:space="preserve"> </w:t>
      </w:r>
      <w:r>
        <w:rPr>
          <w:b/>
          <w:bCs/>
        </w:rPr>
        <w:t xml:space="preserve">uniquement</w:t>
      </w:r>
      <w:r>
        <w:t xml:space="preserve"> </w:t>
      </w:r>
      <w:r>
        <w:t xml:space="preserve">aux clients finaux dans le cadre normal du service (pas de sous-licence globale à un concurrent).</w:t>
      </w:r>
    </w:p>
    <w:bookmarkEnd w:id="48"/>
    <w:bookmarkStart w:id="50" w:name="Xaf94219a66eff0b4d0f82f0ed1d79b041640e70"/>
    <w:p>
      <w:pPr>
        <w:pStyle w:val="Heading3"/>
      </w:pPr>
      <w:r>
        <w:t xml:space="preserve">3.3 Exclusions (restent chez Associé A, sauf accord écrit)</w:t>
      </w:r>
    </w:p>
    <w:p>
      <w:pPr>
        <w:pStyle w:val="Compact"/>
        <w:numPr>
          <w:ilvl w:val="0"/>
          <w:numId w:val="1005"/>
        </w:numPr>
      </w:pPr>
      <w:r>
        <w:t xml:space="preserve">propriété du</w:t>
      </w:r>
      <w:r>
        <w:t xml:space="preserve"> </w:t>
      </w:r>
      <w:r>
        <w:rPr>
          <w:b/>
          <w:bCs/>
        </w:rPr>
        <w:t xml:space="preserve">code source</w:t>
      </w:r>
      <w:r>
        <w:t xml:space="preserve"> </w:t>
      </w:r>
      <w:r>
        <w:t xml:space="preserve">et des dépôts (dépôt de versions</w:t>
      </w:r>
      <w:r>
        <w:rPr>
          <w:rStyle w:val="FootnoteReference"/>
        </w:rPr>
        <w:footnoteReference w:id="49"/>
      </w:r>
      <w:r>
        <w:t xml:space="preserve">, etc.) en tant que PI Réservée ;</w:t>
      </w:r>
    </w:p>
    <w:p>
      <w:pPr>
        <w:pStyle w:val="Compact"/>
        <w:numPr>
          <w:ilvl w:val="0"/>
          <w:numId w:val="1005"/>
        </w:numPr>
      </w:pPr>
      <w:r>
        <w:t xml:space="preserve">droit de</w:t>
      </w:r>
      <w:r>
        <w:t xml:space="preserve"> </w:t>
      </w:r>
      <w:r>
        <w:rPr>
          <w:b/>
          <w:bCs/>
        </w:rPr>
        <w:t xml:space="preserve">céder</w:t>
      </w:r>
      <w:r>
        <w:t xml:space="preserve"> </w:t>
      </w:r>
      <w:r>
        <w:t xml:space="preserve">la PI Réservée à un tiers hors cadre des Articles 7 à 9 ;</w:t>
      </w:r>
    </w:p>
    <w:p>
      <w:pPr>
        <w:pStyle w:val="Compact"/>
        <w:numPr>
          <w:ilvl w:val="0"/>
          <w:numId w:val="1005"/>
        </w:numPr>
      </w:pPr>
      <w:r>
        <w:t xml:space="preserve">exploitation</w:t>
      </w:r>
      <w:r>
        <w:t xml:space="preserve"> </w:t>
      </w:r>
      <w:r>
        <w:rPr>
          <w:b/>
          <w:bCs/>
        </w:rPr>
        <w:t xml:space="preserve">personnelle</w:t>
      </w:r>
      <w:r>
        <w:t xml:space="preserve"> </w:t>
      </w:r>
      <w:r>
        <w:t xml:space="preserve">hors Société,</w:t>
      </w:r>
      <w:r>
        <w:t xml:space="preserve"> </w:t>
      </w:r>
      <w:r>
        <w:rPr>
          <w:b/>
          <w:bCs/>
        </w:rPr>
        <w:t xml:space="preserve">interdite</w:t>
      </w:r>
      <w:r>
        <w:t xml:space="preserve"> </w:t>
      </w:r>
      <w:r>
        <w:t xml:space="preserve">pendant la durée de l’exclusivité (non-concurrence produit — Article 5).</w:t>
      </w:r>
    </w:p>
    <w:bookmarkEnd w:id="50"/>
    <w:bookmarkStart w:id="51" w:name="durée-et-territoire"/>
    <w:p>
      <w:pPr>
        <w:pStyle w:val="Heading3"/>
      </w:pPr>
      <w:r>
        <w:t xml:space="preserve">3.4 Durée et territoire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Durée :</w:t>
      </w:r>
      <w:r>
        <w:t xml:space="preserve"> </w:t>
      </w:r>
      <w:r>
        <w:rPr>
          <w:rStyle w:val="VerbatimChar"/>
        </w:rPr>
        <w:t xml:space="preserve">[ex. : durée de vie de la Société / 10 ans renouvelable / durée indéterminée avec préavis]</w:t>
      </w:r>
      <w:r>
        <w:br/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Territoire :</w:t>
      </w:r>
      <w:r>
        <w:t xml:space="preserve"> </w:t>
      </w:r>
      <w:r>
        <w:rPr>
          <w:rStyle w:val="VerbatimChar"/>
        </w:rPr>
        <w:t xml:space="preserve">[ex. : monde entier / Union européenne / France]</w:t>
      </w:r>
      <w:r>
        <w:br/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Exclusivité :</w:t>
      </w:r>
      <w:r>
        <w:t xml:space="preserve"> </w:t>
      </w:r>
      <w:r>
        <w:t xml:space="preserve">totale sur le champ d’exploitation défini en Annexe 2.</w:t>
      </w:r>
    </w:p>
    <w:bookmarkEnd w:id="51"/>
    <w:bookmarkStart w:id="53" w:name="redevances"/>
    <w:p>
      <w:pPr>
        <w:pStyle w:val="Heading3"/>
      </w:pPr>
      <w:r>
        <w:t xml:space="preserve">3.5 Redevances</w:t>
      </w:r>
    </w:p>
    <w:p>
      <w:pPr>
        <w:pStyle w:val="FirstParagraph"/>
      </w:pPr>
      <w:r>
        <w:t xml:space="preserve">Deux options (choisir et biffer l’autre) 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Option R0 — Intégrée au capital :</w:t>
      </w:r>
      <w:r>
        <w:t xml:space="preserve"> </w:t>
      </w:r>
      <w:r>
        <w:t xml:space="preserve">aucune redevance pendant</w:t>
      </w:r>
      <w:r>
        <w:t xml:space="preserve"> </w:t>
      </w:r>
      <w:r>
        <w:rPr>
          <w:rStyle w:val="VerbatimChar"/>
        </w:rPr>
        <w:t xml:space="preserve">[X]</w:t>
      </w:r>
      <w:r>
        <w:t xml:space="preserve"> </w:t>
      </w:r>
      <w:r>
        <w:t xml:space="preserve">mois ; puis redevance de</w:t>
      </w:r>
      <w:r>
        <w:t xml:space="preserve"> </w:t>
      </w:r>
      <w:r>
        <w:rPr>
          <w:rStyle w:val="VerbatimChar"/>
        </w:rPr>
        <w:t xml:space="preserve">[Y] %</w:t>
      </w:r>
      <w:r>
        <w:t xml:space="preserve"> </w:t>
      </w:r>
      <w:r>
        <w:t xml:space="preserve">du chiffre d’affaires hors taxes</w:t>
      </w:r>
      <w:r>
        <w:rPr>
          <w:rStyle w:val="FootnoteReference"/>
        </w:rPr>
        <w:footnoteReference w:id="52"/>
      </w:r>
      <w:r>
        <w:t xml:space="preserve"> </w:t>
      </w:r>
      <w:r>
        <w:t xml:space="preserve">lié à AIMEDIArt, plafonnée / plancher à définir ;</w:t>
      </w:r>
      <w:r>
        <w:t xml:space="preserve"> </w:t>
      </w:r>
      <w:r>
        <w:rPr>
          <w:b/>
          <w:bCs/>
        </w:rPr>
        <w:t xml:space="preserve">ou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Option R1 — Gratuité d’exploitation :</w:t>
      </w:r>
      <w:r>
        <w:t xml:space="preserve"> </w:t>
      </w:r>
      <w:r>
        <w:t xml:space="preserve">aucune redevance tant que le Droit de Licence n’est pas résilié ou renégocié selon l’Article 9.</w:t>
      </w:r>
    </w:p>
    <w:bookmarkEnd w:id="53"/>
    <w:bookmarkStart w:id="54" w:name="obligations-de-la-société"/>
    <w:p>
      <w:pPr>
        <w:pStyle w:val="Heading3"/>
      </w:pPr>
      <w:r>
        <w:t xml:space="preserve">3.6 Obligations de la Société</w:t>
      </w:r>
    </w:p>
    <w:p>
      <w:pPr>
        <w:pStyle w:val="FirstParagraph"/>
      </w:pPr>
      <w:r>
        <w:t xml:space="preserve">La Société s’engage à :</w:t>
      </w:r>
    </w:p>
    <w:p>
      <w:pPr>
        <w:pStyle w:val="Compact"/>
        <w:numPr>
          <w:ilvl w:val="0"/>
          <w:numId w:val="1008"/>
        </w:numPr>
      </w:pPr>
      <w:r>
        <w:t xml:space="preserve">exploiter le Droit de Licence de manière</w:t>
      </w:r>
      <w:r>
        <w:t xml:space="preserve"> </w:t>
      </w:r>
      <w:r>
        <w:rPr>
          <w:b/>
          <w:bCs/>
        </w:rPr>
        <w:t xml:space="preserve">loyale</w:t>
      </w:r>
      <w:r>
        <w:t xml:space="preserve"> </w:t>
      </w:r>
      <w:r>
        <w:t xml:space="preserve">et professionnelle ;</w:t>
      </w:r>
    </w:p>
    <w:p>
      <w:pPr>
        <w:pStyle w:val="Compact"/>
        <w:numPr>
          <w:ilvl w:val="0"/>
          <w:numId w:val="1008"/>
        </w:numPr>
      </w:pPr>
      <w:r>
        <w:t xml:space="preserve">maintenir un niveau raisonnable de</w:t>
      </w:r>
      <w:r>
        <w:t xml:space="preserve"> </w:t>
      </w:r>
      <w:r>
        <w:rPr>
          <w:b/>
          <w:bCs/>
        </w:rPr>
        <w:t xml:space="preserve">sécurité</w:t>
      </w:r>
      <w:r>
        <w:t xml:space="preserve">, sauvegardes et conformité ;</w:t>
      </w:r>
    </w:p>
    <w:p>
      <w:pPr>
        <w:pStyle w:val="Compact"/>
        <w:numPr>
          <w:ilvl w:val="0"/>
          <w:numId w:val="1008"/>
        </w:numPr>
      </w:pPr>
      <w:r>
        <w:t xml:space="preserve">ne pas céder ni nantir le Droit de Licence sans accord d’Associé A (sauf opération de Sortie conforme à l’Article 7) ;</w:t>
      </w:r>
    </w:p>
    <w:p>
      <w:pPr>
        <w:pStyle w:val="Compact"/>
        <w:numPr>
          <w:ilvl w:val="0"/>
          <w:numId w:val="1008"/>
        </w:numPr>
      </w:pPr>
      <w:r>
        <w:t xml:space="preserve">informer Associé A de tout litige de propriété intellectuelle ou sécurité critique sous</w:t>
      </w:r>
      <w:r>
        <w:t xml:space="preserve"> </w:t>
      </w:r>
      <w:r>
        <w:rPr>
          <w:b/>
          <w:bCs/>
        </w:rPr>
        <w:t xml:space="preserve">cinq (5) jours ouvrés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7" w:name="article-4-gouvernance-socle"/>
    <w:p>
      <w:pPr>
        <w:pStyle w:val="Heading2"/>
      </w:pPr>
      <w:r>
        <w:t xml:space="preserve">Article 4 — Gouvernance (socle)</w:t>
      </w:r>
    </w:p>
    <w:p>
      <w:pPr>
        <w:pStyle w:val="FirstParagraph"/>
      </w:pPr>
      <w:r>
        <w:t xml:space="preserve">4.1. Associé A dispose de</w:t>
      </w:r>
      <w:r>
        <w:t xml:space="preserve"> </w:t>
      </w:r>
      <w:r>
        <w:rPr>
          <w:b/>
          <w:bCs/>
        </w:rPr>
        <w:t xml:space="preserve">51 %</w:t>
      </w:r>
      <w:r>
        <w:t xml:space="preserve"> </w:t>
      </w:r>
      <w:r>
        <w:t xml:space="preserve">du capital et des droits de vote (sauf dilution</w:t>
      </w:r>
      <w:r>
        <w:rPr>
          <w:rStyle w:val="FootnoteReference"/>
        </w:rPr>
        <w:footnoteReference w:id="56"/>
      </w:r>
      <w:r>
        <w:t xml:space="preserve"> </w:t>
      </w:r>
      <w:r>
        <w:t xml:space="preserve">ultérieure).</w:t>
      </w:r>
    </w:p>
    <w:p>
      <w:pPr>
        <w:pStyle w:val="BodyText"/>
      </w:pPr>
      <w:r>
        <w:t xml:space="preserve">4.2. Décisions relevant de la</w:t>
      </w:r>
      <w:r>
        <w:t xml:space="preserve"> </w:t>
      </w:r>
      <w:r>
        <w:rPr>
          <w:b/>
          <w:bCs/>
        </w:rPr>
        <w:t xml:space="preserve">majorité renforcée</w:t>
      </w:r>
      <w:r>
        <w:t xml:space="preserve"> </w:t>
      </w:r>
      <w:r>
        <w:t xml:space="preserve">ou de l’</w:t>
      </w:r>
      <w:r>
        <w:rPr>
          <w:b/>
          <w:bCs/>
        </w:rPr>
        <w:t xml:space="preserve">unanimité</w:t>
      </w:r>
      <w:r>
        <w:t xml:space="preserve"> </w:t>
      </w:r>
      <w:r>
        <w:t xml:space="preserve">(à caler selon forme sociale), notamment :</w:t>
      </w:r>
    </w:p>
    <w:p>
      <w:pPr>
        <w:pStyle w:val="Compact"/>
        <w:numPr>
          <w:ilvl w:val="0"/>
          <w:numId w:val="1009"/>
        </w:numPr>
      </w:pPr>
      <w:r>
        <w:t xml:space="preserve">modification du Droit de Licence ou de la PI Réservée ;</w:t>
      </w:r>
    </w:p>
    <w:p>
      <w:pPr>
        <w:pStyle w:val="Compact"/>
        <w:numPr>
          <w:ilvl w:val="0"/>
          <w:numId w:val="1009"/>
        </w:numPr>
      </w:pPr>
      <w:r>
        <w:t xml:space="preserve">Levée de Fonds ;</w:t>
      </w:r>
    </w:p>
    <w:p>
      <w:pPr>
        <w:pStyle w:val="Compact"/>
        <w:numPr>
          <w:ilvl w:val="0"/>
          <w:numId w:val="1009"/>
        </w:numPr>
      </w:pPr>
      <w:r>
        <w:t xml:space="preserve">Changement de Contrôle / Sortie ;</w:t>
      </w:r>
    </w:p>
    <w:p>
      <w:pPr>
        <w:pStyle w:val="Compact"/>
        <w:numPr>
          <w:ilvl w:val="0"/>
          <w:numId w:val="1009"/>
        </w:numPr>
      </w:pPr>
      <w:r>
        <w:t xml:space="preserve">agrément de nouveaux associés ;</w:t>
      </w:r>
    </w:p>
    <w:p>
      <w:pPr>
        <w:pStyle w:val="Compact"/>
        <w:numPr>
          <w:ilvl w:val="0"/>
          <w:numId w:val="1009"/>
        </w:numPr>
      </w:pPr>
      <w:r>
        <w:t xml:space="preserve">rémunération exceptionnelle, conventions réglementées significatives.</w:t>
      </w:r>
    </w:p>
    <w:p>
      <w:pPr>
        <w:pStyle w:val="FirstParagraph"/>
      </w:pPr>
      <w:r>
        <w:t xml:space="preserve">4.3. Associé A est</w:t>
      </w:r>
      <w:r>
        <w:t xml:space="preserve"> </w:t>
      </w:r>
      <w:r>
        <w:rPr>
          <w:rStyle w:val="VerbatimChar"/>
        </w:rPr>
        <w:t xml:space="preserve">[Président / Gérant]</w:t>
      </w:r>
      <w:r>
        <w:t xml:space="preserve"> </w:t>
      </w:r>
      <w:r>
        <w:t xml:space="preserve">sauf révocation selon statuts et pacte.</w:t>
      </w:r>
    </w:p>
    <w:p>
      <w:r>
        <w:pict>
          <v:rect style="width:0;height:1.5pt" o:hralign="center" o:hrstd="t" o:hr="t"/>
        </w:pict>
      </w:r>
    </w:p>
    <w:bookmarkEnd w:id="57"/>
    <w:bookmarkStart w:id="58" w:name="article-5-non-concurrence-et-loyauté"/>
    <w:p>
      <w:pPr>
        <w:pStyle w:val="Heading2"/>
      </w:pPr>
      <w:r>
        <w:t xml:space="preserve">Article 5 — Non-concurrence et loyauté</w:t>
      </w:r>
    </w:p>
    <w:p>
      <w:pPr>
        <w:pStyle w:val="FirstParagraph"/>
      </w:pPr>
      <w:r>
        <w:t xml:space="preserve">5.1. Pendant la durée de l’exclusivité du Droit de Licence, Associé A s’interdit d’exploiter, directement ou indirectement, un produit</w:t>
      </w:r>
      <w:r>
        <w:t xml:space="preserve"> </w:t>
      </w:r>
      <w:r>
        <w:rPr>
          <w:b/>
          <w:bCs/>
        </w:rPr>
        <w:t xml:space="preserve">substantiellement concurrent</w:t>
      </w:r>
      <w:r>
        <w:t xml:space="preserve"> </w:t>
      </w:r>
      <w:r>
        <w:t xml:space="preserve">d’AIMEDIArt sur le territoire concédé, sauf accord écrit des Associés B et C.</w:t>
      </w:r>
    </w:p>
    <w:p>
      <w:pPr>
        <w:pStyle w:val="BodyText"/>
      </w:pPr>
      <w:r>
        <w:t xml:space="preserve">5.2. Les Associés B et C s’interdisent, pendant leur présence au capital et</w:t>
      </w:r>
      <w:r>
        <w:t xml:space="preserve"> </w:t>
      </w:r>
      <w:r>
        <w:rPr>
          <w:rStyle w:val="VerbatimChar"/>
        </w:rPr>
        <w:t xml:space="preserve">[12–24]</w:t>
      </w:r>
      <w:r>
        <w:t xml:space="preserve"> </w:t>
      </w:r>
      <w:r>
        <w:t xml:space="preserve">mois après sortie, d’utiliser la PI Réservée ou les secrets de la Société hors du cadre sociétaire.</w:t>
      </w:r>
    </w:p>
    <w:p>
      <w:r>
        <w:pict>
          <v:rect style="width:0;height:1.5pt" o:hralign="center" o:hrstd="t" o:hr="t"/>
        </w:pict>
      </w:r>
    </w:p>
    <w:bookmarkEnd w:id="58"/>
    <w:bookmarkStart w:id="63" w:name="X803406e7738ba0ca5df12d07a41234cd67d6454"/>
    <w:p>
      <w:pPr>
        <w:pStyle w:val="Heading2"/>
      </w:pPr>
      <w:r>
        <w:t xml:space="preserve">Article 6 — Reconnaissance de la sous-évaluation et rattrapage</w:t>
      </w:r>
    </w:p>
    <w:p>
      <w:pPr>
        <w:pStyle w:val="FirstParagraph"/>
      </w:pPr>
      <w:r>
        <w:t xml:space="preserve">6.1. Les Associés prennent acte de l’écart entre la Valeur Économique de Référence (~</w:t>
      </w:r>
      <w:r>
        <w:rPr>
          <w:b/>
          <w:bCs/>
        </w:rPr>
        <w:t xml:space="preserve">190 000 €</w:t>
      </w:r>
      <w:r>
        <w:t xml:space="preserve">) et la valeur d’apport (</w:t>
      </w:r>
      <w:r>
        <w:rPr>
          <w:b/>
          <w:bCs/>
        </w:rPr>
        <w:t xml:space="preserve">5 000 €</w:t>
      </w:r>
      <w:r>
        <w:t xml:space="preserve">).</w:t>
      </w:r>
    </w:p>
    <w:p>
      <w:pPr>
        <w:pStyle w:val="BodyText"/>
      </w:pPr>
      <w:r>
        <w:t xml:space="preserve">6.2.</w:t>
      </w:r>
      <w:r>
        <w:t xml:space="preserve"> </w:t>
      </w:r>
      <w:r>
        <w:rPr>
          <w:b/>
          <w:bCs/>
        </w:rPr>
        <w:t xml:space="preserve">Clause de rattrapage (au choix, combiner si besoin) :</w:t>
      </w:r>
    </w:p>
    <w:p>
      <w:pPr>
        <w:pStyle w:val="BodyText"/>
      </w:pPr>
      <w:r>
        <w:rPr>
          <w:b/>
          <w:bCs/>
        </w:rPr>
        <w:t xml:space="preserve">6.2.a — Complément d’apport / émission de titres</w:t>
      </w:r>
      <w:r>
        <w:br/>
      </w:r>
      <w:r>
        <w:t xml:space="preserve">Avant le premier des événements suivants : (i) Levée de Fonds &gt;</w:t>
      </w:r>
      <w:r>
        <w:t xml:space="preserve"> </w:t>
      </w:r>
      <w:r>
        <w:rPr>
          <w:rStyle w:val="VerbatimChar"/>
        </w:rPr>
        <w:t xml:space="preserve">[montant]</w:t>
      </w:r>
      <w:r>
        <w:t xml:space="preserve">, (ii) Changement de Contrôle, (iii)</w:t>
      </w:r>
      <w:r>
        <w:t xml:space="preserve"> </w:t>
      </w:r>
      <w:r>
        <w:rPr>
          <w:rStyle w:val="VerbatimChar"/>
        </w:rPr>
        <w:t xml:space="preserve">[date anniversaire + 24 mois]</w:t>
      </w:r>
      <w:r>
        <w:t xml:space="preserve">, les Associés se réunissent pour examiner un</w:t>
      </w:r>
      <w:r>
        <w:t xml:space="preserve"> </w:t>
      </w:r>
      <w:r>
        <w:rPr>
          <w:b/>
          <w:bCs/>
        </w:rPr>
        <w:t xml:space="preserve">complément</w:t>
      </w:r>
      <w:r>
        <w:t xml:space="preserve"> </w:t>
      </w:r>
      <w:r>
        <w:t xml:space="preserve">au bénéfice d’Associé A (attribution de titres, bons de souscription d’actions</w:t>
      </w:r>
      <w:r>
        <w:rPr>
          <w:rStyle w:val="FootnoteReference"/>
        </w:rPr>
        <w:footnoteReference w:id="59"/>
      </w:r>
      <w:r>
        <w:t xml:space="preserve">, contrat d’édition, ou revalorisation de redevance), calé sur tout ou partie de l’écart, sauf renonciation écrite d’Associé A.</w:t>
      </w:r>
    </w:p>
    <w:p>
      <w:pPr>
        <w:pStyle w:val="BodyText"/>
      </w:pPr>
      <w:r>
        <w:rPr>
          <w:b/>
          <w:bCs/>
        </w:rPr>
        <w:t xml:space="preserve">6.2.b — Protection anti-dilution</w:t>
      </w:r>
      <w:r>
        <w:rPr>
          <w:rStyle w:val="FootnoteReference"/>
        </w:rPr>
        <w:footnoteReference w:id="60"/>
      </w:r>
      <w:r>
        <w:rPr>
          <w:b/>
          <w:bCs/>
        </w:rPr>
        <w:t xml:space="preserve"> </w:t>
      </w:r>
      <w:r>
        <w:rPr>
          <w:b/>
          <w:bCs/>
        </w:rPr>
        <w:t xml:space="preserve">/ maintien du contrôle</w:t>
      </w:r>
      <w:r>
        <w:br/>
      </w:r>
      <w:r>
        <w:t xml:space="preserve">En cas de Levée de Fonds, les parties s’efforcent de préserver un</w:t>
      </w:r>
      <w:r>
        <w:t xml:space="preserve"> </w:t>
      </w:r>
      <w:r>
        <w:rPr>
          <w:b/>
          <w:bCs/>
        </w:rPr>
        <w:t xml:space="preserve">contrôle effectif</w:t>
      </w:r>
      <w:r>
        <w:t xml:space="preserve"> </w:t>
      </w:r>
      <w:r>
        <w:t xml:space="preserve">d’Associé A (au moins</w:t>
      </w:r>
      <w:r>
        <w:t xml:space="preserve"> </w:t>
      </w:r>
      <w:r>
        <w:rPr>
          <w:b/>
          <w:bCs/>
        </w:rPr>
        <w:t xml:space="preserve">34 %</w:t>
      </w:r>
      <w:r>
        <w:t xml:space="preserve"> </w:t>
      </w:r>
      <w:r>
        <w:t xml:space="preserve">des droits de vote, ou droit de veto</w:t>
      </w:r>
      <w:r>
        <w:rPr>
          <w:rStyle w:val="FootnoteReference"/>
        </w:rPr>
        <w:footnoteReference w:id="61"/>
      </w:r>
      <w:r>
        <w:t xml:space="preserve"> </w:t>
      </w:r>
      <w:r>
        <w:t xml:space="preserve">sur les décisions listées en Annexe 3), sauf accord contraire d’Associé A.</w:t>
      </w:r>
    </w:p>
    <w:p>
      <w:pPr>
        <w:pStyle w:val="BodyText"/>
      </w:pPr>
      <w:r>
        <w:rPr>
          <w:b/>
          <w:bCs/>
        </w:rPr>
        <w:t xml:space="preserve">6.2.c — Bonus de sortie (préférence de liquidation allégée</w:t>
      </w:r>
      <w:r>
        <w:rPr>
          <w:rStyle w:val="FootnoteReference"/>
        </w:rPr>
        <w:footnoteReference w:id="62"/>
      </w:r>
      <w:r>
        <w:rPr>
          <w:b/>
          <w:bCs/>
        </w:rPr>
        <w:t xml:space="preserve">)</w:t>
      </w:r>
      <w:r>
        <w:br/>
      </w:r>
      <w:r>
        <w:t xml:space="preserve">En cas de Sortie, après remboursement des apports en numéraire non encore récupérés le cas échéant, Associé A perçoit un</w:t>
      </w:r>
      <w:r>
        <w:t xml:space="preserve"> </w:t>
      </w:r>
      <w:r>
        <w:rPr>
          <w:b/>
          <w:bCs/>
        </w:rPr>
        <w:t xml:space="preserve">bonus</w:t>
      </w:r>
      <w:r>
        <w:t xml:space="preserve"> </w:t>
      </w:r>
      <w:r>
        <w:t xml:space="preserve">égal à</w:t>
      </w:r>
      <w:r>
        <w:t xml:space="preserve"> </w:t>
      </w:r>
      <w:r>
        <w:rPr>
          <w:rStyle w:val="VerbatimChar"/>
        </w:rPr>
        <w:t xml:space="preserve">[ex. : 50 % de (Valeur Économique de Référence − 5 000 €) × (pourcentage du capital cédé)]</w:t>
      </w:r>
      <w:r>
        <w:t xml:space="preserve">, plafonné / actualisé selon modalités Annexe 4 —</w:t>
      </w:r>
      <w:r>
        <w:t xml:space="preserve"> </w:t>
      </w:r>
      <w:r>
        <w:rPr>
          <w:b/>
          <w:bCs/>
        </w:rPr>
        <w:t xml:space="preserve">sauf</w:t>
      </w:r>
      <w:r>
        <w:t xml:space="preserve"> </w:t>
      </w:r>
      <w:r>
        <w:t xml:space="preserve">si la Levée de Fonds ou la Sortie a déjà compensé l’écart via l’Article 6.2.a.</w:t>
      </w:r>
    </w:p>
    <w:p>
      <w:pPr>
        <w:pStyle w:val="BlockText"/>
      </w:pPr>
      <w:r>
        <w:t xml:space="preserve">Objectif : éviter qu’une sous-évaluation de démarrage devienne une</w:t>
      </w:r>
      <w:r>
        <w:t xml:space="preserve"> </w:t>
      </w:r>
      <w:r>
        <w:rPr>
          <w:b/>
          <w:bCs/>
        </w:rPr>
        <w:t xml:space="preserve">donation définitive</w:t>
      </w:r>
      <w:r>
        <w:t xml:space="preserve"> </w:t>
      </w:r>
      <w:r>
        <w:t xml:space="preserve">aux Associés B et C en cas de succès.</w:t>
      </w:r>
    </w:p>
    <w:p>
      <w:r>
        <w:pict>
          <v:rect style="width:0;height:1.5pt" o:hralign="center" o:hrstd="t" o:hr="t"/>
        </w:pict>
      </w:r>
    </w:p>
    <w:bookmarkEnd w:id="63"/>
    <w:bookmarkStart w:id="66" w:name="article-7-levée-de-fonds"/>
    <w:p>
      <w:pPr>
        <w:pStyle w:val="Heading2"/>
      </w:pPr>
      <w:r>
        <w:t xml:space="preserve">Article 7 — Levée de Fonds</w:t>
      </w:r>
    </w:p>
    <w:p>
      <w:pPr>
        <w:pStyle w:val="FirstParagraph"/>
      </w:pPr>
      <w:r>
        <w:t xml:space="preserve">7.1. Toute Levée de Fonds est préparée avec information préalable des Associés</w:t>
      </w:r>
      <w:r>
        <w:t xml:space="preserve"> </w:t>
      </w:r>
      <w:r>
        <w:rPr>
          <w:b/>
          <w:bCs/>
        </w:rPr>
        <w:t xml:space="preserve">au moins quinze (15) jours</w:t>
      </w:r>
      <w:r>
        <w:t xml:space="preserve"> </w:t>
      </w:r>
      <w:r>
        <w:t xml:space="preserve">avant décision.</w:t>
      </w:r>
    </w:p>
    <w:p>
      <w:pPr>
        <w:pStyle w:val="BodyText"/>
      </w:pPr>
      <w:r>
        <w:t xml:space="preserve">7.2.</w:t>
      </w:r>
      <w:r>
        <w:t xml:space="preserve"> </w:t>
      </w:r>
      <w:r>
        <w:rPr>
          <w:b/>
          <w:bCs/>
        </w:rPr>
        <w:t xml:space="preserve">Traitement du Droit de Licence lors d’une Levée de Fonds</w:t>
      </w:r>
    </w:p>
    <w:p>
      <w:pPr>
        <w:pStyle w:val="BodyText"/>
      </w:pPr>
      <w:r>
        <w:t xml:space="preserve">Les Associés choisissent</w:t>
      </w:r>
      <w:r>
        <w:t xml:space="preserve"> </w:t>
      </w:r>
      <w:r>
        <w:rPr>
          <w:b/>
          <w:bCs/>
        </w:rPr>
        <w:t xml:space="preserve">l’une</w:t>
      </w:r>
      <w:r>
        <w:t xml:space="preserve"> </w:t>
      </w:r>
      <w:r>
        <w:t xml:space="preserve">des voies suivantes (décision selon majorité prévue à l’Article 4), avec</w:t>
      </w:r>
      <w:r>
        <w:t xml:space="preserve"> </w:t>
      </w:r>
      <w:r>
        <w:rPr>
          <w:b/>
          <w:bCs/>
        </w:rPr>
        <w:t xml:space="preserve">droit de veto d’Associé A</w:t>
      </w:r>
      <w:r>
        <w:t xml:space="preserve"> </w:t>
      </w:r>
      <w:r>
        <w:t xml:space="preserve">sur le choix de la voie 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01"/>
        <w:gridCol w:w="541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Voie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L1 — Licence maintenue</w:t>
            </w:r>
          </w:p>
        </w:tc>
        <w:tc>
          <w:tcPr/>
          <w:p>
            <w:pPr>
              <w:pStyle w:val="Compact"/>
            </w:pPr>
            <w:r>
              <w:t xml:space="preserve">Le Droit de Licence reste en l’état ; l’investisseur en est informé ; éventuelle</w:t>
            </w:r>
            <w:r>
              <w:t xml:space="preserve"> </w:t>
            </w:r>
            <w:r>
              <w:rPr>
                <w:b/>
                <w:bCs/>
              </w:rPr>
              <w:t xml:space="preserve">renégociation des redevances</w:t>
            </w:r>
            <w:r>
              <w:t xml:space="preserve"> </w:t>
            </w:r>
            <w:r>
              <w:t xml:space="preserve">(Article 9)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L2 — Extension / consolidation</w:t>
            </w:r>
          </w:p>
        </w:tc>
        <w:tc>
          <w:tcPr/>
          <w:p>
            <w:pPr>
              <w:pStyle w:val="Compact"/>
            </w:pPr>
            <w:r>
              <w:t xml:space="preserve">Apport ou cession à la Société de tout ou partie de la PI Réservée, à une valeur négociée (référence : Valeur Économique de Référence actualisée ou valorisation de la Levée), avec émission de titres au profit d’Associé 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L3 — Licence de niveau investisseur</w:t>
            </w:r>
            <w:r>
              <w:rPr>
                <w:rStyle w:val="FootnoteReference"/>
              </w:rPr>
              <w:footnoteReference w:id="64"/>
            </w:r>
          </w:p>
        </w:tc>
        <w:tc>
          <w:tcPr/>
          <w:p>
            <w:pPr>
              <w:pStyle w:val="Compact"/>
            </w:pPr>
            <w:r>
              <w:t xml:space="preserve">Avenant : durée longue, irrévocabilité limitée, séquestre du code</w:t>
            </w:r>
            <w:r>
              <w:rPr>
                <w:rStyle w:val="FootnoteReference"/>
              </w:rPr>
              <w:footnoteReference w:id="65"/>
            </w:r>
            <w:r>
              <w:t xml:space="preserve">, garanties de propriété intellectuelle — en contrepartie d’une</w:t>
            </w:r>
            <w:r>
              <w:t xml:space="preserve"> </w:t>
            </w:r>
            <w:r>
              <w:rPr>
                <w:b/>
                <w:bCs/>
              </w:rPr>
              <w:t xml:space="preserve">compensation</w:t>
            </w:r>
            <w:r>
              <w:t xml:space="preserve"> </w:t>
            </w:r>
            <w:r>
              <w:t xml:space="preserve">(titres et/ou paiement) au profit d’Associé A</w:t>
            </w:r>
          </w:p>
        </w:tc>
      </w:tr>
    </w:tbl>
    <w:p>
      <w:pPr>
        <w:pStyle w:val="BodyText"/>
      </w:pPr>
      <w:r>
        <w:t xml:space="preserve">7.3. Aucune Levée de Fonds ne peut imposer à Associé A une</w:t>
      </w:r>
      <w:r>
        <w:t xml:space="preserve"> </w:t>
      </w:r>
      <w:r>
        <w:rPr>
          <w:b/>
          <w:bCs/>
        </w:rPr>
        <w:t xml:space="preserve">cession gratuite</w:t>
      </w:r>
      <w:r>
        <w:t xml:space="preserve"> </w:t>
      </w:r>
      <w:r>
        <w:t xml:space="preserve">de la PI Réservée sans compensation équitable.</w:t>
      </w:r>
    </w:p>
    <w:p>
      <w:pPr>
        <w:pStyle w:val="BodyText"/>
      </w:pPr>
      <w:r>
        <w:t xml:space="preserve">7.4. Dilution : Associé A accepte une dilution</w:t>
      </w:r>
      <w:r>
        <w:t xml:space="preserve"> </w:t>
      </w:r>
      <w:r>
        <w:rPr>
          <w:b/>
          <w:bCs/>
        </w:rPr>
        <w:t xml:space="preserve">proportionnelle</w:t>
      </w:r>
      <w:r>
        <w:t xml:space="preserve"> </w:t>
      </w:r>
      <w:r>
        <w:t xml:space="preserve">comme les autres associés fondateurs, sous réserve de l’Article 6.2.b.</w:t>
      </w:r>
    </w:p>
    <w:p>
      <w:r>
        <w:pict>
          <v:rect style="width:0;height:1.5pt" o:hralign="center" o:hrstd="t" o:hr="t"/>
        </w:pict>
      </w:r>
    </w:p>
    <w:bookmarkEnd w:id="66"/>
    <w:bookmarkStart w:id="70" w:name="Xb97fd89a07f446d221f1b3b73284ca719ee4990"/>
    <w:p>
      <w:pPr>
        <w:pStyle w:val="Heading2"/>
      </w:pPr>
      <w:r>
        <w:t xml:space="preserve">Article 8 — Cession de la Société / Changement de Contrôle / Sortie</w:t>
      </w:r>
    </w:p>
    <w:p>
      <w:pPr>
        <w:pStyle w:val="FirstParagraph"/>
      </w:pPr>
      <w:r>
        <w:t xml:space="preserve">8.1. En cas de projet de Sortie ou de Changement de Contrôle, Associé A est informé dans les mêmes délais que les autres associés fondateurs.</w:t>
      </w:r>
    </w:p>
    <w:p>
      <w:pPr>
        <w:pStyle w:val="BodyText"/>
      </w:pPr>
      <w:r>
        <w:t xml:space="preserve">8.2.</w:t>
      </w:r>
      <w:r>
        <w:t xml:space="preserve"> </w:t>
      </w:r>
      <w:r>
        <w:rPr>
          <w:b/>
          <w:bCs/>
        </w:rPr>
        <w:t xml:space="preserve">Sort du Droit de Licence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04"/>
        <w:gridCol w:w="491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Situation</w:t>
            </w:r>
          </w:p>
        </w:tc>
        <w:tc>
          <w:tcPr/>
          <w:p>
            <w:pPr>
              <w:pStyle w:val="Compact"/>
            </w:pPr>
            <w:r>
              <w:t xml:space="preserve">Règle par défaut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Cession de</w:t>
            </w:r>
            <w:r>
              <w:t xml:space="preserve"> </w:t>
            </w:r>
            <w:r>
              <w:rPr>
                <w:b/>
                <w:bCs/>
              </w:rPr>
              <w:t xml:space="preserve">100 %</w:t>
            </w:r>
            <w:r>
              <w:t xml:space="preserve"> </w:t>
            </w:r>
            <w:r>
              <w:t xml:space="preserve">des titres / fusion-absorption</w:t>
            </w:r>
          </w:p>
        </w:tc>
        <w:tc>
          <w:tcPr/>
          <w:p>
            <w:pPr>
              <w:pStyle w:val="Compact"/>
            </w:pPr>
            <w:r>
              <w:t xml:space="preserve">Le Droit de Licence est</w:t>
            </w:r>
            <w:r>
              <w:t xml:space="preserve"> </w:t>
            </w:r>
            <w:r>
              <w:rPr>
                <w:b/>
                <w:bCs/>
              </w:rPr>
              <w:t xml:space="preserve">transféré</w:t>
            </w:r>
            <w:r>
              <w:t xml:space="preserve"> </w:t>
            </w:r>
            <w:r>
              <w:t xml:space="preserve">avec la Société</w:t>
            </w:r>
            <w:r>
              <w:t xml:space="preserve"> </w:t>
            </w:r>
            <w:r>
              <w:rPr>
                <w:b/>
                <w:bCs/>
              </w:rPr>
              <w:t xml:space="preserve">ou</w:t>
            </w:r>
            <w:r>
              <w:t xml:space="preserve"> </w:t>
            </w:r>
            <w:r>
              <w:t xml:space="preserve">converti en licence au profit du cessionnaire, selon le traité de cession ; Associé A peut exiger la voie</w:t>
            </w:r>
            <w:r>
              <w:t xml:space="preserve"> </w:t>
            </w:r>
            <w:r>
              <w:rPr>
                <w:b/>
                <w:bCs/>
              </w:rPr>
              <w:t xml:space="preserve">L2</w:t>
            </w:r>
            <w:r>
              <w:t xml:space="preserve"> </w:t>
            </w:r>
            <w:r>
              <w:t xml:space="preserve">(cession de PI Réservée contre prix) si le cessionnaire le demande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Cession partielle de titres sans Changement de Contrôle</w:t>
            </w:r>
          </w:p>
        </w:tc>
        <w:tc>
          <w:tcPr/>
          <w:p>
            <w:pPr>
              <w:pStyle w:val="Compact"/>
            </w:pPr>
            <w:r>
              <w:t xml:space="preserve">Droit de Licence</w:t>
            </w:r>
            <w:r>
              <w:t xml:space="preserve"> </w:t>
            </w:r>
            <w:r>
              <w:rPr>
                <w:b/>
                <w:bCs/>
              </w:rPr>
              <w:t xml:space="preserve">inchangé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Liquidation / dissolution</w:t>
            </w:r>
          </w:p>
        </w:tc>
        <w:tc>
          <w:tcPr/>
          <w:p>
            <w:pPr>
              <w:pStyle w:val="Compact"/>
            </w:pPr>
            <w:r>
              <w:t xml:space="preserve">Voir Article 9.4</w:t>
            </w:r>
          </w:p>
        </w:tc>
      </w:tr>
    </w:tbl>
    <w:p>
      <w:pPr>
        <w:pStyle w:val="BodyText"/>
      </w:pPr>
      <w:r>
        <w:t xml:space="preserve">8.3.</w:t>
      </w:r>
      <w:r>
        <w:t xml:space="preserve"> </w:t>
      </w:r>
      <w:r>
        <w:rPr>
          <w:b/>
          <w:bCs/>
        </w:rPr>
        <w:t xml:space="preserve">Droit de regard sur la propriété intellectuelle :</w:t>
      </w:r>
      <w:r>
        <w:t xml:space="preserve"> </w:t>
      </w:r>
      <w:r>
        <w:t xml:space="preserve">tout engagement de la Société sur la PI Réservée ou le Droit de Licence dans une salle de données</w:t>
      </w:r>
      <w:r>
        <w:rPr>
          <w:rStyle w:val="FootnoteReference"/>
        </w:rPr>
        <w:footnoteReference w:id="67"/>
      </w:r>
      <w:r>
        <w:t xml:space="preserve"> </w:t>
      </w:r>
      <w:r>
        <w:t xml:space="preserve">/ un contrat de cession d’actions</w:t>
      </w:r>
      <w:r>
        <w:rPr>
          <w:rStyle w:val="FootnoteReference"/>
        </w:rPr>
        <w:footnoteReference w:id="68"/>
      </w:r>
      <w:r>
        <w:t xml:space="preserve"> </w:t>
      </w:r>
      <w:r>
        <w:t xml:space="preserve">nécessite l’accord écrit d’Associé A s’il engage une cession de PI Réservée ou une exclusivité plus large que l’Annexe 2.</w:t>
      </w:r>
    </w:p>
    <w:p>
      <w:pPr>
        <w:pStyle w:val="BodyText"/>
      </w:pPr>
      <w:r>
        <w:t xml:space="preserve">8.4.</w:t>
      </w:r>
      <w:r>
        <w:t xml:space="preserve"> </w:t>
      </w:r>
      <w:r>
        <w:rPr>
          <w:b/>
          <w:bCs/>
        </w:rPr>
        <w:t xml:space="preserve">Droits de sortie conjointe et d’entraînement</w:t>
      </w:r>
      <w:r>
        <w:rPr>
          <w:rStyle w:val="FootnoteReference"/>
        </w:rPr>
        <w:footnoteReference w:id="69"/>
      </w:r>
      <w:r>
        <w:t xml:space="preserve"> </w:t>
      </w:r>
      <w:r>
        <w:t xml:space="preserve">(à rédiger selon usage) : mécanismes classiques entre A, B et C,</w:t>
      </w:r>
      <w:r>
        <w:t xml:space="preserve"> </w:t>
      </w:r>
      <w:r>
        <w:rPr>
          <w:b/>
          <w:bCs/>
        </w:rPr>
        <w:t xml:space="preserve">sans</w:t>
      </w:r>
      <w:r>
        <w:t xml:space="preserve"> </w:t>
      </w:r>
      <w:r>
        <w:t xml:space="preserve">priver Associé A des protections de propriété intellectuelle des Articles 7 et 9.</w:t>
      </w:r>
    </w:p>
    <w:p>
      <w:r>
        <w:pict>
          <v:rect style="width:0;height:1.5pt" o:hralign="center" o:hrstd="t" o:hr="t"/>
        </w:pict>
      </w:r>
    </w:p>
    <w:bookmarkEnd w:id="70"/>
    <w:bookmarkStart w:id="78" w:name="X96e38df61e0355190251e019250ea6f616c36f6"/>
    <w:p>
      <w:pPr>
        <w:pStyle w:val="Heading2"/>
      </w:pPr>
      <w:r>
        <w:t xml:space="preserve">Article 9 — Récupération, renégociation ou résiliation de la Licence</w:t>
      </w:r>
    </w:p>
    <w:bookmarkStart w:id="71" w:name="renégociation-amiable"/>
    <w:p>
      <w:pPr>
        <w:pStyle w:val="Heading3"/>
      </w:pPr>
      <w:r>
        <w:t xml:space="preserve">9.1 Renégociation amiable</w:t>
      </w:r>
    </w:p>
    <w:p>
      <w:pPr>
        <w:pStyle w:val="FirstParagraph"/>
      </w:pPr>
      <w:r>
        <w:t xml:space="preserve">À tout moment, Associé A peut demander une</w:t>
      </w:r>
      <w:r>
        <w:t xml:space="preserve"> </w:t>
      </w:r>
      <w:r>
        <w:rPr>
          <w:b/>
          <w:bCs/>
        </w:rPr>
        <w:t xml:space="preserve">renégociation</w:t>
      </w:r>
      <w:r>
        <w:t xml:space="preserve"> </w:t>
      </w:r>
      <w:r>
        <w:t xml:space="preserve">du Droit de Licence (redevances, durée, exclusivité, périmètre). Les Associés B et C s’engagent à négocier de bonne foi sous</w:t>
      </w:r>
      <w:r>
        <w:t xml:space="preserve"> </w:t>
      </w:r>
      <w:r>
        <w:rPr>
          <w:b/>
          <w:bCs/>
        </w:rPr>
        <w:t xml:space="preserve">trente (30) jours</w:t>
      </w:r>
      <w:r>
        <w:t xml:space="preserve">.</w:t>
      </w:r>
    </w:p>
    <w:bookmarkEnd w:id="71"/>
    <w:bookmarkStart w:id="73" w:name="résiliation-pour-faute-de-la-société"/>
    <w:p>
      <w:pPr>
        <w:pStyle w:val="Heading3"/>
      </w:pPr>
      <w:r>
        <w:t xml:space="preserve">9.2 Résiliation pour faute de la Société</w:t>
      </w:r>
    </w:p>
    <w:p>
      <w:pPr>
        <w:pStyle w:val="FirstParagraph"/>
      </w:pPr>
      <w:r>
        <w:t xml:space="preserve">Associé A peut résilier le Droit de Licence (ou lever l’exclusivité) en cas de :</w:t>
      </w:r>
    </w:p>
    <w:p>
      <w:pPr>
        <w:pStyle w:val="Compact"/>
        <w:numPr>
          <w:ilvl w:val="0"/>
          <w:numId w:val="1010"/>
        </w:numPr>
      </w:pPr>
      <w:r>
        <w:t xml:space="preserve">cessation d’activité / dissolution ;</w:t>
      </w:r>
    </w:p>
    <w:p>
      <w:pPr>
        <w:pStyle w:val="Compact"/>
        <w:numPr>
          <w:ilvl w:val="0"/>
          <w:numId w:val="1010"/>
        </w:numPr>
      </w:pPr>
      <w:r>
        <w:t xml:space="preserve">manquement grave non réparé sous</w:t>
      </w:r>
      <w:r>
        <w:t xml:space="preserve"> </w:t>
      </w:r>
      <w:r>
        <w:rPr>
          <w:b/>
          <w:bCs/>
        </w:rPr>
        <w:t xml:space="preserve">trente (30) jours</w:t>
      </w:r>
      <w:r>
        <w:t xml:space="preserve"> </w:t>
      </w:r>
      <w:r>
        <w:t xml:space="preserve">après mise en demeure (non-paiement de redevances dues, sous-licence prohibée, atteinte à la propriété intellectuelle, défaut de sécurité caractérisé après alerte) ;</w:t>
      </w:r>
    </w:p>
    <w:p>
      <w:pPr>
        <w:pStyle w:val="Compact"/>
        <w:numPr>
          <w:ilvl w:val="0"/>
          <w:numId w:val="1010"/>
        </w:numPr>
      </w:pPr>
      <w:r>
        <w:t xml:space="preserve">Changement de Contrôle au profit d’un</w:t>
      </w:r>
      <w:r>
        <w:t xml:space="preserve"> </w:t>
      </w:r>
      <w:r>
        <w:rPr>
          <w:b/>
          <w:bCs/>
        </w:rPr>
        <w:t xml:space="preserve">concurrent direct</w:t>
      </w:r>
      <w:r>
        <w:t xml:space="preserve"> </w:t>
      </w:r>
      <w:r>
        <w:t xml:space="preserve">d’Associé A, sauf accord écrit d’Associé A.</w:t>
      </w:r>
    </w:p>
    <w:p>
      <w:pPr>
        <w:pStyle w:val="FirstParagraph"/>
      </w:pPr>
      <w:r>
        <w:rPr>
          <w:b/>
          <w:bCs/>
        </w:rPr>
        <w:t xml:space="preserve">Effets :</w:t>
      </w:r>
      <w:r>
        <w:t xml:space="preserve"> </w:t>
      </w:r>
      <w:r>
        <w:t xml:space="preserve">fin de l’exclusivité et/ou du droit d’exploitation à l’issue d’une période de transition de</w:t>
      </w:r>
      <w:r>
        <w:t xml:space="preserve"> </w:t>
      </w:r>
      <w:r>
        <w:rPr>
          <w:rStyle w:val="VerbatimChar"/>
          <w:b/>
          <w:bCs/>
        </w:rPr>
        <w:t xml:space="preserve">[90]</w:t>
      </w:r>
      <w:r>
        <w:rPr>
          <w:b/>
          <w:bCs/>
        </w:rPr>
        <w:t xml:space="preserve"> </w:t>
      </w:r>
      <w:r>
        <w:rPr>
          <w:b/>
          <w:bCs/>
        </w:rPr>
        <w:t xml:space="preserve">jours</w:t>
      </w:r>
      <w:r>
        <w:t xml:space="preserve"> </w:t>
      </w:r>
      <w:r>
        <w:t xml:space="preserve">pour migrer les clients (période de désengagement</w:t>
      </w:r>
      <w:r>
        <w:rPr>
          <w:rStyle w:val="FootnoteReference"/>
        </w:rPr>
        <w:footnoteReference w:id="72"/>
      </w:r>
      <w:r>
        <w:t xml:space="preserve">), sauf faute grave justifiant une fin plus rapide.</w:t>
      </w:r>
    </w:p>
    <w:bookmarkEnd w:id="73"/>
    <w:bookmarkStart w:id="75" w:name="X91028a52dcb2f1ec1829adf4b20a1684799736d"/>
    <w:p>
      <w:pPr>
        <w:pStyle w:val="Heading3"/>
      </w:pPr>
      <w:r>
        <w:t xml:space="preserve">9.3 Résiliation à l’initiative d’Associé A (sans faute)</w:t>
      </w:r>
    </w:p>
    <w:p>
      <w:pPr>
        <w:pStyle w:val="FirstParagraph"/>
      </w:pPr>
      <w:r>
        <w:t xml:space="preserve">Associé A peut résilier le Droit de Licence avec un préavis de</w:t>
      </w:r>
      <w:r>
        <w:t xml:space="preserve"> </w:t>
      </w:r>
      <w:r>
        <w:rPr>
          <w:rStyle w:val="VerbatimChar"/>
          <w:b/>
          <w:bCs/>
        </w:rPr>
        <w:t xml:space="preserve">[6]</w:t>
      </w:r>
      <w:r>
        <w:rPr>
          <w:b/>
          <w:bCs/>
        </w:rPr>
        <w:t xml:space="preserve"> </w:t>
      </w:r>
      <w:r>
        <w:rPr>
          <w:b/>
          <w:bCs/>
        </w:rPr>
        <w:t xml:space="preserve">mois</w:t>
      </w:r>
      <w:r>
        <w:t xml:space="preserve">, à condition de :</w:t>
      </w:r>
    </w:p>
    <w:p>
      <w:pPr>
        <w:pStyle w:val="Compact"/>
        <w:numPr>
          <w:ilvl w:val="0"/>
          <w:numId w:val="1011"/>
        </w:numPr>
      </w:pPr>
      <w:r>
        <w:t xml:space="preserve">proposer un</w:t>
      </w:r>
      <w:r>
        <w:t xml:space="preserve"> </w:t>
      </w:r>
      <w:r>
        <w:rPr>
          <w:b/>
          <w:bCs/>
        </w:rPr>
        <w:t xml:space="preserve">rachat</w:t>
      </w:r>
      <w:r>
        <w:t xml:space="preserve"> </w:t>
      </w:r>
      <w:r>
        <w:t xml:space="preserve">par la Société de la poursuite d’exploitation (cession de propriété intellectuelle ou nouvelle licence) à un prix au moins égal à la Valeur Économique de Référence actualisée,</w:t>
      </w:r>
      <w:r>
        <w:t xml:space="preserve"> </w:t>
      </w:r>
      <w:r>
        <w:rPr>
          <w:b/>
          <w:bCs/>
        </w:rPr>
        <w:t xml:space="preserve">ou</w:t>
      </w:r>
    </w:p>
    <w:p>
      <w:pPr>
        <w:pStyle w:val="Compact"/>
        <w:numPr>
          <w:ilvl w:val="0"/>
          <w:numId w:val="1011"/>
        </w:numPr>
      </w:pPr>
      <w:r>
        <w:t xml:space="preserve">verser / accepter une indemnité de transition négociée (plafond / plancher en Annexe 4),</w:t>
      </w:r>
    </w:p>
    <w:p>
      <w:pPr>
        <w:pStyle w:val="FirstParagraph"/>
      </w:pPr>
      <w:r>
        <w:t xml:space="preserve">et sous réserve que cette résiliation ne soit pas utilisée de manière abusive pour frustrer une Sortie déjà engagée de bonne foi (période de gel</w:t>
      </w:r>
      <w:r>
        <w:rPr>
          <w:rStyle w:val="FootnoteReference"/>
        </w:rPr>
        <w:footnoteReference w:id="74"/>
      </w:r>
      <w:r>
        <w:t xml:space="preserve"> </w:t>
      </w:r>
      <w:r>
        <w:t xml:space="preserve">Sortie :</w:t>
      </w:r>
      <w:r>
        <w:t xml:space="preserve"> </w:t>
      </w:r>
      <w:r>
        <w:rPr>
          <w:rStyle w:val="VerbatimChar"/>
        </w:rPr>
        <w:t xml:space="preserve">[90]</w:t>
      </w:r>
      <w:r>
        <w:t xml:space="preserve"> </w:t>
      </w:r>
      <w:r>
        <w:t xml:space="preserve">jours).</w:t>
      </w:r>
    </w:p>
    <w:bookmarkEnd w:id="75"/>
    <w:bookmarkStart w:id="76" w:name="récupération-en-cas-de-liquidation"/>
    <w:p>
      <w:pPr>
        <w:pStyle w:val="Heading3"/>
      </w:pPr>
      <w:r>
        <w:t xml:space="preserve">9.4 Récupération en cas de liquidation</w:t>
      </w:r>
    </w:p>
    <w:p>
      <w:pPr>
        <w:pStyle w:val="FirstParagraph"/>
      </w:pPr>
      <w:r>
        <w:t xml:space="preserve">En cas de dissolution / liquidation de la Société :</w:t>
      </w:r>
    </w:p>
    <w:p>
      <w:pPr>
        <w:pStyle w:val="Compact"/>
        <w:numPr>
          <w:ilvl w:val="0"/>
          <w:numId w:val="1012"/>
        </w:numPr>
      </w:pPr>
      <w:r>
        <w:t xml:space="preserve">le Droit de Licence</w:t>
      </w:r>
      <w:r>
        <w:t xml:space="preserve"> </w:t>
      </w:r>
      <w:r>
        <w:rPr>
          <w:b/>
          <w:bCs/>
        </w:rPr>
        <w:t xml:space="preserve">prend fin</w:t>
      </w:r>
      <w:r>
        <w:t xml:space="preserve"> </w:t>
      </w:r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la PI Réservée reste chez Associé A ;</w:t>
      </w:r>
    </w:p>
    <w:p>
      <w:pPr>
        <w:pStyle w:val="Compact"/>
        <w:numPr>
          <w:ilvl w:val="0"/>
          <w:numId w:val="1012"/>
        </w:numPr>
      </w:pPr>
      <w:r>
        <w:t xml:space="preserve">les développements réalisés</w:t>
      </w:r>
      <w:r>
        <w:t xml:space="preserve"> </w:t>
      </w:r>
      <w:r>
        <w:rPr>
          <w:b/>
          <w:bCs/>
        </w:rPr>
        <w:t xml:space="preserve">par ou pour</w:t>
      </w:r>
      <w:r>
        <w:t xml:space="preserve"> </w:t>
      </w:r>
      <w:r>
        <w:t xml:space="preserve">la Société pendant la licence : régime à fixer en Annexe 2 (recommandation :</w:t>
      </w:r>
      <w:r>
        <w:t xml:space="preserve"> </w:t>
      </w:r>
      <w:r>
        <w:rPr>
          <w:b/>
          <w:bCs/>
        </w:rPr>
        <w:t xml:space="preserve">cession automatique</w:t>
      </w:r>
      <w:r>
        <w:t xml:space="preserve"> </w:t>
      </w:r>
      <w:r>
        <w:t xml:space="preserve">à Associé A des droits sur les développements spécifiques AIMEDIArt, ou licence rétrovisée — à trancher avec l’avocat).</w:t>
      </w:r>
    </w:p>
    <w:bookmarkEnd w:id="76"/>
    <w:bookmarkStart w:id="77" w:name="X91e13b8e46a7d797dcf398493bee0cf5edd13bc"/>
    <w:p>
      <w:pPr>
        <w:pStyle w:val="Heading3"/>
      </w:pPr>
      <w:r>
        <w:t xml:space="preserve">9.5 Séquestre du code (option recommandée dès Levée de Fonds)</w:t>
      </w:r>
    </w:p>
    <w:p>
      <w:pPr>
        <w:pStyle w:val="FirstParagraph"/>
      </w:pPr>
      <w:r>
        <w:t xml:space="preserve">Sur demande d’un investisseur ou d’Associé A, mise sous</w:t>
      </w:r>
      <w:r>
        <w:t xml:space="preserve"> </w:t>
      </w:r>
      <w:r>
        <w:rPr>
          <w:b/>
          <w:bCs/>
        </w:rPr>
        <w:t xml:space="preserve">séquestre</w:t>
      </w:r>
      <w:r>
        <w:t xml:space="preserve"> </w:t>
      </w:r>
      <w:r>
        <w:t xml:space="preserve">(escrow) du code source auprès d’un tiers, avec conditions de libération limitées (faillite, manquement grave, etc.).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79" w:name="Xcdba31a1ba976579b770e73eb7506b209c0dab3"/>
    <w:p>
      <w:pPr>
        <w:pStyle w:val="Heading2"/>
      </w:pPr>
      <w:r>
        <w:t xml:space="preserve">Article 10 — Cession des titres des associés</w:t>
      </w:r>
    </w:p>
    <w:p>
      <w:pPr>
        <w:pStyle w:val="FirstParagraph"/>
      </w:pPr>
      <w:r>
        <w:t xml:space="preserve">10.1. Agrément</w:t>
      </w:r>
      <w:r>
        <w:t xml:space="preserve"> </w:t>
      </w:r>
      <w:r>
        <w:rPr>
          <w:rStyle w:val="VerbatimChar"/>
        </w:rPr>
        <w:t xml:space="preserve">[statutaire / pacte]</w:t>
      </w:r>
      <w:r>
        <w:t xml:space="preserve"> </w:t>
      </w:r>
      <w:r>
        <w:t xml:space="preserve">pour toute cession à un tiers.</w:t>
      </w:r>
    </w:p>
    <w:p>
      <w:pPr>
        <w:pStyle w:val="BodyText"/>
      </w:pPr>
      <w:r>
        <w:t xml:space="preserve">10.2. Droit de préemption des associés restants.</w:t>
      </w:r>
    </w:p>
    <w:p>
      <w:pPr>
        <w:pStyle w:val="BodyText"/>
      </w:pPr>
      <w:r>
        <w:t xml:space="preserve">10.3. Toute cession de titres d’Associé A</w:t>
      </w:r>
      <w:r>
        <w:t xml:space="preserve"> </w:t>
      </w:r>
      <w:r>
        <w:rPr>
          <w:b/>
          <w:bCs/>
        </w:rPr>
        <w:t xml:space="preserve">ne cède pas</w:t>
      </w:r>
      <w:r>
        <w:t xml:space="preserve"> </w:t>
      </w:r>
      <w:r>
        <w:t xml:space="preserve">automatiquement la PI Réservée ; seuls les droits sociétaires sont cédés, sauf acte séparé sur la propriété intellectuelle.</w:t>
      </w:r>
    </w:p>
    <w:p>
      <w:r>
        <w:pict>
          <v:rect style="width:0;height:1.5pt" o:hralign="center" o:hrstd="t" o:hr="t"/>
        </w:pict>
      </w:r>
    </w:p>
    <w:bookmarkEnd w:id="79"/>
    <w:bookmarkStart w:id="81" w:name="article-11-confidentialité"/>
    <w:p>
      <w:pPr>
        <w:pStyle w:val="Heading2"/>
      </w:pPr>
      <w:r>
        <w:t xml:space="preserve">Article 11 — Confidentialité</w:t>
      </w:r>
    </w:p>
    <w:p>
      <w:pPr>
        <w:pStyle w:val="FirstParagraph"/>
      </w:pPr>
      <w:r>
        <w:t xml:space="preserve">Les Associés et la Société préservent la confidentialité du code, de la documentation, des clés, des données clients et du présent pacte (sauf obligations légales / Levée de Fonds sous accord de confidentialité</w:t>
      </w:r>
      <w:r>
        <w:rPr>
          <w:rStyle w:val="FootnoteReference"/>
        </w:rPr>
        <w:footnoteReference w:id="80"/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81"/>
    <w:bookmarkStart w:id="82" w:name="article-12-durée-loi-litiges"/>
    <w:p>
      <w:pPr>
        <w:pStyle w:val="Heading2"/>
      </w:pPr>
      <w:r>
        <w:t xml:space="preserve">Article 12 — Durée, loi, litiges</w:t>
      </w:r>
    </w:p>
    <w:p>
      <w:pPr>
        <w:pStyle w:val="FirstParagraph"/>
      </w:pPr>
      <w:r>
        <w:t xml:space="preserve">12.1. Le pacte est conclu pour la durée de la Société, sauf résiliation d’un commun accord.</w:t>
      </w:r>
    </w:p>
    <w:p>
      <w:pPr>
        <w:pStyle w:val="BodyText"/>
      </w:pPr>
      <w:r>
        <w:t xml:space="preserve">12.2. Loi française. Compétence : tribunaux de</w:t>
      </w:r>
      <w:r>
        <w:t xml:space="preserve"> </w:t>
      </w:r>
      <w:r>
        <w:rPr>
          <w:rStyle w:val="VerbatimChar"/>
        </w:rPr>
        <w:t xml:space="preserve">[ville]</w:t>
      </w:r>
      <w:r>
        <w:t xml:space="preserve">, sous réserve de médiation préalable de</w:t>
      </w:r>
      <w:r>
        <w:t xml:space="preserve"> </w:t>
      </w:r>
      <w:r>
        <w:rPr>
          <w:rStyle w:val="VerbatimChar"/>
        </w:rPr>
        <w:t xml:space="preserve">[X]</w:t>
      </w:r>
      <w:r>
        <w:t xml:space="preserve"> </w:t>
      </w:r>
      <w:r>
        <w:t xml:space="preserve">jours.</w:t>
      </w:r>
    </w:p>
    <w:p>
      <w:r>
        <w:pict>
          <v:rect style="width:0;height:1.5pt" o:hralign="center" o:hrstd="t" o:hr="t"/>
        </w:pict>
      </w:r>
    </w:p>
    <w:bookmarkEnd w:id="82"/>
    <w:bookmarkEnd w:id="83"/>
    <w:bookmarkStart w:id="86" w:name="annexes-à-joindre"/>
    <w:p>
      <w:pPr>
        <w:pStyle w:val="Heading1"/>
      </w:pPr>
      <w:r>
        <w:t xml:space="preserve">Annexes (à joindre)</w:t>
      </w:r>
    </w:p>
    <w:p>
      <w:pPr>
        <w:pStyle w:val="FirstParagraph"/>
      </w:pPr>
      <w:r>
        <w:t xml:space="preserve">Les cinq annexes sont rédigées dans le fichier compagnon :</w:t>
      </w:r>
    </w:p>
    <w:p>
      <w:pPr>
        <w:pStyle w:val="BodyText"/>
      </w:pPr>
      <w:r>
        <w:rPr>
          <w:rStyle w:val="VerbatimChar"/>
          <w:b/>
          <w:bCs/>
        </w:rPr>
        <w:t xml:space="preserve">docs/aimediart-valorisation-et-pacte-associes-annexes.md</w:t>
      </w:r>
      <w:r>
        <w:br/>
      </w:r>
      <w:r>
        <w:t xml:space="preserve">(et version Word :</w:t>
      </w:r>
      <w:r>
        <w:t xml:space="preserve"> </w:t>
      </w:r>
      <w:r>
        <w:rPr>
          <w:rStyle w:val="VerbatimChar"/>
          <w:b/>
          <w:bCs/>
        </w:rPr>
        <w:t xml:space="preserve">docs/aimediart-valorisation-et-pacte-associes-annexes.docx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727"/>
        <w:gridCol w:w="41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Annexe</w:t>
            </w:r>
          </w:p>
        </w:tc>
        <w:tc>
          <w:tcPr/>
          <w:p>
            <w:pPr>
              <w:pStyle w:val="Compact"/>
            </w:pPr>
            <w:r>
              <w:t xml:space="preserve">Contenu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Annexe 1</w:t>
            </w:r>
          </w:p>
        </w:tc>
        <w:tc>
          <w:tcPr/>
          <w:p>
            <w:pPr>
              <w:pStyle w:val="Compact"/>
            </w:pPr>
            <w:r>
              <w:t xml:space="preserve">Description technique d’AIMEDIArt (modules, socle technique</w:t>
            </w:r>
            <w:r>
              <w:rPr>
                <w:rStyle w:val="FootnoteReference"/>
              </w:rPr>
              <w:footnoteReference w:id="84"/>
            </w:r>
            <w:r>
              <w:t xml:space="preserve">, dépôts, domaines)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Annexe 2</w:t>
            </w:r>
          </w:p>
        </w:tc>
        <w:tc>
          <w:tcPr/>
          <w:p>
            <w:pPr>
              <w:pStyle w:val="Compact"/>
            </w:pPr>
            <w:r>
              <w:t xml:space="preserve">Acte d’apport du Droit de Licence + contrat de licence détaillé (périmètre, exclusivité, durée, territoire, redevances, développements futurs, logiciels libres</w:t>
            </w:r>
            <w:r>
              <w:rPr>
                <w:rStyle w:val="FootnoteReference"/>
              </w:rPr>
              <w:footnoteReference w:id="85"/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Annexe 3</w:t>
            </w:r>
          </w:p>
        </w:tc>
        <w:tc>
          <w:tcPr/>
          <w:p>
            <w:pPr>
              <w:pStyle w:val="Compact"/>
            </w:pPr>
            <w:r>
              <w:t xml:space="preserve">Liste des décisions à veto / majorité renforcée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Annexe 4</w:t>
            </w:r>
          </w:p>
        </w:tc>
        <w:tc>
          <w:tcPr/>
          <w:p>
            <w:pPr>
              <w:pStyle w:val="Compact"/>
            </w:pPr>
            <w:r>
              <w:t xml:space="preserve">Formules de rattrapage, bonus de sortie, indemnités Article 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Annexe 5</w:t>
            </w:r>
          </w:p>
        </w:tc>
        <w:tc>
          <w:tcPr/>
          <w:p>
            <w:pPr>
              <w:pStyle w:val="Compact"/>
            </w:pPr>
            <w:r>
              <w:t xml:space="preserve">Prise de connaissance signée de la valorisation (Partie 1)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6"/>
    <w:bookmarkStart w:id="87" w:name="synthèse-opérationnelle"/>
    <w:p>
      <w:pPr>
        <w:pStyle w:val="Heading1"/>
      </w:pPr>
      <w:r>
        <w:t xml:space="preserve">Synthèse opérationnelle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88"/>
        <w:gridCol w:w="6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Sujet</w:t>
            </w:r>
          </w:p>
        </w:tc>
        <w:tc>
          <w:tcPr/>
          <w:p>
            <w:pPr>
              <w:pStyle w:val="Compact"/>
            </w:pPr>
            <w:r>
              <w:t xml:space="preserve">Position du brouillon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Valeur « réelle » AIMEDIArt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~190 000 €</w:t>
            </w:r>
            <w:r>
              <w:t xml:space="preserve"> </w:t>
            </w:r>
            <w:r>
              <w:t xml:space="preserve">(reconstitution, sans plan d’affaires)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Apport au capital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Droit de licence exclusif à 5 000 €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b/>
                <w:bCs/>
              </w:rPr>
              <w:t xml:space="preserve">100 €</w:t>
            </w:r>
            <w:r>
              <w:t xml:space="preserve"> </w:t>
            </w:r>
            <w:r>
              <w:t xml:space="preserve">en numéraire (A) ;</w:t>
            </w:r>
            <w:r>
              <w:t xml:space="preserve"> </w:t>
            </w:r>
            <w:r>
              <w:rPr>
                <w:b/>
                <w:bCs/>
              </w:rPr>
              <w:t xml:space="preserve">4 900 €</w:t>
            </w:r>
            <w:r>
              <w:t xml:space="preserve"> </w:t>
            </w:r>
            <w:r>
              <w:t xml:space="preserve">en numéraire (B+C)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Cadeau économique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Assumé</w:t>
            </w:r>
            <w:r>
              <w:t xml:space="preserve"> </w:t>
            </w:r>
            <w:r>
              <w:t xml:space="preserve">mais</w:t>
            </w:r>
            <w:r>
              <w:t xml:space="preserve"> </w:t>
            </w:r>
            <w:r>
              <w:rPr>
                <w:b/>
                <w:bCs/>
              </w:rPr>
              <w:t xml:space="preserve">encadré</w:t>
            </w:r>
            <w:r>
              <w:t xml:space="preserve"> </w:t>
            </w:r>
            <w:r>
              <w:t xml:space="preserve">(Articles 6–9)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Levée de fonds</w:t>
            </w:r>
          </w:p>
        </w:tc>
        <w:tc>
          <w:tcPr/>
          <w:p>
            <w:pPr>
              <w:pStyle w:val="Compact"/>
            </w:pPr>
            <w:r>
              <w:t xml:space="preserve">Voies L1 / L2 / L3 + veto A sur cession gratuite de propriété intellectuelle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Vente / contrôle</w:t>
            </w:r>
          </w:p>
        </w:tc>
        <w:tc>
          <w:tcPr/>
          <w:p>
            <w:pPr>
              <w:pStyle w:val="Compact"/>
            </w:pPr>
            <w:r>
              <w:t xml:space="preserve">Transfert ou consolidation de propriété intellectuelle avec compensation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Récupération / renégociation</w:t>
            </w:r>
          </w:p>
        </w:tc>
        <w:tc>
          <w:tcPr/>
          <w:p>
            <w:pPr>
              <w:pStyle w:val="Compact"/>
            </w:pPr>
            <w:r>
              <w:t xml:space="preserve">Amiable, faute, préavis 6 mois, liquidation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Commissaire aux apports</w:t>
            </w:r>
          </w:p>
        </w:tc>
        <w:tc>
          <w:tcPr/>
          <w:p>
            <w:pPr>
              <w:pStyle w:val="Compact"/>
            </w:pPr>
            <w:r>
              <w:t xml:space="preserve">Dispense</w:t>
            </w:r>
            <w:r>
              <w:t xml:space="preserve"> </w:t>
            </w:r>
            <w:r>
              <w:rPr>
                <w:b/>
                <w:bCs/>
              </w:rPr>
              <w:t xml:space="preserve">possible</w:t>
            </w:r>
            <w:r>
              <w:t xml:space="preserve"> </w:t>
            </w:r>
            <w:r>
              <w:t xml:space="preserve">(5 k€ = moitié de 10 k€) — à valider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Prochaine étape recommandée :</w:t>
      </w:r>
      <w:r>
        <w:t xml:space="preserve"> </w:t>
      </w:r>
      <w:r>
        <w:t xml:space="preserve">faire relire ce brouillon par un</w:t>
      </w:r>
      <w:r>
        <w:t xml:space="preserve"> </w:t>
      </w:r>
      <w:r>
        <w:rPr>
          <w:b/>
          <w:bCs/>
        </w:rPr>
        <w:t xml:space="preserve">avocat en droit des sociétés</w:t>
      </w:r>
      <w:r>
        <w:t xml:space="preserve"> </w:t>
      </w:r>
      <w:r>
        <w:t xml:space="preserve">pour (i) caler SAS vs SARL, (ii) rédiger l’acte d’apport + licence Annexe 2, (iii) vérifier la dispense de commissaire aux apports, (iv) articuler pacte / statuts.</w:t>
      </w:r>
    </w:p>
    <w:p>
      <w:r>
        <w:pict>
          <v:rect style="width:0;height:1.5pt" o:hralign="center" o:hrstd="t" o:hr="t"/>
        </w:pict>
      </w:r>
    </w:p>
    <w:bookmarkEnd w:id="87"/>
    <w:bookmarkStart w:id="88" w:name="X9943794b81db0c9b9bb469040670c6c5af4c1c4"/>
    <w:p>
      <w:pPr>
        <w:pStyle w:val="Heading1"/>
      </w:pPr>
      <w:r>
        <w:t xml:space="preserve">Notes — glossaire des acronymes et anglicismes</w:t>
      </w:r>
    </w:p>
    <w:bookmarkEnd w:id="8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  <w:bCs/>
        </w:rPr>
        <w:t xml:space="preserve">Commissaire aux apports</w:t>
      </w:r>
      <w:r>
        <w:t xml:space="preserve"> </w:t>
      </w:r>
      <w:r>
        <w:t xml:space="preserve">— professionnel indépendant chargé d’apprécier la valeur des apports en nature lors de la constitution ou d’une augmentation de capital d’une société.</w:t>
      </w:r>
    </w:p>
  </w:footnote>
  <w:footnote w:id="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  <w:bCs/>
        </w:rPr>
        <w:t xml:space="preserve">PI</w:t>
      </w:r>
      <w:r>
        <w:t xml:space="preserve"> </w:t>
      </w:r>
      <w:r>
        <w:t xml:space="preserve">— propriété intellectuelle (droits d’auteur sur le logiciel, marques, savoir-faire, etc.).</w:t>
      </w:r>
    </w:p>
  </w:footnote>
  <w:footnote w:id="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  <w:bCs/>
        </w:rPr>
        <w:t xml:space="preserve">Numéraire</w:t>
      </w:r>
      <w:r>
        <w:t xml:space="preserve"> </w:t>
      </w:r>
      <w:r>
        <w:t xml:space="preserve">— apport en argent (espèces / virement), par opposition à un apport en nature.</w:t>
      </w:r>
    </w:p>
  </w:footnote>
  <w:footnote w:id="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  <w:bCs/>
        </w:rPr>
        <w:t xml:space="preserve">SAS</w:t>
      </w:r>
      <w:r>
        <w:t xml:space="preserve"> </w:t>
      </w:r>
      <w:r>
        <w:t xml:space="preserve">— société par actions simplifiée.</w:t>
      </w:r>
    </w:p>
  </w:footnote>
  <w:footnote w:id="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  <w:bCs/>
        </w:rPr>
        <w:t xml:space="preserve">SARL</w:t>
      </w:r>
      <w:r>
        <w:t xml:space="preserve"> </w:t>
      </w:r>
      <w:r>
        <w:t xml:space="preserve">— société à responsabilité limitée.</w:t>
      </w:r>
    </w:p>
  </w:footnote>
  <w:footnote w:id="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  <w:bCs/>
        </w:rPr>
        <w:t xml:space="preserve">Web-app / application web</w:t>
      </w:r>
      <w:r>
        <w:t xml:space="preserve"> </w:t>
      </w:r>
      <w:r>
        <w:t xml:space="preserve">— logiciel accessible via un navigateur internet, sans installation classique sur l’ordinateur de l’utilisateur.</w:t>
      </w:r>
    </w:p>
  </w:footnote>
  <w:footnote w:id="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  <w:bCs/>
        </w:rPr>
        <w:t xml:space="preserve">SaaS</w:t>
      </w:r>
      <w:r>
        <w:t xml:space="preserve"> </w:t>
      </w:r>
      <w:r>
        <w:t xml:space="preserve">(</w:t>
      </w:r>
      <w:r>
        <w:rPr>
          <w:i/>
          <w:iCs/>
        </w:rPr>
        <w:t xml:space="preserve">Software as a Service</w:t>
      </w:r>
      <w:r>
        <w:t xml:space="preserve">) — logiciel fourni comme un service en ligne (abonnement), hébergé par l’éditeur, opposé à un logiciel installé chez le client.</w:t>
      </w:r>
    </w:p>
  </w:footnote>
  <w:footnote w:id="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  <w:bCs/>
        </w:rPr>
        <w:t xml:space="preserve">IA</w:t>
      </w:r>
      <w:r>
        <w:t xml:space="preserve"> </w:t>
      </w:r>
      <w:r>
        <w:t xml:space="preserve">— intelligence artificielle.</w:t>
      </w:r>
    </w:p>
  </w:footnote>
  <w:footnote w:id="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  <w:bCs/>
        </w:rPr>
        <w:t xml:space="preserve">Front</w:t>
      </w:r>
      <w:r>
        <w:t xml:space="preserve"> </w:t>
      </w:r>
      <w:r>
        <w:t xml:space="preserve">(</w:t>
      </w:r>
      <w:r>
        <w:rPr>
          <w:i/>
          <w:iCs/>
        </w:rPr>
        <w:t xml:space="preserve">front-end</w:t>
      </w:r>
      <w:r>
        <w:t xml:space="preserve">) — partie visible de l’application (écrans, interface utilisateur).</w:t>
      </w:r>
    </w:p>
  </w:footnote>
  <w:footnote w:id="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  <w:bCs/>
        </w:rPr>
        <w:t xml:space="preserve">Back</w:t>
      </w:r>
      <w:r>
        <w:t xml:space="preserve"> </w:t>
      </w:r>
      <w:r>
        <w:t xml:space="preserve">(</w:t>
      </w:r>
      <w:r>
        <w:rPr>
          <w:i/>
          <w:iCs/>
        </w:rPr>
        <w:t xml:space="preserve">back-end</w:t>
      </w:r>
      <w:r>
        <w:t xml:space="preserve">) — partie serveur de l’application (traitements, base de données, API).</w:t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  <w:bCs/>
        </w:rPr>
        <w:t xml:space="preserve">i18n</w:t>
      </w:r>
      <w:r>
        <w:t xml:space="preserve"> </w:t>
      </w:r>
      <w:r>
        <w:t xml:space="preserve">(</w:t>
      </w:r>
      <w:r>
        <w:rPr>
          <w:i/>
          <w:iCs/>
        </w:rPr>
        <w:t xml:space="preserve">internationalization</w:t>
      </w:r>
      <w:r>
        <w:t xml:space="preserve">) — internationalisation : capacité du logiciel à gérer plusieurs langues et formats locaux.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  <w:bCs/>
        </w:rPr>
        <w:t xml:space="preserve">TTS</w:t>
      </w:r>
      <w:r>
        <w:t xml:space="preserve"> </w:t>
      </w:r>
      <w:r>
        <w:t xml:space="preserve">(</w:t>
      </w:r>
      <w:r>
        <w:rPr>
          <w:i/>
          <w:iCs/>
        </w:rPr>
        <w:t xml:space="preserve">Text-To-Speech</w:t>
      </w:r>
      <w:r>
        <w:t xml:space="preserve">) — synthèse vocale : transformation d’un texte écrit en audio parlé.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  <w:bCs/>
        </w:rPr>
        <w:t xml:space="preserve">QR</w:t>
      </w:r>
      <w:r>
        <w:t xml:space="preserve"> </w:t>
      </w:r>
      <w:r>
        <w:t xml:space="preserve">(</w:t>
      </w:r>
      <w:r>
        <w:rPr>
          <w:i/>
          <w:iCs/>
        </w:rPr>
        <w:t xml:space="preserve">Quick Response</w:t>
      </w:r>
      <w:r>
        <w:t xml:space="preserve">) — code-barres en deux dimensions scannable par un téléphone.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  <w:bCs/>
        </w:rPr>
        <w:t xml:space="preserve">GED</w:t>
      </w:r>
      <w:r>
        <w:t xml:space="preserve"> </w:t>
      </w:r>
      <w:r>
        <w:t xml:space="preserve">— gestion électronique de documents (classement, stockage et partage de fichiers).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  <w:bCs/>
        </w:rPr>
        <w:t xml:space="preserve">Auth</w:t>
      </w:r>
      <w:r>
        <w:t xml:space="preserve"> </w:t>
      </w:r>
      <w:r>
        <w:t xml:space="preserve">(</w:t>
      </w:r>
      <w:r>
        <w:rPr>
          <w:i/>
          <w:iCs/>
        </w:rPr>
        <w:t xml:space="preserve">authentication</w:t>
      </w:r>
      <w:r>
        <w:t xml:space="preserve">) — authentification : vérification de l’identité d’un utilisateur (connexion, droits d’accès).</w:t>
      </w:r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  <w:bCs/>
        </w:rPr>
        <w:t xml:space="preserve">e-Soleau</w:t>
      </w:r>
      <w:r>
        <w:t xml:space="preserve"> </w:t>
      </w:r>
      <w:r>
        <w:t xml:space="preserve">— enveloppe numérique de l’INPI permettant de dater une création et de constituer une preuve d’antériorité (ce n’est pas un titre de propriété comme un brevet ou une marque).</w:t>
      </w:r>
    </w:p>
  </w:footnote>
  <w:footnote w:id="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  <w:bCs/>
        </w:rPr>
        <w:t xml:space="preserve">Business plan / plan d’affaires</w:t>
      </w:r>
      <w:r>
        <w:t xml:space="preserve"> </w:t>
      </w:r>
      <w:r>
        <w:t xml:space="preserve">— document décrivant le projet d’entreprise et ses prévisions financières.</w:t>
      </w:r>
    </w:p>
  </w:footnote>
  <w:footnote w:id="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  <w:bCs/>
        </w:rPr>
        <w:t xml:space="preserve">MRR</w:t>
      </w:r>
      <w:r>
        <w:t xml:space="preserve"> </w:t>
      </w:r>
      <w:r>
        <w:t xml:space="preserve">(</w:t>
      </w:r>
      <w:r>
        <w:rPr>
          <w:i/>
          <w:iCs/>
        </w:rPr>
        <w:t xml:space="preserve">Monthly Recurring Revenue</w:t>
      </w:r>
      <w:r>
        <w:t xml:space="preserve">) — revenu récurrent mensuel (abonnements et options facturés chaque mois).</w:t>
      </w:r>
    </w:p>
  </w:footnote>
  <w:footnote w:id="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  <w:bCs/>
        </w:rPr>
        <w:t xml:space="preserve">ARR</w:t>
      </w:r>
      <w:r>
        <w:t xml:space="preserve"> </w:t>
      </w:r>
      <w:r>
        <w:t xml:space="preserve">(</w:t>
      </w:r>
      <w:r>
        <w:rPr>
          <w:i/>
          <w:iCs/>
        </w:rPr>
        <w:t xml:space="preserve">Annual Recurring Revenue</w:t>
      </w:r>
      <w:r>
        <w:t xml:space="preserve">) — revenu récurrent annuel, en pratique souvent égal au MRR × 12.</w:t>
      </w:r>
    </w:p>
  </w:footnote>
  <w:footnote w:id="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  <w:bCs/>
        </w:rPr>
        <w:t xml:space="preserve">Goodwill</w:t>
      </w:r>
      <w:r>
        <w:t xml:space="preserve"> </w:t>
      </w:r>
      <w:r>
        <w:t xml:space="preserve">(survaleur / fonds commercial immatériel) — valeur liée à la réputation, à la clientèle et à l’avantage concurrentiel, au-delà des actifs comptables identifiables.</w:t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  <w:bCs/>
        </w:rPr>
        <w:t xml:space="preserve">Coût de reconstitution</w:t>
      </w:r>
      <w:r>
        <w:t xml:space="preserve"> </w:t>
      </w:r>
      <w:r>
        <w:t xml:space="preserve">— estimation de ce qu’il faudrait dépenser aujourd’hui pour reconstruire un actif comparable (méthode de valorisation par les coûts).</w:t>
      </w:r>
    </w:p>
  </w:footnote>
  <w:footnote w:id="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  <w:bCs/>
        </w:rPr>
        <w:t xml:space="preserve">Freelance</w:t>
      </w:r>
      <w:r>
        <w:t xml:space="preserve"> </w:t>
      </w:r>
      <w:r>
        <w:t xml:space="preserve">— travailleur indépendant (ici : développeur non salarié d’une agence).</w:t>
      </w:r>
    </w:p>
  </w:footnote>
  <w:footnote w:id="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  <w:bCs/>
        </w:rPr>
        <w:t xml:space="preserve">TJM</w:t>
      </w:r>
      <w:r>
        <w:t xml:space="preserve"> </w:t>
      </w:r>
      <w:r>
        <w:t xml:space="preserve">— taux journalier moyen : prix d’une journée de prestation d’un indépendant ou d’une société de services.</w:t>
      </w:r>
    </w:p>
  </w:footnote>
  <w:footnote w:id="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  <w:bCs/>
        </w:rPr>
        <w:t xml:space="preserve">k€</w:t>
      </w:r>
      <w:r>
        <w:t xml:space="preserve"> </w:t>
      </w:r>
      <w:r>
        <w:t xml:space="preserve">— millier(s) d’euros (1 k€ = 1 000 €).</w:t>
      </w:r>
    </w:p>
  </w:footnote>
  <w:footnote w:id="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  <w:bCs/>
        </w:rPr>
        <w:t xml:space="preserve">Traction</w:t>
      </w:r>
      <w:r>
        <w:t xml:space="preserve"> </w:t>
      </w:r>
      <w:r>
        <w:t xml:space="preserve">(commerciale) — preuve que le produit trouve un marché (clients, revenus, croissance).</w:t>
      </w:r>
    </w:p>
  </w:footnote>
  <w:footnote w:id="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  <w:bCs/>
        </w:rPr>
        <w:t xml:space="preserve">Apport en nature</w:t>
      </w:r>
      <w:r>
        <w:t xml:space="preserve"> </w:t>
      </w:r>
      <w:r>
        <w:t xml:space="preserve">— apport à une société d’un bien autre que de l’argent (licence, matériel, créance, etc.), évalué pour entrer dans le capital.</w:t>
      </w:r>
    </w:p>
  </w:footnote>
  <w:footnote w:id="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  <w:bCs/>
        </w:rPr>
        <w:t xml:space="preserve">Holding</w:t>
      </w:r>
      <w:r>
        <w:t xml:space="preserve"> </w:t>
      </w:r>
      <w:r>
        <w:t xml:space="preserve">— société dont l’objet principal est de détenir des participations ou des actifs (dont parfois la propriété intellectuelle).</w:t>
      </w:r>
    </w:p>
  </w:footnote>
  <w:footnote w:id="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  <w:bCs/>
        </w:rPr>
        <w:t xml:space="preserve">Git</w:t>
      </w:r>
      <w:r>
        <w:t xml:space="preserve"> </w:t>
      </w:r>
      <w:r>
        <w:t xml:space="preserve">— système de gestion de versions du code source (historique des modifications) ; un « dépôt git » est l’endroit où ce code est stocké.</w:t>
      </w:r>
    </w:p>
  </w:footnote>
  <w:footnote w:id="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  <w:bCs/>
        </w:rPr>
        <w:t xml:space="preserve">CA HT</w:t>
      </w:r>
      <w:r>
        <w:t xml:space="preserve"> </w:t>
      </w:r>
      <w:r>
        <w:t xml:space="preserve">— chiffre d’affaires hors taxes.</w:t>
      </w:r>
    </w:p>
  </w:footnote>
  <w:footnote w:id="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  <w:bCs/>
        </w:rPr>
        <w:t xml:space="preserve">Dilution</w:t>
      </w:r>
      <w:r>
        <w:t xml:space="preserve"> </w:t>
      </w:r>
      <w:r>
        <w:t xml:space="preserve">— diminution du pourcentage de capital (et souvent de droits de vote) d’un associé lorsque de nouvelles actions / parts sont émises.</w:t>
      </w:r>
    </w:p>
  </w:footnote>
  <w:footnote w:id="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  <w:bCs/>
        </w:rPr>
        <w:t xml:space="preserve">BSA</w:t>
      </w:r>
      <w:r>
        <w:t xml:space="preserve"> </w:t>
      </w:r>
      <w:r>
        <w:t xml:space="preserve">— bons de souscription d’actions : titres donnant le droit de souscrire des actions à des conditions définies.</w:t>
      </w:r>
    </w:p>
  </w:footnote>
  <w:footnote w:id="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  <w:bCs/>
        </w:rPr>
        <w:t xml:space="preserve">Anti-dilution</w:t>
      </w:r>
      <w:r>
        <w:t xml:space="preserve"> </w:t>
      </w:r>
      <w:r>
        <w:t xml:space="preserve">— mécanisme contractuel visant à protéger un associé contre une trop forte réduction de sa participation lors d’une levée de fonds.</w:t>
      </w:r>
    </w:p>
  </w:footnote>
  <w:footnote w:id="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  <w:bCs/>
        </w:rPr>
        <w:t xml:space="preserve">Veto</w:t>
      </w:r>
      <w:r>
        <w:t xml:space="preserve"> </w:t>
      </w:r>
      <w:r>
        <w:t xml:space="preserve">— droit d’empêcher l’adoption d’une décision, même si une majorité favorable existe par ailleurs.</w:t>
      </w:r>
    </w:p>
  </w:footnote>
  <w:footnote w:id="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  <w:bCs/>
        </w:rPr>
        <w:t xml:space="preserve">Liquidation preference</w:t>
      </w:r>
      <w:r>
        <w:t xml:space="preserve"> </w:t>
      </w:r>
      <w:r>
        <w:t xml:space="preserve">(</w:t>
      </w:r>
      <w:r>
        <w:rPr>
          <w:i/>
          <w:iCs/>
        </w:rPr>
        <w:t xml:space="preserve">préférence de liquidation</w:t>
      </w:r>
      <w:r>
        <w:t xml:space="preserve">) — mécanisme (souvent en capital-investissement) qui définit l’ordre et le montant prioritaire de répartition du prix en cas de vente ou de liquidation ; « soft » / allégée = version moins agressive pour les fondateurs.</w:t>
      </w:r>
    </w:p>
  </w:footnote>
  <w:footnote w:id="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  <w:bCs/>
        </w:rPr>
        <w:t xml:space="preserve">Investisseur grade</w:t>
      </w:r>
      <w:r>
        <w:t xml:space="preserve"> </w:t>
      </w:r>
      <w:r>
        <w:t xml:space="preserve">(niveau investisseur) — formulation indiquant une licence renforcée, acceptable pour un investisseur exigeant (durée, garanties, séquestre, etc.).</w:t>
      </w:r>
    </w:p>
  </w:footnote>
  <w:footnote w:id="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  <w:bCs/>
        </w:rPr>
        <w:t xml:space="preserve">Escrow</w:t>
      </w:r>
      <w:r>
        <w:t xml:space="preserve"> </w:t>
      </w:r>
      <w:r>
        <w:t xml:space="preserve">(</w:t>
      </w:r>
      <w:r>
        <w:rPr>
          <w:i/>
          <w:iCs/>
        </w:rPr>
        <w:t xml:space="preserve">séquestre</w:t>
      </w:r>
      <w:r>
        <w:t xml:space="preserve">) — dépôt du code source chez un tiers de confiance, ne pouvant être libéré que selon des conditions strictes (faillite, manquement, etc.).</w:t>
      </w:r>
    </w:p>
  </w:footnote>
  <w:footnote w:id="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  <w:bCs/>
        </w:rPr>
        <w:t xml:space="preserve">Data-room</w:t>
      </w:r>
      <w:r>
        <w:t xml:space="preserve"> </w:t>
      </w:r>
      <w:r>
        <w:t xml:space="preserve">(</w:t>
      </w:r>
      <w:r>
        <w:rPr>
          <w:i/>
          <w:iCs/>
        </w:rPr>
        <w:t xml:space="preserve">salle de données</w:t>
      </w:r>
      <w:r>
        <w:t xml:space="preserve">) — espace (souvent numérique) où sont rassemblés les documents confidentiels pour une due diligence (audit avant investissement ou cession).</w:t>
      </w:r>
    </w:p>
  </w:footnote>
  <w:footnote w:id="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  <w:bCs/>
        </w:rPr>
        <w:t xml:space="preserve">SPA</w:t>
      </w:r>
      <w:r>
        <w:t xml:space="preserve"> </w:t>
      </w:r>
      <w:r>
        <w:t xml:space="preserve">(</w:t>
      </w:r>
      <w:r>
        <w:rPr>
          <w:i/>
          <w:iCs/>
        </w:rPr>
        <w:t xml:space="preserve">Share Purchase Agreement</w:t>
      </w:r>
      <w:r>
        <w:t xml:space="preserve">) — contrat d’achat / de cession d’actions (ou de parts).</w:t>
      </w:r>
    </w:p>
  </w:footnote>
  <w:footnote w:id="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  <w:bCs/>
        </w:rPr>
        <w:t xml:space="preserve">Tag-along / drag-along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tag-along</w:t>
      </w:r>
      <w:r>
        <w:t xml:space="preserve"> </w:t>
      </w:r>
      <w:r>
        <w:t xml:space="preserve">: droit de sortie conjointe (suivre un vendeur majoritaire) ;</w:t>
      </w:r>
      <w:r>
        <w:t xml:space="preserve"> </w:t>
      </w:r>
      <w:r>
        <w:rPr>
          <w:i/>
          <w:iCs/>
        </w:rPr>
        <w:t xml:space="preserve">drag-along</w:t>
      </w:r>
      <w:r>
        <w:t xml:space="preserve"> </w:t>
      </w:r>
      <w:r>
        <w:t xml:space="preserve">: droit d’entraînement (obliger les minoritaires à vendre avec le majoritaire).</w:t>
      </w:r>
    </w:p>
  </w:footnote>
  <w:footnote w:id="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  <w:bCs/>
        </w:rPr>
        <w:t xml:space="preserve">Wind-down</w:t>
      </w:r>
      <w:r>
        <w:t xml:space="preserve"> </w:t>
      </w:r>
      <w:r>
        <w:t xml:space="preserve">— période ordonnée de fin d’activité ou de migration des clients après résiliation d’une licence ou d’un service.</w:t>
      </w:r>
    </w:p>
  </w:footnote>
  <w:footnote w:id="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  <w:bCs/>
        </w:rPr>
        <w:t xml:space="preserve">Lock-up</w:t>
      </w:r>
      <w:r>
        <w:t xml:space="preserve"> </w:t>
      </w:r>
      <w:r>
        <w:t xml:space="preserve">— période pendant laquelle certaines opérations (cession, résiliation, etc.) sont gelées ou restreintes.</w:t>
      </w:r>
    </w:p>
  </w:footnote>
  <w:footnote w:id="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  <w:bCs/>
        </w:rPr>
        <w:t xml:space="preserve">NDA</w:t>
      </w:r>
      <w:r>
        <w:t xml:space="preserve"> </w:t>
      </w:r>
      <w:r>
        <w:t xml:space="preserve">(</w:t>
      </w:r>
      <w:r>
        <w:rPr>
          <w:i/>
          <w:iCs/>
        </w:rPr>
        <w:t xml:space="preserve">Non-Disclosure Agreement</w:t>
      </w:r>
      <w:r>
        <w:t xml:space="preserve">) — accord de confidentialité.</w:t>
      </w:r>
    </w:p>
  </w:footnote>
  <w:footnote w:id="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  <w:bCs/>
        </w:rPr>
        <w:t xml:space="preserve">Stack</w:t>
      </w:r>
      <w:r>
        <w:t xml:space="preserve"> </w:t>
      </w:r>
      <w:r>
        <w:t xml:space="preserve">(</w:t>
      </w:r>
      <w:r>
        <w:rPr>
          <w:i/>
          <w:iCs/>
        </w:rPr>
        <w:t xml:space="preserve">socle / pile technique</w:t>
      </w:r>
      <w:r>
        <w:t xml:space="preserve">) — ensemble des technologies utilisées pour construire le logiciel (langages, bases de données, hébergeurs, etc.).</w:t>
      </w:r>
    </w:p>
  </w:footnote>
  <w:footnote w:id="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  <w:bCs/>
        </w:rPr>
        <w:t xml:space="preserve">OSS</w:t>
      </w:r>
      <w:r>
        <w:t xml:space="preserve"> </w:t>
      </w:r>
      <w:r>
        <w:t xml:space="preserve">(</w:t>
      </w:r>
      <w:r>
        <w:rPr>
          <w:i/>
          <w:iCs/>
        </w:rPr>
        <w:t xml:space="preserve">Open Source Software</w:t>
      </w:r>
      <w:r>
        <w:t xml:space="preserve">) — logiciels libres / open source, soumis à des licences particulières qu’il faut respecter dans l’exploitation et la cession.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2026-07-25T07:01:43Z</dcterms:created>
  <dcterms:modified xsi:type="dcterms:W3CDTF">2026-07-25T07:01:43Z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