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37735" w14:textId="77777777" w:rsidR="005E2138" w:rsidRDefault="00000000">
      <w:pPr>
        <w:pStyle w:val="CaptionedFigure"/>
      </w:pPr>
      <w:r>
        <w:rPr>
          <w:noProof/>
        </w:rPr>
        <w:drawing>
          <wp:inline distT="0" distB="0" distL="0" distR="0" wp14:anchorId="64539C77" wp14:editId="76A67CEF">
            <wp:extent cx="5334000" cy="1277604"/>
            <wp:effectExtent l="0" t="0" r="0" b="0"/>
            <wp:docPr id="10" name="Picture" descr="AIMEDIArt — signe distinct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./public/brand/aimediart-logo-block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7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479114" w14:textId="13595AC4" w:rsidR="00635801" w:rsidRDefault="00635801" w:rsidP="00635801">
      <w:pPr>
        <w:pStyle w:val="Sous-titre"/>
        <w:ind w:left="-284"/>
        <w:jc w:val="left"/>
        <w:rPr>
          <w:b/>
          <w:lang w:val="fr-FR"/>
        </w:rPr>
      </w:pPr>
      <w:bookmarkStart w:id="0" w:name="annexe-a-méthodologie-de-calcul-6-points"/>
      <w:bookmarkStart w:id="1" w:name="X778997605ad28a6c8f609ea1fcb90ca4d050949"/>
      <w:r>
        <w:rPr>
          <w:lang w:val="fr-FR"/>
        </w:rPr>
        <w:t>Annexe 3</w:t>
      </w:r>
    </w:p>
    <w:p w14:paraId="555F494A" w14:textId="41C695C3" w:rsidR="005E2138" w:rsidRPr="003A1295" w:rsidRDefault="00000000" w:rsidP="00BC6213">
      <w:pPr>
        <w:spacing w:after="120"/>
        <w:ind w:left="130" w:right="-335"/>
        <w:rPr>
          <w:rFonts w:cstheme="minorHAnsi"/>
          <w:b/>
          <w:color w:val="2B3D4F"/>
          <w:sz w:val="52"/>
          <w:lang w:val="fr-FR"/>
        </w:rPr>
      </w:pPr>
      <w:r w:rsidRPr="003A1295">
        <w:rPr>
          <w:rFonts w:cstheme="minorHAnsi"/>
          <w:b/>
          <w:color w:val="2B3D4F"/>
          <w:sz w:val="52"/>
          <w:lang w:val="fr-FR"/>
        </w:rPr>
        <w:t>Méthodologie de calcul (6 points)</w:t>
      </w:r>
    </w:p>
    <w:p w14:paraId="438B8934" w14:textId="6F331A9B" w:rsidR="005E2138" w:rsidRDefault="00000000">
      <w:pPr>
        <w:pStyle w:val="FirstParagraph"/>
      </w:pPr>
      <w:r>
        <w:rPr>
          <w:i/>
          <w:iCs/>
        </w:rPr>
        <w:t>Référence : sections 6 et 7 du plan d’affaires</w:t>
      </w:r>
    </w:p>
    <w:p w14:paraId="2280987D" w14:textId="77777777" w:rsidR="00BC6213" w:rsidRDefault="00BC6213" w:rsidP="00BC6213">
      <w:pPr>
        <w:pStyle w:val="Titre3"/>
        <w:jc w:val="center"/>
      </w:pPr>
      <w:bookmarkStart w:id="2" w:name="X504a31ea9130440f639cc4461f30370c86305c4"/>
      <w:r>
        <w:rPr>
          <w:b w:val="0"/>
          <w:bCs/>
          <w:noProof/>
        </w:rPr>
        <w:drawing>
          <wp:inline distT="0" distB="0" distL="0" distR="0" wp14:anchorId="0A26D6C0" wp14:editId="15D748B0">
            <wp:extent cx="5355160" cy="4108862"/>
            <wp:effectExtent l="0" t="0" r="0" b="0"/>
            <wp:docPr id="19796452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35" b="15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007" cy="4150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B6A41" w14:textId="3A66B486" w:rsidR="005E2138" w:rsidRDefault="00000000" w:rsidP="00BC6213">
      <w:pPr>
        <w:pStyle w:val="Titre3"/>
      </w:pPr>
      <w:r>
        <w:t xml:space="preserve">Point 1 — Montée progressive </w:t>
      </w:r>
      <w:proofErr w:type="spellStart"/>
      <w:r>
        <w:t>linéaire</w:t>
      </w:r>
      <w:proofErr w:type="spellEnd"/>
      <w:r>
        <w:t xml:space="preserve"> (</w:t>
      </w:r>
      <w:r w:rsidRPr="00BC6213">
        <w:t>ramp-up</w:t>
      </w:r>
      <w:r>
        <w:t>)</w:t>
      </w:r>
    </w:p>
    <w:p w14:paraId="45C81BB3" w14:textId="77777777" w:rsidR="005E2138" w:rsidRDefault="00000000">
      <w:pPr>
        <w:pStyle w:val="FirstParagraph"/>
      </w:pPr>
      <w:r>
        <w:t xml:space="preserve">Les effectifs clients (tous abonnements confondus) augmentent de façon </w:t>
      </w:r>
      <w:r>
        <w:rPr>
          <w:b/>
          <w:bCs/>
        </w:rPr>
        <w:t>linéaire</w:t>
      </w:r>
      <w:r>
        <w:t xml:space="preserve"> mois par mois sur chaque année civile, depuis le stock du mois précédent jusqu’à la cible de fin d’année fixée au § 6.3 du plan d’affaires.</w:t>
      </w:r>
    </w:p>
    <w:p w14:paraId="28DB84EF" w14:textId="77777777" w:rsidR="005E213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Ajustement en fin d’année</w:t>
      </w:r>
      <w:r>
        <w:t xml:space="preserve"> (</w:t>
      </w:r>
      <w:r>
        <w:rPr>
          <w:i/>
          <w:iCs/>
        </w:rPr>
        <w:t>snap</w:t>
      </w:r>
      <w:r>
        <w:t>) : le dernier mois de chaque année est recalé exactement sur les effectifs cibles du tableau d’hypothèses.</w:t>
      </w:r>
    </w:p>
    <w:p w14:paraId="088795AD" w14:textId="77777777" w:rsidR="005E213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Scénarios prudent / ambitieux</w:t>
      </w:r>
      <w:r>
        <w:t xml:space="preserve"> : les cibles de fin d’année sont multipliées par </w:t>
      </w:r>
      <w:r>
        <w:rPr>
          <w:b/>
          <w:bCs/>
        </w:rPr>
        <w:t>0,70</w:t>
      </w:r>
      <w:r>
        <w:t xml:space="preserve"> ou </w:t>
      </w:r>
      <w:r>
        <w:rPr>
          <w:b/>
          <w:bCs/>
        </w:rPr>
        <w:t>1,30</w:t>
      </w:r>
      <w:r>
        <w:t xml:space="preserve"> avant application de la montée progressive.</w:t>
      </w:r>
    </w:p>
    <w:p w14:paraId="5485C0F3" w14:textId="77777777" w:rsidR="005E213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Plans concernés</w:t>
      </w:r>
      <w:r>
        <w:t xml:space="preserve"> : Étincelle, Atelier, Horizon, Rayonnement, Zénith (contrats actifs).</w:t>
      </w:r>
    </w:p>
    <w:p w14:paraId="2A47FF79" w14:textId="77777777" w:rsidR="005E2138" w:rsidRDefault="00000000">
      <w:pPr>
        <w:pStyle w:val="Titre3"/>
      </w:pPr>
      <w:bookmarkStart w:id="3" w:name="point-2-attrition-clientèle-churn"/>
      <w:bookmarkEnd w:id="2"/>
      <w:r>
        <w:lastRenderedPageBreak/>
        <w:t>Point 2 — Attrition clientèle (</w:t>
      </w:r>
      <w:r>
        <w:rPr>
          <w:i/>
          <w:iCs/>
        </w:rPr>
        <w:t>churn</w:t>
      </w:r>
      <w:r>
        <w:t>)</w:t>
      </w:r>
    </w:p>
    <w:p w14:paraId="27208C97" w14:textId="77777777" w:rsidR="005E2138" w:rsidRDefault="00000000">
      <w:pPr>
        <w:pStyle w:val="FirstParagraph"/>
      </w:pPr>
      <w:r>
        <w:t xml:space="preserve">À partir du </w:t>
      </w:r>
      <w:r>
        <w:rPr>
          <w:b/>
          <w:bCs/>
        </w:rPr>
        <w:t>mois 9</w:t>
      </w:r>
      <w:r>
        <w:t xml:space="preserve">, une attrition mensuelle est appliquée sur le parc de clients </w:t>
      </w:r>
      <w:r>
        <w:rPr>
          <w:b/>
          <w:bCs/>
        </w:rPr>
        <w:t>payants</w:t>
      </w:r>
      <w:r>
        <w:t xml:space="preserve"> (Atelier, Horizon, Rayonnement — hors Étincelle et Zénith).</w:t>
      </w:r>
    </w:p>
    <w:tbl>
      <w:tblPr>
        <w:tblStyle w:val="TableauGrille1Clair"/>
        <w:tblW w:w="0" w:type="auto"/>
        <w:tblLook w:val="0020" w:firstRow="1" w:lastRow="0" w:firstColumn="0" w:lastColumn="0" w:noHBand="0" w:noVBand="0"/>
      </w:tblPr>
      <w:tblGrid>
        <w:gridCol w:w="2286"/>
        <w:gridCol w:w="2678"/>
      </w:tblGrid>
      <w:tr w:rsidR="005E2138" w14:paraId="6693944F" w14:textId="77777777" w:rsidTr="003A12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6BE4936" w14:textId="77777777" w:rsidR="005E2138" w:rsidRDefault="00000000">
            <w:pPr>
              <w:pStyle w:val="Compact"/>
            </w:pPr>
            <w:r>
              <w:t>Paramètre</w:t>
            </w:r>
          </w:p>
        </w:tc>
        <w:tc>
          <w:tcPr>
            <w:tcW w:w="0" w:type="auto"/>
          </w:tcPr>
          <w:p w14:paraId="6D0B539D" w14:textId="77777777" w:rsidR="005E2138" w:rsidRDefault="00000000">
            <w:pPr>
              <w:pStyle w:val="Compact"/>
            </w:pPr>
            <w:r>
              <w:t>Valeur</w:t>
            </w:r>
          </w:p>
        </w:tc>
      </w:tr>
      <w:tr w:rsidR="005E2138" w14:paraId="28984E87" w14:textId="77777777" w:rsidTr="003A1295">
        <w:tc>
          <w:tcPr>
            <w:tcW w:w="0" w:type="auto"/>
          </w:tcPr>
          <w:p w14:paraId="46AD98A7" w14:textId="77777777" w:rsidR="005E2138" w:rsidRDefault="00000000">
            <w:pPr>
              <w:pStyle w:val="Compact"/>
            </w:pPr>
            <w:r>
              <w:t>Début</w:t>
            </w:r>
          </w:p>
        </w:tc>
        <w:tc>
          <w:tcPr>
            <w:tcW w:w="0" w:type="auto"/>
          </w:tcPr>
          <w:p w14:paraId="0CC62579" w14:textId="77777777" w:rsidR="005E2138" w:rsidRDefault="00000000">
            <w:pPr>
              <w:pStyle w:val="Compact"/>
            </w:pPr>
            <w:r>
              <w:t>Mois 9</w:t>
            </w:r>
          </w:p>
        </w:tc>
      </w:tr>
      <w:tr w:rsidR="005E2138" w14:paraId="3DDC29BE" w14:textId="77777777" w:rsidTr="003A1295">
        <w:tc>
          <w:tcPr>
            <w:tcW w:w="0" w:type="auto"/>
          </w:tcPr>
          <w:p w14:paraId="76095407" w14:textId="77777777" w:rsidR="005E2138" w:rsidRDefault="00000000">
            <w:pPr>
              <w:pStyle w:val="Compact"/>
            </w:pPr>
            <w:r>
              <w:t>Taux initial</w:t>
            </w:r>
          </w:p>
        </w:tc>
        <w:tc>
          <w:tcPr>
            <w:tcW w:w="0" w:type="auto"/>
          </w:tcPr>
          <w:p w14:paraId="5EE97937" w14:textId="77777777" w:rsidR="005E2138" w:rsidRDefault="00000000">
            <w:pPr>
              <w:pStyle w:val="Compact"/>
            </w:pPr>
            <w:r>
              <w:t>5,0 % / mois</w:t>
            </w:r>
          </w:p>
        </w:tc>
      </w:tr>
      <w:tr w:rsidR="005E2138" w14:paraId="57A479F8" w14:textId="77777777" w:rsidTr="003A1295">
        <w:tc>
          <w:tcPr>
            <w:tcW w:w="0" w:type="auto"/>
          </w:tcPr>
          <w:p w14:paraId="423A340B" w14:textId="77777777" w:rsidR="005E2138" w:rsidRDefault="00000000">
            <w:pPr>
              <w:pStyle w:val="Compact"/>
            </w:pPr>
            <w:r>
              <w:t>Décroissance du taux</w:t>
            </w:r>
          </w:p>
        </w:tc>
        <w:tc>
          <w:tcPr>
            <w:tcW w:w="0" w:type="auto"/>
          </w:tcPr>
          <w:p w14:paraId="4DEB518D" w14:textId="77777777" w:rsidR="005E2138" w:rsidRDefault="00000000">
            <w:pPr>
              <w:pStyle w:val="Compact"/>
            </w:pPr>
            <w:r>
              <w:t>−10 % / mois (composée)</w:t>
            </w:r>
          </w:p>
        </w:tc>
      </w:tr>
    </w:tbl>
    <w:p w14:paraId="5BE80093" w14:textId="77777777" w:rsidR="005E2138" w:rsidRDefault="00000000">
      <w:pPr>
        <w:pStyle w:val="Corpsdetexte"/>
      </w:pPr>
      <w:r>
        <w:rPr>
          <w:i/>
          <w:iCs/>
        </w:rPr>
        <w:t>Exemple : M9 = 5,0 % → M10 = 4,5 % → M11 = 4,05 % …</w:t>
      </w:r>
    </w:p>
    <w:p w14:paraId="6E6AED4D" w14:textId="77777777" w:rsidR="005E2138" w:rsidRDefault="00000000">
      <w:pPr>
        <w:pStyle w:val="Titre3"/>
      </w:pPr>
      <w:bookmarkStart w:id="4" w:name="point-3-facturation-annuelle"/>
      <w:bookmarkEnd w:id="3"/>
      <w:r>
        <w:t xml:space="preserve">Point 3 — </w:t>
      </w:r>
      <w:proofErr w:type="spellStart"/>
      <w:r>
        <w:t>Facturation</w:t>
      </w:r>
      <w:proofErr w:type="spellEnd"/>
      <w:r>
        <w:t xml:space="preserve"> </w:t>
      </w:r>
      <w:proofErr w:type="spellStart"/>
      <w:r>
        <w:t>annuelle</w:t>
      </w:r>
      <w:proofErr w:type="spellEnd"/>
    </w:p>
    <w:p w14:paraId="171EA460" w14:textId="77777777" w:rsidR="005E2138" w:rsidRDefault="00000000">
      <w:pPr>
        <w:pStyle w:val="FirstParagraph"/>
      </w:pPr>
      <w:r>
        <w:t xml:space="preserve">Une part croissante des abonnements est facturée </w:t>
      </w:r>
      <w:r>
        <w:rPr>
          <w:b/>
          <w:bCs/>
        </w:rPr>
        <w:t>à l’année</w:t>
      </w:r>
      <w:r>
        <w:t xml:space="preserve"> (paiement unique) plutôt qu’au mois :</w:t>
      </w:r>
    </w:p>
    <w:tbl>
      <w:tblPr>
        <w:tblStyle w:val="TableauGrille1Clair"/>
        <w:tblW w:w="0" w:type="auto"/>
        <w:jc w:val="center"/>
        <w:tblLook w:val="0020" w:firstRow="1" w:lastRow="0" w:firstColumn="0" w:lastColumn="0" w:noHBand="0" w:noVBand="0"/>
      </w:tblPr>
      <w:tblGrid>
        <w:gridCol w:w="861"/>
        <w:gridCol w:w="2879"/>
        <w:gridCol w:w="2715"/>
      </w:tblGrid>
      <w:tr w:rsidR="005E2138" w14:paraId="7578678A" w14:textId="77777777" w:rsidTr="003A12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0D94C507" w14:textId="77777777" w:rsidR="005E2138" w:rsidRDefault="00000000">
            <w:pPr>
              <w:pStyle w:val="Compact"/>
            </w:pPr>
            <w:r>
              <w:t>Année</w:t>
            </w:r>
          </w:p>
        </w:tc>
        <w:tc>
          <w:tcPr>
            <w:tcW w:w="0" w:type="auto"/>
          </w:tcPr>
          <w:p w14:paraId="1F576254" w14:textId="77777777" w:rsidR="005E2138" w:rsidRDefault="00000000">
            <w:pPr>
              <w:pStyle w:val="Compact"/>
            </w:pPr>
            <w:r>
              <w:t>Part facturation mensuelle</w:t>
            </w:r>
          </w:p>
        </w:tc>
        <w:tc>
          <w:tcPr>
            <w:tcW w:w="0" w:type="auto"/>
          </w:tcPr>
          <w:p w14:paraId="7664009C" w14:textId="77777777" w:rsidR="005E2138" w:rsidRDefault="00000000">
            <w:pPr>
              <w:pStyle w:val="Compact"/>
            </w:pPr>
            <w:r>
              <w:t>Part facturation annuelle</w:t>
            </w:r>
          </w:p>
        </w:tc>
      </w:tr>
      <w:tr w:rsidR="005E2138" w14:paraId="3EC6CF74" w14:textId="77777777" w:rsidTr="003A1295">
        <w:trPr>
          <w:jc w:val="center"/>
        </w:trPr>
        <w:tc>
          <w:tcPr>
            <w:tcW w:w="0" w:type="auto"/>
          </w:tcPr>
          <w:p w14:paraId="2729178A" w14:textId="77777777" w:rsidR="005E2138" w:rsidRDefault="00000000">
            <w:pPr>
              <w:pStyle w:val="Compact"/>
            </w:pPr>
            <w:r>
              <w:t>A1</w:t>
            </w:r>
          </w:p>
        </w:tc>
        <w:tc>
          <w:tcPr>
            <w:tcW w:w="0" w:type="auto"/>
          </w:tcPr>
          <w:p w14:paraId="6E78CD17" w14:textId="77777777" w:rsidR="005E2138" w:rsidRDefault="00000000">
            <w:pPr>
              <w:pStyle w:val="Compact"/>
            </w:pPr>
            <w:r>
              <w:t>60 %</w:t>
            </w:r>
          </w:p>
        </w:tc>
        <w:tc>
          <w:tcPr>
            <w:tcW w:w="0" w:type="auto"/>
          </w:tcPr>
          <w:p w14:paraId="2B60E1E5" w14:textId="77777777" w:rsidR="005E2138" w:rsidRDefault="00000000">
            <w:pPr>
              <w:pStyle w:val="Compact"/>
            </w:pPr>
            <w:r>
              <w:t>40 %</w:t>
            </w:r>
          </w:p>
        </w:tc>
      </w:tr>
      <w:tr w:rsidR="005E2138" w14:paraId="2F01E425" w14:textId="77777777" w:rsidTr="003A1295">
        <w:trPr>
          <w:jc w:val="center"/>
        </w:trPr>
        <w:tc>
          <w:tcPr>
            <w:tcW w:w="0" w:type="auto"/>
          </w:tcPr>
          <w:p w14:paraId="6C1176FF" w14:textId="77777777" w:rsidR="005E2138" w:rsidRDefault="00000000">
            <w:pPr>
              <w:pStyle w:val="Compact"/>
            </w:pPr>
            <w:r>
              <w:t>A2</w:t>
            </w:r>
          </w:p>
        </w:tc>
        <w:tc>
          <w:tcPr>
            <w:tcW w:w="0" w:type="auto"/>
          </w:tcPr>
          <w:p w14:paraId="750EF704" w14:textId="77777777" w:rsidR="005E2138" w:rsidRDefault="00000000">
            <w:pPr>
              <w:pStyle w:val="Compact"/>
            </w:pPr>
            <w:r>
              <w:t>50 %</w:t>
            </w:r>
          </w:p>
        </w:tc>
        <w:tc>
          <w:tcPr>
            <w:tcW w:w="0" w:type="auto"/>
          </w:tcPr>
          <w:p w14:paraId="5A274153" w14:textId="77777777" w:rsidR="005E2138" w:rsidRDefault="00000000">
            <w:pPr>
              <w:pStyle w:val="Compact"/>
            </w:pPr>
            <w:r>
              <w:t>50 %</w:t>
            </w:r>
          </w:p>
        </w:tc>
      </w:tr>
      <w:tr w:rsidR="005E2138" w14:paraId="77B4FDE9" w14:textId="77777777" w:rsidTr="003A1295">
        <w:trPr>
          <w:jc w:val="center"/>
        </w:trPr>
        <w:tc>
          <w:tcPr>
            <w:tcW w:w="0" w:type="auto"/>
          </w:tcPr>
          <w:p w14:paraId="769A34DB" w14:textId="77777777" w:rsidR="005E2138" w:rsidRDefault="00000000">
            <w:pPr>
              <w:pStyle w:val="Compact"/>
            </w:pPr>
            <w:r>
              <w:t>A3</w:t>
            </w:r>
          </w:p>
        </w:tc>
        <w:tc>
          <w:tcPr>
            <w:tcW w:w="0" w:type="auto"/>
          </w:tcPr>
          <w:p w14:paraId="14EAB876" w14:textId="77777777" w:rsidR="005E2138" w:rsidRDefault="00000000">
            <w:pPr>
              <w:pStyle w:val="Compact"/>
            </w:pPr>
            <w:r>
              <w:t>40 %</w:t>
            </w:r>
          </w:p>
        </w:tc>
        <w:tc>
          <w:tcPr>
            <w:tcW w:w="0" w:type="auto"/>
          </w:tcPr>
          <w:p w14:paraId="0BB346EF" w14:textId="77777777" w:rsidR="005E2138" w:rsidRDefault="00000000">
            <w:pPr>
              <w:pStyle w:val="Compact"/>
            </w:pPr>
            <w:r>
              <w:t>60 %</w:t>
            </w:r>
          </w:p>
        </w:tc>
      </w:tr>
    </w:tbl>
    <w:p w14:paraId="757DD199" w14:textId="77777777" w:rsidR="005E2138" w:rsidRDefault="00000000">
      <w:pPr>
        <w:pStyle w:val="Corpsdetexte"/>
      </w:pPr>
      <w:r>
        <w:rPr>
          <w:b/>
          <w:bCs/>
        </w:rPr>
        <w:t>Coefficient appliqué</w:t>
      </w:r>
      <w:r>
        <w:t xml:space="preserve"> sur la part annuelle : </w:t>
      </w:r>
      <w:r>
        <w:rPr>
          <w:b/>
          <w:bCs/>
        </w:rPr>
        <w:t>11/12</w:t>
      </w:r>
      <w:r>
        <w:t xml:space="preserve"> du tarif mensuel × 12 (un mois offert).</w:t>
      </w:r>
      <w:r>
        <w:br/>
      </w:r>
      <w:r>
        <w:rPr>
          <w:i/>
          <w:iCs/>
        </w:rPr>
        <w:t>Exemple Rayonnement : 549 € × 11 = 6 039 € TTC/an.</w:t>
      </w:r>
    </w:p>
    <w:p w14:paraId="76DEC175" w14:textId="77777777" w:rsidR="005E2138" w:rsidRDefault="00000000">
      <w:pPr>
        <w:pStyle w:val="Titre3"/>
      </w:pPr>
      <w:bookmarkStart w:id="5" w:name="Xa4f33dfd6172bf344be39d744d9f4ccefa276d8"/>
      <w:bookmarkEnd w:id="4"/>
      <w:r>
        <w:t xml:space="preserve">Point 4 — </w:t>
      </w:r>
      <w:proofErr w:type="spellStart"/>
      <w:r>
        <w:t>Contrats</w:t>
      </w:r>
      <w:proofErr w:type="spellEnd"/>
      <w:r>
        <w:t xml:space="preserve"> Zénith (grands </w:t>
      </w:r>
      <w:proofErr w:type="spellStart"/>
      <w:r>
        <w:t>événements</w:t>
      </w:r>
      <w:proofErr w:type="spellEnd"/>
      <w:r>
        <w:t>)</w:t>
      </w:r>
    </w:p>
    <w:p w14:paraId="5AB08E7A" w14:textId="77777777" w:rsidR="005E2138" w:rsidRDefault="00000000">
      <w:pPr>
        <w:pStyle w:val="FirstParagraph"/>
      </w:pPr>
      <w:r>
        <w:t>Revenus ponctuels hors abonnement récurrent, calendrier d’encaissement :</w:t>
      </w:r>
    </w:p>
    <w:tbl>
      <w:tblPr>
        <w:tblStyle w:val="TableauGrille1Clair"/>
        <w:tblW w:w="0" w:type="auto"/>
        <w:jc w:val="center"/>
        <w:tblLook w:val="0020" w:firstRow="1" w:lastRow="0" w:firstColumn="0" w:lastColumn="0" w:noHBand="0" w:noVBand="0"/>
      </w:tblPr>
      <w:tblGrid>
        <w:gridCol w:w="1434"/>
        <w:gridCol w:w="1517"/>
        <w:gridCol w:w="1983"/>
      </w:tblGrid>
      <w:tr w:rsidR="005E2138" w14:paraId="42DEEE48" w14:textId="77777777" w:rsidTr="003A12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4256CA98" w14:textId="77777777" w:rsidR="005E2138" w:rsidRDefault="00000000">
            <w:pPr>
              <w:pStyle w:val="Compact"/>
            </w:pPr>
            <w:r>
              <w:t>Mois</w:t>
            </w:r>
          </w:p>
        </w:tc>
        <w:tc>
          <w:tcPr>
            <w:tcW w:w="0" w:type="auto"/>
          </w:tcPr>
          <w:p w14:paraId="16A6EEC1" w14:textId="77777777" w:rsidR="005E2138" w:rsidRDefault="00000000">
            <w:pPr>
              <w:pStyle w:val="Compact"/>
            </w:pPr>
            <w:r>
              <w:t>Montant TTC</w:t>
            </w:r>
          </w:p>
        </w:tc>
        <w:tc>
          <w:tcPr>
            <w:tcW w:w="0" w:type="auto"/>
          </w:tcPr>
          <w:p w14:paraId="1D222B2C" w14:textId="77777777" w:rsidR="005E2138" w:rsidRDefault="00000000">
            <w:pPr>
              <w:pStyle w:val="Compact"/>
            </w:pPr>
            <w:r>
              <w:t>Contexte</w:t>
            </w:r>
          </w:p>
        </w:tc>
      </w:tr>
      <w:tr w:rsidR="005E2138" w14:paraId="54721ADA" w14:textId="77777777" w:rsidTr="003A1295">
        <w:trPr>
          <w:jc w:val="center"/>
        </w:trPr>
        <w:tc>
          <w:tcPr>
            <w:tcW w:w="0" w:type="auto"/>
          </w:tcPr>
          <w:p w14:paraId="7D681BF1" w14:textId="77777777" w:rsidR="005E2138" w:rsidRDefault="00000000">
            <w:pPr>
              <w:pStyle w:val="Compact"/>
            </w:pPr>
            <w:r>
              <w:t>M18 (fin A2)</w:t>
            </w:r>
          </w:p>
        </w:tc>
        <w:tc>
          <w:tcPr>
            <w:tcW w:w="0" w:type="auto"/>
          </w:tcPr>
          <w:p w14:paraId="1E04D9F3" w14:textId="77777777" w:rsidR="005E2138" w:rsidRDefault="00000000">
            <w:pPr>
              <w:pStyle w:val="Compact"/>
            </w:pPr>
            <w:r>
              <w:t>15 000 €</w:t>
            </w:r>
          </w:p>
        </w:tc>
        <w:tc>
          <w:tcPr>
            <w:tcW w:w="0" w:type="auto"/>
          </w:tcPr>
          <w:p w14:paraId="3B29FA3F" w14:textId="77777777" w:rsidR="005E2138" w:rsidRDefault="00000000">
            <w:pPr>
              <w:pStyle w:val="Compact"/>
            </w:pPr>
            <w:r>
              <w:t>1er contrat Zénith</w:t>
            </w:r>
          </w:p>
        </w:tc>
      </w:tr>
      <w:tr w:rsidR="005E2138" w14:paraId="39979053" w14:textId="77777777" w:rsidTr="003A1295">
        <w:trPr>
          <w:jc w:val="center"/>
        </w:trPr>
        <w:tc>
          <w:tcPr>
            <w:tcW w:w="0" w:type="auto"/>
          </w:tcPr>
          <w:p w14:paraId="387D007A" w14:textId="77777777" w:rsidR="005E2138" w:rsidRDefault="00000000">
            <w:pPr>
              <w:pStyle w:val="Compact"/>
            </w:pPr>
            <w:r>
              <w:t>M30</w:t>
            </w:r>
          </w:p>
        </w:tc>
        <w:tc>
          <w:tcPr>
            <w:tcW w:w="0" w:type="auto"/>
          </w:tcPr>
          <w:p w14:paraId="2E8815A6" w14:textId="77777777" w:rsidR="005E2138" w:rsidRDefault="00000000">
            <w:pPr>
              <w:pStyle w:val="Compact"/>
            </w:pPr>
            <w:r>
              <w:t>17 000 €</w:t>
            </w:r>
          </w:p>
        </w:tc>
        <w:tc>
          <w:tcPr>
            <w:tcW w:w="0" w:type="auto"/>
          </w:tcPr>
          <w:p w14:paraId="35B3462A" w14:textId="77777777" w:rsidR="005E2138" w:rsidRDefault="00000000">
            <w:pPr>
              <w:pStyle w:val="Compact"/>
            </w:pPr>
            <w:r>
              <w:t>2e contrat Zénith</w:t>
            </w:r>
          </w:p>
        </w:tc>
      </w:tr>
      <w:tr w:rsidR="005E2138" w14:paraId="73A35474" w14:textId="77777777" w:rsidTr="003A1295">
        <w:trPr>
          <w:jc w:val="center"/>
        </w:trPr>
        <w:tc>
          <w:tcPr>
            <w:tcW w:w="0" w:type="auto"/>
          </w:tcPr>
          <w:p w14:paraId="06889C8B" w14:textId="77777777" w:rsidR="005E2138" w:rsidRDefault="00000000">
            <w:pPr>
              <w:pStyle w:val="Compact"/>
            </w:pPr>
            <w:r>
              <w:t>M34</w:t>
            </w:r>
          </w:p>
        </w:tc>
        <w:tc>
          <w:tcPr>
            <w:tcW w:w="0" w:type="auto"/>
          </w:tcPr>
          <w:p w14:paraId="41EA328C" w14:textId="77777777" w:rsidR="005E2138" w:rsidRDefault="00000000">
            <w:pPr>
              <w:pStyle w:val="Compact"/>
            </w:pPr>
            <w:r>
              <w:t>17 000 €</w:t>
            </w:r>
          </w:p>
        </w:tc>
        <w:tc>
          <w:tcPr>
            <w:tcW w:w="0" w:type="auto"/>
          </w:tcPr>
          <w:p w14:paraId="50A20B96" w14:textId="77777777" w:rsidR="005E2138" w:rsidRDefault="00000000">
            <w:pPr>
              <w:pStyle w:val="Compact"/>
            </w:pPr>
            <w:r>
              <w:t>3e contrat Zénith</w:t>
            </w:r>
          </w:p>
        </w:tc>
      </w:tr>
    </w:tbl>
    <w:p w14:paraId="5BEBD39C" w14:textId="77777777" w:rsidR="005E2138" w:rsidRDefault="00000000">
      <w:pPr>
        <w:pStyle w:val="Corpsdetexte"/>
      </w:pPr>
      <w:r>
        <w:t xml:space="preserve">Présentation comptable : chiffre d’affaires </w:t>
      </w:r>
      <w:r>
        <w:rPr>
          <w:b/>
          <w:bCs/>
        </w:rPr>
        <w:t>HT</w:t>
      </w:r>
      <w:r>
        <w:t xml:space="preserve"> (TTC ÷ 1,20).</w:t>
      </w:r>
    </w:p>
    <w:p w14:paraId="0121F00D" w14:textId="77777777" w:rsidR="005E2138" w:rsidRDefault="00000000">
      <w:pPr>
        <w:pStyle w:val="Titre3"/>
      </w:pPr>
      <w:bookmarkStart w:id="6" w:name="point-5-tva"/>
      <w:bookmarkEnd w:id="5"/>
      <w:r>
        <w:t>Point 5 — TVA</w:t>
      </w:r>
    </w:p>
    <w:p w14:paraId="0E02D72D" w14:textId="77777777" w:rsidR="005E213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Ventes</w:t>
      </w:r>
      <w:r>
        <w:t xml:space="preserve"> : chiffre d’affaires présenté </w:t>
      </w:r>
      <w:r>
        <w:rPr>
          <w:b/>
          <w:bCs/>
        </w:rPr>
        <w:t>hors taxes</w:t>
      </w:r>
      <w:r>
        <w:t xml:space="preserve"> (TVA 20 % déduite).</w:t>
      </w:r>
    </w:p>
    <w:p w14:paraId="1E059286" w14:textId="77777777" w:rsidR="005E213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Charges</w:t>
      </w:r>
      <w:r>
        <w:t xml:space="preserve"> : infrastructure, sous-traitance et frais variables en </w:t>
      </w:r>
      <w:r>
        <w:rPr>
          <w:b/>
          <w:bCs/>
        </w:rPr>
        <w:t>HT</w:t>
      </w:r>
      <w:r>
        <w:t xml:space="preserve"> ; TVA déductible à 20 % sur les charges éligibles.</w:t>
      </w:r>
    </w:p>
    <w:p w14:paraId="56D2CDFF" w14:textId="77777777" w:rsidR="005E213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Trésorerie</w:t>
      </w:r>
      <w:r>
        <w:t xml:space="preserve"> : encaissements TTC, décaissements TTC (charges HT + TVA).</w:t>
      </w:r>
    </w:p>
    <w:p w14:paraId="70359161" w14:textId="77777777" w:rsidR="005E2138" w:rsidRDefault="00000000">
      <w:pPr>
        <w:pStyle w:val="Titre3"/>
      </w:pPr>
      <w:bookmarkStart w:id="7" w:name="point-6-scénarios-financiers"/>
      <w:bookmarkEnd w:id="6"/>
      <w:r>
        <w:t xml:space="preserve">Point 6 — </w:t>
      </w:r>
      <w:proofErr w:type="spellStart"/>
      <w:r>
        <w:t>Scénarios</w:t>
      </w:r>
      <w:proofErr w:type="spellEnd"/>
      <w:r>
        <w:t xml:space="preserve"> financiers</w:t>
      </w:r>
    </w:p>
    <w:p w14:paraId="52172163" w14:textId="53139FD9" w:rsidR="005E2138" w:rsidRDefault="00000000">
      <w:pPr>
        <w:pStyle w:val="FirstParagraph"/>
      </w:pPr>
      <w:r>
        <w:t xml:space="preserve">Trois scénarios sur </w:t>
      </w:r>
      <w:r>
        <w:rPr>
          <w:b/>
          <w:bCs/>
        </w:rPr>
        <w:t>36 mois</w:t>
      </w:r>
      <w:r w:rsidR="003A1295">
        <w:t xml:space="preserve"> </w:t>
      </w:r>
      <w:r>
        <w:t>:</w:t>
      </w:r>
    </w:p>
    <w:tbl>
      <w:tblPr>
        <w:tblStyle w:val="TableauGrille1Clair"/>
        <w:tblW w:w="3518" w:type="pct"/>
        <w:jc w:val="center"/>
        <w:tblLayout w:type="fixed"/>
        <w:tblLook w:val="0020" w:firstRow="1" w:lastRow="0" w:firstColumn="0" w:lastColumn="0" w:noHBand="0" w:noVBand="0"/>
      </w:tblPr>
      <w:tblGrid>
        <w:gridCol w:w="1422"/>
        <w:gridCol w:w="2419"/>
        <w:gridCol w:w="3168"/>
      </w:tblGrid>
      <w:tr w:rsidR="003A1295" w14:paraId="2FA495A6" w14:textId="77777777" w:rsidTr="003A12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374" w:type="dxa"/>
          </w:tcPr>
          <w:p w14:paraId="5C68A336" w14:textId="77777777" w:rsidR="003A1295" w:rsidRDefault="003A1295">
            <w:pPr>
              <w:pStyle w:val="Compact"/>
            </w:pPr>
            <w:r>
              <w:t>Scénario</w:t>
            </w:r>
          </w:p>
        </w:tc>
        <w:tc>
          <w:tcPr>
            <w:tcW w:w="2337" w:type="dxa"/>
          </w:tcPr>
          <w:p w14:paraId="354A3D10" w14:textId="77777777" w:rsidR="003A1295" w:rsidRDefault="003A1295" w:rsidP="003A1295">
            <w:pPr>
              <w:pStyle w:val="Compact"/>
              <w:jc w:val="center"/>
            </w:pPr>
            <w:r>
              <w:t>Facteur clients</w:t>
            </w:r>
          </w:p>
        </w:tc>
        <w:tc>
          <w:tcPr>
            <w:tcW w:w="3060" w:type="dxa"/>
          </w:tcPr>
          <w:p w14:paraId="7C155E9C" w14:textId="77777777" w:rsidR="003A1295" w:rsidRDefault="003A1295" w:rsidP="003A1295">
            <w:pPr>
              <w:pStyle w:val="Compact"/>
              <w:jc w:val="center"/>
            </w:pPr>
            <w:r>
              <w:t>Développeurs sous-traités</w:t>
            </w:r>
          </w:p>
        </w:tc>
      </w:tr>
      <w:tr w:rsidR="003A1295" w14:paraId="6B48C868" w14:textId="77777777" w:rsidTr="003A1295">
        <w:trPr>
          <w:jc w:val="center"/>
        </w:trPr>
        <w:tc>
          <w:tcPr>
            <w:tcW w:w="1374" w:type="dxa"/>
          </w:tcPr>
          <w:p w14:paraId="580DC3B1" w14:textId="77777777" w:rsidR="003A1295" w:rsidRDefault="003A1295">
            <w:pPr>
              <w:pStyle w:val="Compact"/>
            </w:pPr>
            <w:r>
              <w:rPr>
                <w:b/>
                <w:bCs/>
              </w:rPr>
              <w:t>Prudent</w:t>
            </w:r>
          </w:p>
        </w:tc>
        <w:tc>
          <w:tcPr>
            <w:tcW w:w="2337" w:type="dxa"/>
          </w:tcPr>
          <w:p w14:paraId="23193498" w14:textId="77777777" w:rsidR="003A1295" w:rsidRDefault="003A1295" w:rsidP="003A1295">
            <w:pPr>
              <w:pStyle w:val="Compact"/>
              <w:jc w:val="center"/>
            </w:pPr>
            <w:r>
              <w:t>× 0,70</w:t>
            </w:r>
          </w:p>
        </w:tc>
        <w:tc>
          <w:tcPr>
            <w:tcW w:w="3060" w:type="dxa"/>
          </w:tcPr>
          <w:p w14:paraId="19037626" w14:textId="77777777" w:rsidR="003A1295" w:rsidRDefault="003A1295" w:rsidP="003A1295">
            <w:pPr>
              <w:pStyle w:val="Compact"/>
              <w:jc w:val="center"/>
            </w:pPr>
            <w:r>
              <w:t>0</w:t>
            </w:r>
          </w:p>
        </w:tc>
      </w:tr>
      <w:tr w:rsidR="003A1295" w14:paraId="15E69D25" w14:textId="77777777" w:rsidTr="003A1295">
        <w:trPr>
          <w:jc w:val="center"/>
        </w:trPr>
        <w:tc>
          <w:tcPr>
            <w:tcW w:w="1374" w:type="dxa"/>
          </w:tcPr>
          <w:p w14:paraId="623D348A" w14:textId="77777777" w:rsidR="003A1295" w:rsidRDefault="003A1295">
            <w:pPr>
              <w:pStyle w:val="Compact"/>
            </w:pPr>
            <w:r>
              <w:rPr>
                <w:b/>
                <w:bCs/>
              </w:rPr>
              <w:t>Référence</w:t>
            </w:r>
          </w:p>
        </w:tc>
        <w:tc>
          <w:tcPr>
            <w:tcW w:w="2337" w:type="dxa"/>
          </w:tcPr>
          <w:p w14:paraId="61158E96" w14:textId="77777777" w:rsidR="003A1295" w:rsidRDefault="003A1295" w:rsidP="003A1295">
            <w:pPr>
              <w:pStyle w:val="Compact"/>
              <w:jc w:val="center"/>
            </w:pPr>
            <w:r>
              <w:t>× 1,00</w:t>
            </w:r>
          </w:p>
        </w:tc>
        <w:tc>
          <w:tcPr>
            <w:tcW w:w="3060" w:type="dxa"/>
          </w:tcPr>
          <w:p w14:paraId="130C0562" w14:textId="77777777" w:rsidR="003A1295" w:rsidRDefault="003A1295" w:rsidP="003A1295">
            <w:pPr>
              <w:pStyle w:val="Compact"/>
              <w:jc w:val="center"/>
            </w:pPr>
            <w:r>
              <w:t>1 dès M13</w:t>
            </w:r>
          </w:p>
        </w:tc>
      </w:tr>
      <w:tr w:rsidR="003A1295" w14:paraId="37D57A9F" w14:textId="77777777" w:rsidTr="003A1295">
        <w:trPr>
          <w:jc w:val="center"/>
        </w:trPr>
        <w:tc>
          <w:tcPr>
            <w:tcW w:w="1374" w:type="dxa"/>
          </w:tcPr>
          <w:p w14:paraId="4B275075" w14:textId="77777777" w:rsidR="003A1295" w:rsidRDefault="003A1295">
            <w:pPr>
              <w:pStyle w:val="Compact"/>
            </w:pPr>
            <w:r>
              <w:rPr>
                <w:b/>
                <w:bCs/>
              </w:rPr>
              <w:t>Ambitieux</w:t>
            </w:r>
          </w:p>
        </w:tc>
        <w:tc>
          <w:tcPr>
            <w:tcW w:w="2337" w:type="dxa"/>
          </w:tcPr>
          <w:p w14:paraId="3E46854D" w14:textId="77777777" w:rsidR="003A1295" w:rsidRDefault="003A1295" w:rsidP="003A1295">
            <w:pPr>
              <w:pStyle w:val="Compact"/>
              <w:jc w:val="center"/>
            </w:pPr>
            <w:r>
              <w:t>× 1,30</w:t>
            </w:r>
          </w:p>
        </w:tc>
        <w:tc>
          <w:tcPr>
            <w:tcW w:w="3060" w:type="dxa"/>
          </w:tcPr>
          <w:p w14:paraId="3274AAEC" w14:textId="77777777" w:rsidR="003A1295" w:rsidRDefault="003A1295" w:rsidP="003A1295">
            <w:pPr>
              <w:pStyle w:val="Compact"/>
              <w:jc w:val="center"/>
            </w:pPr>
            <w:r>
              <w:t>2 → 5 (M1 à M19+)</w:t>
            </w:r>
          </w:p>
        </w:tc>
      </w:tr>
    </w:tbl>
    <w:p w14:paraId="13CDE8E7" w14:textId="77777777" w:rsidR="005E2138" w:rsidRDefault="00000000">
      <w:pPr>
        <w:pStyle w:val="Corpsdetexte"/>
      </w:pPr>
      <w:r>
        <w:rPr>
          <w:b/>
          <w:bCs/>
        </w:rPr>
        <w:t>Paramètres communs</w:t>
      </w:r>
      <w:r>
        <w:t xml:space="preserve"> : capital initial 4 900 € · frais fixes 500 €/mois (+15 %/trimestre) · frais variables 1 % du CA HT · TJM développeur 450 € × 10 j = 4 500 € HT/mois.</w:t>
      </w:r>
    </w:p>
    <w:p w14:paraId="34455ED3" w14:textId="5D4F1155" w:rsidR="005E2138" w:rsidRDefault="005E2138">
      <w:pPr>
        <w:pStyle w:val="FirstParagraph"/>
      </w:pPr>
      <w:bookmarkStart w:id="8" w:name="régénération-des-exports"/>
      <w:bookmarkEnd w:id="0"/>
      <w:bookmarkEnd w:id="7"/>
    </w:p>
    <w:bookmarkEnd w:id="1"/>
    <w:bookmarkEnd w:id="8"/>
    <w:p w14:paraId="7F280C0C" w14:textId="77777777" w:rsidR="00BC6213" w:rsidRPr="00BC6213" w:rsidRDefault="00BC6213" w:rsidP="00BC6213">
      <w:pPr>
        <w:pStyle w:val="Corpsdetexte"/>
      </w:pPr>
    </w:p>
    <w:sectPr w:rsidR="00BC6213" w:rsidRPr="00BC6213" w:rsidSect="003A1295">
      <w:footerReference w:type="default" r:id="rId9"/>
      <w:footnotePr>
        <w:numRestart w:val="eachSect"/>
      </w:footnotePr>
      <w:pgSz w:w="12240" w:h="15840"/>
      <w:pgMar w:top="1418" w:right="851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F3695" w14:textId="77777777" w:rsidR="00DE3D77" w:rsidRDefault="00DE3D77" w:rsidP="003A1295">
      <w:pPr>
        <w:spacing w:after="0"/>
      </w:pPr>
      <w:r>
        <w:separator/>
      </w:r>
    </w:p>
  </w:endnote>
  <w:endnote w:type="continuationSeparator" w:id="0">
    <w:p w14:paraId="255A9FB3" w14:textId="77777777" w:rsidR="00DE3D77" w:rsidRDefault="00DE3D77" w:rsidP="003A12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B84AA" w14:textId="1C9268F0" w:rsidR="003A1295" w:rsidRPr="001D2931" w:rsidRDefault="003A1295" w:rsidP="003A1295">
    <w:pPr>
      <w:pStyle w:val="Pieddepage"/>
      <w:pBdr>
        <w:top w:val="single" w:sz="4" w:space="1" w:color="156082" w:themeColor="accent1"/>
      </w:pBdr>
      <w:tabs>
        <w:tab w:val="clear" w:pos="9072"/>
        <w:tab w:val="right" w:pos="9498"/>
      </w:tabs>
    </w:pPr>
    <w:r w:rsidRPr="001D2931">
      <w:t xml:space="preserve">Fabien DUPONT - </w:t>
    </w:r>
    <w:r>
      <w:t>J</w:t>
    </w:r>
    <w:r w:rsidRPr="001D2931">
      <w:t xml:space="preserve">uin 2026 </w:t>
    </w:r>
    <w:r w:rsidRPr="001D2931">
      <w:tab/>
    </w:r>
    <w:r w:rsidRPr="001D2931">
      <w:tab/>
    </w:r>
    <w:r>
      <w:t>Méthodologie de calcul</w:t>
    </w:r>
  </w:p>
  <w:p w14:paraId="21CC2A92" w14:textId="77777777" w:rsidR="003A1295" w:rsidRPr="003A1295" w:rsidRDefault="003A1295" w:rsidP="003A129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AA313" w14:textId="77777777" w:rsidR="00DE3D77" w:rsidRDefault="00DE3D77" w:rsidP="003A1295">
      <w:pPr>
        <w:spacing w:after="0"/>
      </w:pPr>
      <w:r>
        <w:separator/>
      </w:r>
    </w:p>
  </w:footnote>
  <w:footnote w:type="continuationSeparator" w:id="0">
    <w:p w14:paraId="4B7031F7" w14:textId="77777777" w:rsidR="00DE3D77" w:rsidRDefault="00DE3D77" w:rsidP="003A129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AB824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7DE92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19187655">
    <w:abstractNumId w:val="0"/>
  </w:num>
  <w:num w:numId="2" w16cid:durableId="58483930">
    <w:abstractNumId w:val="1"/>
  </w:num>
  <w:num w:numId="3" w16cid:durableId="180820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138"/>
    <w:rsid w:val="001249DD"/>
    <w:rsid w:val="003A1295"/>
    <w:rsid w:val="005E2138"/>
    <w:rsid w:val="00635801"/>
    <w:rsid w:val="00785834"/>
    <w:rsid w:val="00861BA9"/>
    <w:rsid w:val="00BC6213"/>
    <w:rsid w:val="00DE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71D36"/>
  <w15:docId w15:val="{DCD2F71D-3C17-4B21-A332-410E58E7C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BC6213"/>
    <w:pPr>
      <w:keepNext/>
      <w:keepLines/>
      <w:spacing w:after="0"/>
      <w:ind w:left="-567"/>
      <w:outlineLvl w:val="2"/>
    </w:pPr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rsid w:val="00BC6213"/>
    <w:pPr>
      <w:spacing w:after="0"/>
    </w:pPr>
    <w:rPr>
      <w:lang w:val="fr-FR"/>
    </w:rPr>
  </w:style>
  <w:style w:type="paragraph" w:customStyle="1" w:styleId="FirstParagraph">
    <w:name w:val="First Paragraph"/>
    <w:basedOn w:val="Corpsdetexte"/>
    <w:next w:val="Corpsdetexte"/>
    <w:qFormat/>
    <w:rsid w:val="003A1295"/>
    <w:rPr>
      <w:rFonts w:ascii="Calibri" w:hAnsi="Calibri"/>
    </w:rPr>
  </w:style>
  <w:style w:type="paragraph" w:customStyle="1" w:styleId="Compact">
    <w:name w:val="Compact"/>
    <w:basedOn w:val="Corpsdetexte"/>
    <w:qFormat/>
    <w:rsid w:val="003A1295"/>
    <w:pPr>
      <w:spacing w:before="36" w:after="36"/>
    </w:pPr>
    <w:rPr>
      <w:rFonts w:ascii="Calibri" w:hAnsi="Calibri"/>
    </w:r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C6213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sid w:val="003A1295"/>
    <w:rPr>
      <w:rFonts w:ascii="Calibri" w:hAnsi="Calibri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3A1295"/>
    <w:pPr>
      <w:wordWrap w:val="0"/>
    </w:pPr>
    <w:rPr>
      <w:rFonts w:ascii="Calibri" w:hAnsi="Calibri"/>
    </w:rPr>
  </w:style>
  <w:style w:type="character" w:customStyle="1" w:styleId="KeywordTok">
    <w:name w:val="KeywordTok"/>
    <w:basedOn w:val="VerbatimChar"/>
    <w:rPr>
      <w:rFonts w:ascii="Calibri" w:hAnsi="Calibri"/>
      <w:b/>
      <w:color w:val="007020"/>
    </w:rPr>
  </w:style>
  <w:style w:type="character" w:customStyle="1" w:styleId="DataTypeTok">
    <w:name w:val="DataTypeTok"/>
    <w:basedOn w:val="VerbatimChar"/>
    <w:rPr>
      <w:rFonts w:ascii="Calibri" w:hAnsi="Calibri"/>
      <w:color w:val="902000"/>
    </w:rPr>
  </w:style>
  <w:style w:type="character" w:customStyle="1" w:styleId="DecValTok">
    <w:name w:val="DecValTok"/>
    <w:basedOn w:val="VerbatimChar"/>
    <w:rPr>
      <w:rFonts w:ascii="Calibri" w:hAnsi="Calibri"/>
      <w:color w:val="40A070"/>
    </w:rPr>
  </w:style>
  <w:style w:type="character" w:customStyle="1" w:styleId="BaseNTok">
    <w:name w:val="BaseNTok"/>
    <w:basedOn w:val="VerbatimChar"/>
    <w:rPr>
      <w:rFonts w:ascii="Calibri" w:hAnsi="Calibri"/>
      <w:color w:val="40A070"/>
    </w:rPr>
  </w:style>
  <w:style w:type="character" w:customStyle="1" w:styleId="FloatTok">
    <w:name w:val="FloatTok"/>
    <w:basedOn w:val="VerbatimChar"/>
    <w:rPr>
      <w:rFonts w:ascii="Calibri" w:hAnsi="Calibri"/>
      <w:color w:val="40A070"/>
    </w:rPr>
  </w:style>
  <w:style w:type="character" w:customStyle="1" w:styleId="ConstantTok">
    <w:name w:val="ConstantTok"/>
    <w:basedOn w:val="VerbatimChar"/>
    <w:rPr>
      <w:rFonts w:ascii="Calibri" w:hAnsi="Calibri"/>
      <w:color w:val="880000"/>
    </w:rPr>
  </w:style>
  <w:style w:type="character" w:customStyle="1" w:styleId="CharTok">
    <w:name w:val="CharTok"/>
    <w:basedOn w:val="VerbatimChar"/>
    <w:rPr>
      <w:rFonts w:ascii="Calibri" w:hAnsi="Calibri"/>
      <w:color w:val="4070A0"/>
    </w:rPr>
  </w:style>
  <w:style w:type="character" w:customStyle="1" w:styleId="SpecialCharTok">
    <w:name w:val="SpecialCharTok"/>
    <w:basedOn w:val="VerbatimChar"/>
    <w:rPr>
      <w:rFonts w:ascii="Calibri" w:hAnsi="Calibri"/>
      <w:color w:val="4070A0"/>
    </w:rPr>
  </w:style>
  <w:style w:type="character" w:customStyle="1" w:styleId="StringTok">
    <w:name w:val="StringTok"/>
    <w:basedOn w:val="VerbatimChar"/>
    <w:rPr>
      <w:rFonts w:ascii="Calibri" w:hAnsi="Calibri"/>
      <w:color w:val="4070A0"/>
    </w:rPr>
  </w:style>
  <w:style w:type="character" w:customStyle="1" w:styleId="VerbatimStringTok">
    <w:name w:val="VerbatimStringTok"/>
    <w:basedOn w:val="VerbatimChar"/>
    <w:rPr>
      <w:rFonts w:ascii="Calibri" w:hAnsi="Calibri"/>
      <w:color w:val="4070A0"/>
    </w:rPr>
  </w:style>
  <w:style w:type="character" w:customStyle="1" w:styleId="SpecialStringTok">
    <w:name w:val="SpecialStringTok"/>
    <w:basedOn w:val="VerbatimChar"/>
    <w:rPr>
      <w:rFonts w:ascii="Calibri" w:hAnsi="Calibri"/>
      <w:color w:val="BB6688"/>
    </w:rPr>
  </w:style>
  <w:style w:type="character" w:customStyle="1" w:styleId="ImportTok">
    <w:name w:val="ImportTok"/>
    <w:basedOn w:val="VerbatimChar"/>
    <w:rPr>
      <w:rFonts w:ascii="Calibri" w:hAnsi="Calibri"/>
      <w:b/>
      <w:color w:val="008000"/>
    </w:rPr>
  </w:style>
  <w:style w:type="character" w:customStyle="1" w:styleId="CommentTok">
    <w:name w:val="CommentTok"/>
    <w:basedOn w:val="VerbatimChar"/>
    <w:rPr>
      <w:rFonts w:ascii="Calibri" w:hAnsi="Calibri"/>
      <w:i/>
      <w:color w:val="60A0B0"/>
    </w:rPr>
  </w:style>
  <w:style w:type="character" w:customStyle="1" w:styleId="DocumentationTok">
    <w:name w:val="DocumentationTok"/>
    <w:basedOn w:val="VerbatimChar"/>
    <w:rPr>
      <w:rFonts w:ascii="Calibri" w:hAnsi="Calibri"/>
      <w:i/>
      <w:color w:val="BA2121"/>
    </w:rPr>
  </w:style>
  <w:style w:type="character" w:customStyle="1" w:styleId="AnnotationTok">
    <w:name w:val="AnnotationTok"/>
    <w:basedOn w:val="VerbatimChar"/>
    <w:rPr>
      <w:rFonts w:ascii="Calibri" w:hAnsi="Calibri"/>
      <w:b/>
      <w:i/>
      <w:color w:val="60A0B0"/>
    </w:rPr>
  </w:style>
  <w:style w:type="character" w:customStyle="1" w:styleId="CommentVarTok">
    <w:name w:val="CommentVarTok"/>
    <w:basedOn w:val="VerbatimChar"/>
    <w:rPr>
      <w:rFonts w:ascii="Calibri" w:hAnsi="Calibri"/>
      <w:b/>
      <w:i/>
      <w:color w:val="60A0B0"/>
    </w:rPr>
  </w:style>
  <w:style w:type="character" w:customStyle="1" w:styleId="OtherTok">
    <w:name w:val="OtherTok"/>
    <w:basedOn w:val="VerbatimChar"/>
    <w:rPr>
      <w:rFonts w:ascii="Calibri" w:hAnsi="Calibri"/>
      <w:color w:val="007020"/>
    </w:rPr>
  </w:style>
  <w:style w:type="character" w:customStyle="1" w:styleId="FunctionTok">
    <w:name w:val="FunctionTok"/>
    <w:basedOn w:val="VerbatimChar"/>
    <w:rPr>
      <w:rFonts w:ascii="Calibri" w:hAnsi="Calibri"/>
      <w:color w:val="06287E"/>
    </w:rPr>
  </w:style>
  <w:style w:type="character" w:customStyle="1" w:styleId="VariableTok">
    <w:name w:val="VariableTok"/>
    <w:basedOn w:val="VerbatimChar"/>
    <w:rPr>
      <w:rFonts w:ascii="Calibri" w:hAnsi="Calibri"/>
      <w:color w:val="19177C"/>
    </w:rPr>
  </w:style>
  <w:style w:type="character" w:customStyle="1" w:styleId="ControlFlowTok">
    <w:name w:val="ControlFlowTok"/>
    <w:basedOn w:val="VerbatimChar"/>
    <w:rPr>
      <w:rFonts w:ascii="Calibri" w:hAnsi="Calibri"/>
      <w:b/>
      <w:color w:val="007020"/>
    </w:rPr>
  </w:style>
  <w:style w:type="character" w:customStyle="1" w:styleId="OperatorTok">
    <w:name w:val="OperatorTok"/>
    <w:basedOn w:val="VerbatimChar"/>
    <w:rPr>
      <w:rFonts w:ascii="Calibri" w:hAnsi="Calibri"/>
      <w:color w:val="666666"/>
    </w:rPr>
  </w:style>
  <w:style w:type="character" w:customStyle="1" w:styleId="BuiltInTok">
    <w:name w:val="BuiltInTok"/>
    <w:basedOn w:val="VerbatimChar"/>
    <w:rPr>
      <w:rFonts w:ascii="Calibri" w:hAnsi="Calibri"/>
      <w:color w:val="008000"/>
    </w:rPr>
  </w:style>
  <w:style w:type="character" w:customStyle="1" w:styleId="ExtensionTok">
    <w:name w:val="ExtensionTok"/>
    <w:basedOn w:val="VerbatimChar"/>
    <w:rPr>
      <w:rFonts w:ascii="Calibri" w:hAnsi="Calibri"/>
    </w:rPr>
  </w:style>
  <w:style w:type="character" w:customStyle="1" w:styleId="PreprocessorTok">
    <w:name w:val="PreprocessorTok"/>
    <w:basedOn w:val="VerbatimChar"/>
    <w:rPr>
      <w:rFonts w:ascii="Calibri" w:hAnsi="Calibri"/>
      <w:color w:val="BC7A00"/>
    </w:rPr>
  </w:style>
  <w:style w:type="character" w:customStyle="1" w:styleId="AttributeTok">
    <w:name w:val="AttributeTok"/>
    <w:basedOn w:val="VerbatimChar"/>
    <w:rPr>
      <w:rFonts w:ascii="Calibri" w:hAnsi="Calibri"/>
      <w:color w:val="7D9029"/>
    </w:rPr>
  </w:style>
  <w:style w:type="character" w:customStyle="1" w:styleId="RegionMarkerTok">
    <w:name w:val="RegionMarkerTok"/>
    <w:basedOn w:val="VerbatimChar"/>
    <w:rPr>
      <w:rFonts w:ascii="Calibri" w:hAnsi="Calibri"/>
    </w:rPr>
  </w:style>
  <w:style w:type="character" w:customStyle="1" w:styleId="InformationTok">
    <w:name w:val="InformationTok"/>
    <w:basedOn w:val="VerbatimChar"/>
    <w:rPr>
      <w:rFonts w:ascii="Calibri" w:hAnsi="Calibri"/>
      <w:b/>
      <w:i/>
      <w:color w:val="60A0B0"/>
    </w:rPr>
  </w:style>
  <w:style w:type="character" w:customStyle="1" w:styleId="WarningTok">
    <w:name w:val="WarningTok"/>
    <w:basedOn w:val="VerbatimChar"/>
    <w:rPr>
      <w:rFonts w:ascii="Calibri" w:hAnsi="Calibri"/>
      <w:b/>
      <w:i/>
      <w:color w:val="60A0B0"/>
    </w:rPr>
  </w:style>
  <w:style w:type="character" w:customStyle="1" w:styleId="AlertTok">
    <w:name w:val="AlertTok"/>
    <w:basedOn w:val="VerbatimChar"/>
    <w:rPr>
      <w:rFonts w:ascii="Calibri" w:hAnsi="Calibri"/>
      <w:b/>
      <w:color w:val="FF0000"/>
    </w:rPr>
  </w:style>
  <w:style w:type="character" w:customStyle="1" w:styleId="ErrorTok">
    <w:name w:val="ErrorTok"/>
    <w:basedOn w:val="VerbatimChar"/>
    <w:rPr>
      <w:rFonts w:ascii="Calibri" w:hAnsi="Calibri"/>
      <w:b/>
      <w:color w:val="FF0000"/>
    </w:rPr>
  </w:style>
  <w:style w:type="character" w:customStyle="1" w:styleId="NormalTok">
    <w:name w:val="NormalTok"/>
    <w:basedOn w:val="VerbatimChar"/>
    <w:rPr>
      <w:rFonts w:ascii="Calibri" w:hAnsi="Calibri"/>
    </w:rPr>
  </w:style>
  <w:style w:type="paragraph" w:styleId="En-tte">
    <w:name w:val="header"/>
    <w:basedOn w:val="Normal"/>
    <w:link w:val="En-tteCar"/>
    <w:rsid w:val="003A1295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3A1295"/>
  </w:style>
  <w:style w:type="paragraph" w:styleId="Pieddepage">
    <w:name w:val="footer"/>
    <w:basedOn w:val="Normal"/>
    <w:link w:val="PieddepageCar"/>
    <w:uiPriority w:val="99"/>
    <w:rsid w:val="003A1295"/>
    <w:pPr>
      <w:tabs>
        <w:tab w:val="center" w:pos="4536"/>
        <w:tab w:val="right" w:pos="9072"/>
      </w:tabs>
      <w:spacing w:after="0"/>
    </w:pPr>
    <w:rPr>
      <w:lang w:val="fr-FR"/>
    </w:rPr>
  </w:style>
  <w:style w:type="character" w:customStyle="1" w:styleId="PieddepageCar">
    <w:name w:val="Pied de page Car"/>
    <w:basedOn w:val="Policepardfaut"/>
    <w:link w:val="Pieddepage"/>
    <w:uiPriority w:val="99"/>
    <w:rsid w:val="003A1295"/>
    <w:rPr>
      <w:lang w:val="fr-FR"/>
    </w:rPr>
  </w:style>
  <w:style w:type="table" w:styleId="TableauGrille1Clair">
    <w:name w:val="Grid Table 1 Light"/>
    <w:basedOn w:val="TableauNormal"/>
    <w:rsid w:val="003A1295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arquedecommentaire">
    <w:name w:val="annotation reference"/>
    <w:basedOn w:val="Policepardfaut"/>
    <w:rsid w:val="003A1295"/>
    <w:rPr>
      <w:sz w:val="16"/>
      <w:szCs w:val="16"/>
    </w:rPr>
  </w:style>
  <w:style w:type="paragraph" w:styleId="Commentaire">
    <w:name w:val="annotation text"/>
    <w:basedOn w:val="Normal"/>
    <w:link w:val="CommentaireCar"/>
    <w:rsid w:val="003A1295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3A129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rsid w:val="003A129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sid w:val="003A129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412</Words>
  <Characters>1974</Characters>
  <Application>Microsoft Office Word</Application>
  <DocSecurity>0</DocSecurity>
  <Lines>82</Lines>
  <Paragraphs>82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Fabien DUPONT</dc:creator>
  <cp:keywords/>
  <cp:lastModifiedBy>Fabien DUPONT</cp:lastModifiedBy>
  <cp:revision>4</cp:revision>
  <dcterms:created xsi:type="dcterms:W3CDTF">2026-06-23T10:14:00Z</dcterms:created>
  <dcterms:modified xsi:type="dcterms:W3CDTF">2026-06-24T11:50:00Z</dcterms:modified>
</cp:coreProperties>
</file>