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77F62" w14:textId="77777777" w:rsidR="00946D52" w:rsidRPr="00AB605F" w:rsidRDefault="00000000">
      <w:pPr>
        <w:pStyle w:val="CaptionedFigur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noProof/>
          <w:lang w:val="fr-FR"/>
        </w:rPr>
        <w:drawing>
          <wp:inline distT="0" distB="0" distL="0" distR="0" wp14:anchorId="00FF0334" wp14:editId="170343E6">
            <wp:extent cx="5334000" cy="1277604"/>
            <wp:effectExtent l="0" t="0" r="0" b="0"/>
            <wp:docPr id="10" name="Picture" descr="AIMEDIArt — signe distinct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public/brand/aimediart-logo-block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E9477" w14:textId="77777777" w:rsidR="00946D52" w:rsidRPr="00AB605F" w:rsidRDefault="00000000">
      <w:pPr>
        <w:pStyle w:val="ImageCaption"/>
        <w:rPr>
          <w:rFonts w:cs="Calibri"/>
          <w:lang w:val="fr-FR"/>
        </w:rPr>
      </w:pPr>
      <w:r w:rsidRPr="00AB605F">
        <w:rPr>
          <w:rFonts w:cs="Calibri"/>
          <w:lang w:val="fr-FR"/>
        </w:rPr>
        <w:t>AIMEDIArt — signe distinctif</w:t>
      </w:r>
    </w:p>
    <w:p w14:paraId="1522661C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Art-mediation with AI</w:t>
      </w:r>
      <w:r w:rsidRPr="00AB605F">
        <w:rPr>
          <w:rStyle w:val="Appelnotedebasdep"/>
          <w:rFonts w:ascii="Calibri" w:hAnsi="Calibri" w:cs="Calibri"/>
          <w:lang w:val="fr-FR"/>
        </w:rPr>
        <w:footnoteReference w:id="1"/>
      </w:r>
    </w:p>
    <w:tbl>
      <w:tblPr>
        <w:tblStyle w:val="TableauGrille1Clair"/>
        <w:tblW w:w="5000" w:type="pct"/>
        <w:tblLayout w:type="fixed"/>
        <w:tblLook w:val="0000" w:firstRow="0" w:lastRow="0" w:firstColumn="0" w:lastColumn="0" w:noHBand="0" w:noVBand="0"/>
      </w:tblPr>
      <w:tblGrid>
        <w:gridCol w:w="2880"/>
        <w:gridCol w:w="7081"/>
      </w:tblGrid>
      <w:tr w:rsidR="00946D52" w:rsidRPr="00AB605F" w14:paraId="1F0357E0" w14:textId="77777777" w:rsidTr="00166312">
        <w:tc>
          <w:tcPr>
            <w:tcW w:w="2943" w:type="dxa"/>
          </w:tcPr>
          <w:p w14:paraId="63B4019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Dénomination</w:t>
            </w:r>
          </w:p>
        </w:tc>
        <w:tc>
          <w:tcPr>
            <w:tcW w:w="7244" w:type="dxa"/>
          </w:tcPr>
          <w:p w14:paraId="0BADA0E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AIMEDIArt (AIMEDIArt.com)</w:t>
            </w:r>
          </w:p>
        </w:tc>
      </w:tr>
      <w:tr w:rsidR="00946D52" w:rsidRPr="00AB605F" w14:paraId="2D030A49" w14:textId="77777777" w:rsidTr="00166312">
        <w:tc>
          <w:tcPr>
            <w:tcW w:w="2943" w:type="dxa"/>
          </w:tcPr>
          <w:p w14:paraId="5E4EF38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Document</w:t>
            </w:r>
          </w:p>
        </w:tc>
        <w:tc>
          <w:tcPr>
            <w:tcW w:w="7244" w:type="dxa"/>
          </w:tcPr>
          <w:p w14:paraId="15E27DD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Plan d’affaires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2"/>
            </w:r>
            <w:r w:rsidRPr="00AB605F">
              <w:rPr>
                <w:rFonts w:cs="Calibri"/>
                <w:lang w:val="fr-FR"/>
              </w:rPr>
              <w:t xml:space="preserve"> — synthèse stratégique et financière</w:t>
            </w:r>
          </w:p>
        </w:tc>
      </w:tr>
      <w:tr w:rsidR="00946D52" w:rsidRPr="00AB605F" w14:paraId="7A000637" w14:textId="77777777" w:rsidTr="00166312">
        <w:tc>
          <w:tcPr>
            <w:tcW w:w="2943" w:type="dxa"/>
          </w:tcPr>
          <w:p w14:paraId="68AE502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Date</w:t>
            </w:r>
          </w:p>
        </w:tc>
        <w:tc>
          <w:tcPr>
            <w:tcW w:w="7244" w:type="dxa"/>
          </w:tcPr>
          <w:p w14:paraId="024707B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juin 2026</w:t>
            </w:r>
          </w:p>
        </w:tc>
      </w:tr>
      <w:tr w:rsidR="00946D52" w:rsidRPr="00AB605F" w14:paraId="0E34E99A" w14:textId="77777777" w:rsidTr="00166312">
        <w:tc>
          <w:tcPr>
            <w:tcW w:w="2943" w:type="dxa"/>
          </w:tcPr>
          <w:p w14:paraId="6DFB6D2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Signe distinctif</w:t>
            </w:r>
          </w:p>
        </w:tc>
        <w:tc>
          <w:tcPr>
            <w:tcW w:w="7244" w:type="dxa"/>
          </w:tcPr>
          <w:p w14:paraId="61978E2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Style w:val="VerbatimChar"/>
                <w:rFonts w:ascii="Calibri" w:hAnsi="Calibri" w:cs="Calibri"/>
                <w:lang w:val="fr-FR"/>
              </w:rPr>
              <w:t>aimediart-logo-block</w:t>
            </w:r>
            <w:r w:rsidRPr="00AB605F">
              <w:rPr>
                <w:rFonts w:cs="Calibri"/>
                <w:lang w:val="fr-FR"/>
              </w:rPr>
              <w:t xml:space="preserve"> — pictogramme cœur (#E63946) · logotype AIMEDIArt.com · baseline </w:t>
            </w:r>
            <w:r w:rsidRPr="00AB605F">
              <w:rPr>
                <w:rFonts w:cs="Calibri"/>
                <w:i/>
                <w:iCs/>
                <w:lang w:val="fr-FR"/>
              </w:rPr>
              <w:t>Art-mediation with AI</w:t>
            </w:r>
          </w:p>
        </w:tc>
      </w:tr>
      <w:tr w:rsidR="00946D52" w:rsidRPr="00AB605F" w14:paraId="73847427" w14:textId="77777777" w:rsidTr="00166312">
        <w:tc>
          <w:tcPr>
            <w:tcW w:w="2943" w:type="dxa"/>
          </w:tcPr>
          <w:p w14:paraId="1EF2695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Rédaction</w:t>
            </w:r>
          </w:p>
        </w:tc>
        <w:tc>
          <w:tcPr>
            <w:tcW w:w="7244" w:type="dxa"/>
          </w:tcPr>
          <w:p w14:paraId="54C0623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DUPONT Fabien</w:t>
            </w:r>
          </w:p>
        </w:tc>
      </w:tr>
    </w:tbl>
    <w:p w14:paraId="3B68E166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pict w14:anchorId="452A1A69">
          <v:rect id="_x0000_i1025" style="width:0;height:1.5pt" o:hralign="center" o:hrstd="t" o:hr="t"/>
        </w:pict>
      </w:r>
    </w:p>
    <w:p w14:paraId="419BC8D1" w14:textId="77777777" w:rsidR="00946D52" w:rsidRPr="00AB605F" w:rsidRDefault="00000000" w:rsidP="00A63B3F">
      <w:pPr>
        <w:pStyle w:val="Titre1"/>
        <w:jc w:val="center"/>
        <w:rPr>
          <w:rFonts w:ascii="Calibri" w:hAnsi="Calibri" w:cs="Calibri"/>
          <w:lang w:val="fr-FR"/>
        </w:rPr>
      </w:pPr>
      <w:bookmarkStart w:id="0" w:name="plan-daffaires-aimediart"/>
      <w:r w:rsidRPr="00AB605F">
        <w:rPr>
          <w:rFonts w:ascii="Calibri" w:hAnsi="Calibri" w:cs="Calibri"/>
          <w:lang w:val="fr-FR"/>
        </w:rPr>
        <w:t>Plan d’affaires AIMEDIArt</w:t>
      </w:r>
    </w:p>
    <w:p w14:paraId="1073CDB3" w14:textId="77777777" w:rsidR="00946D52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Document de synthèse — juin 2026</w:t>
      </w:r>
      <w:r w:rsidRPr="00AB605F">
        <w:rPr>
          <w:rFonts w:ascii="Calibri" w:hAnsi="Calibri" w:cs="Calibri"/>
          <w:lang w:val="fr-FR"/>
        </w:rPr>
        <w:br/>
      </w:r>
      <w:r w:rsidRPr="00AB605F">
        <w:rPr>
          <w:rFonts w:ascii="Calibri" w:hAnsi="Calibri" w:cs="Calibri"/>
          <w:i/>
          <w:iCs/>
          <w:lang w:val="fr-FR"/>
        </w:rPr>
        <w:t>Art-mediation with AI — logiciel en ligne</w:t>
      </w:r>
      <w:r w:rsidRPr="00AB605F">
        <w:rPr>
          <w:rStyle w:val="Appelnotedebasdep"/>
          <w:rFonts w:ascii="Calibri" w:hAnsi="Calibri" w:cs="Calibri"/>
          <w:lang w:val="fr-FR"/>
        </w:rPr>
        <w:footnoteReference w:id="3"/>
      </w:r>
      <w:r w:rsidRPr="00AB605F">
        <w:rPr>
          <w:rFonts w:ascii="Calibri" w:hAnsi="Calibri" w:cs="Calibri"/>
          <w:i/>
          <w:iCs/>
          <w:lang w:val="fr-FR"/>
        </w:rPr>
        <w:t xml:space="preserve"> pour professionnels</w:t>
      </w:r>
      <w:r w:rsidRPr="00AB605F">
        <w:rPr>
          <w:rStyle w:val="Appelnotedebasdep"/>
          <w:rFonts w:ascii="Calibri" w:hAnsi="Calibri" w:cs="Calibri"/>
          <w:lang w:val="fr-FR"/>
        </w:rPr>
        <w:footnoteReference w:id="4"/>
      </w:r>
      <w:r w:rsidRPr="00AB605F">
        <w:rPr>
          <w:rFonts w:ascii="Calibri" w:hAnsi="Calibri" w:cs="Calibri"/>
          <w:i/>
          <w:iCs/>
          <w:lang w:val="fr-FR"/>
        </w:rPr>
        <w:t xml:space="preserve"> de la médiation culturelle</w:t>
      </w:r>
    </w:p>
    <w:p w14:paraId="45A7025A" w14:textId="5EE579A1" w:rsidR="00946D52" w:rsidRPr="00AB605F" w:rsidRDefault="00946D52">
      <w:pPr>
        <w:rPr>
          <w:rFonts w:ascii="Calibri" w:hAnsi="Calibri" w:cs="Calibri"/>
          <w:lang w:val="fr-FR"/>
        </w:rPr>
      </w:pPr>
    </w:p>
    <w:p w14:paraId="3312049F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1" w:name="synthèse-exécutiveexecutive-summary"/>
      <w:r w:rsidRPr="00AB605F">
        <w:rPr>
          <w:rFonts w:cs="Calibri"/>
          <w:lang w:val="fr-FR"/>
        </w:rPr>
        <w:t>1. Synthèse exécutive</w:t>
      </w:r>
      <w:r w:rsidRPr="00AB605F">
        <w:rPr>
          <w:rStyle w:val="Appelnotedebasdep"/>
          <w:rFonts w:cs="Calibri"/>
          <w:lang w:val="fr-FR"/>
        </w:rPr>
        <w:footnoteReference w:id="5"/>
      </w:r>
    </w:p>
    <w:p w14:paraId="55481E01" w14:textId="77777777" w:rsidR="00946D52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>AIMEDIArt est une plateforme en ligne</w:t>
      </w:r>
      <w:r w:rsidRPr="00AB605F">
        <w:rPr>
          <w:rStyle w:val="Appelnotedebasdep"/>
          <w:rFonts w:ascii="Calibri" w:hAnsi="Calibri" w:cs="Calibri"/>
          <w:lang w:val="fr-FR"/>
        </w:rPr>
        <w:footnoteReference w:id="6"/>
      </w:r>
      <w:r w:rsidRPr="00AB605F">
        <w:rPr>
          <w:rFonts w:ascii="Calibri" w:hAnsi="Calibri" w:cs="Calibri"/>
          <w:lang w:val="fr-FR"/>
        </w:rPr>
        <w:t xml:space="preserve"> qui permet aux institutions culturelles de produire, diffuser et mesurer une médiation numérique multilingue (textes IA, audioguides, codes QR</w:t>
      </w:r>
      <w:r w:rsidRPr="00AB605F">
        <w:rPr>
          <w:rStyle w:val="Appelnotedebasdep"/>
          <w:rFonts w:ascii="Calibri" w:hAnsi="Calibri" w:cs="Calibri"/>
          <w:lang w:val="fr-FR"/>
        </w:rPr>
        <w:footnoteReference w:id="7"/>
      </w:r>
      <w:r w:rsidRPr="00AB605F">
        <w:rPr>
          <w:rFonts w:ascii="Calibri" w:hAnsi="Calibri" w:cs="Calibri"/>
          <w:lang w:val="fr-FR"/>
        </w:rPr>
        <w:t>, statistiques d’émotion et cartographie des visiteurs) à partir d’une simple photographie d’œuvre.</w:t>
      </w:r>
    </w:p>
    <w:p w14:paraId="4AB3E8D3" w14:textId="137C7CEE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Modèle économique :</w:t>
      </w:r>
      <w:r w:rsidRPr="00AB605F">
        <w:rPr>
          <w:rFonts w:ascii="Calibri" w:hAnsi="Calibri" w:cs="Calibri"/>
          <w:lang w:val="fr-FR"/>
        </w:rPr>
        <w:t xml:space="preserve"> abonnements récurrents (Atelier, Horizon</w:t>
      </w:r>
      <w:r w:rsidR="00166312" w:rsidRPr="00AB605F">
        <w:rPr>
          <w:rFonts w:ascii="Calibri" w:hAnsi="Calibri" w:cs="Calibri"/>
          <w:lang w:val="fr-FR"/>
        </w:rPr>
        <w:t>, Rayonnement</w:t>
      </w:r>
      <w:r w:rsidRPr="00AB605F">
        <w:rPr>
          <w:rFonts w:ascii="Calibri" w:hAnsi="Calibri" w:cs="Calibri"/>
          <w:lang w:val="fr-FR"/>
        </w:rPr>
        <w:t xml:space="preserve">), essai gratuit (Étincelle), grands comptes sur devis </w:t>
      </w:r>
      <w:r w:rsidR="00166312" w:rsidRPr="00AB605F">
        <w:rPr>
          <w:rFonts w:ascii="Calibri" w:hAnsi="Calibri" w:cs="Calibri"/>
          <w:lang w:val="fr-FR"/>
        </w:rPr>
        <w:t>(</w:t>
      </w:r>
      <w:r w:rsidRPr="00AB605F">
        <w:rPr>
          <w:rFonts w:ascii="Calibri" w:hAnsi="Calibri" w:cs="Calibri"/>
          <w:lang w:val="fr-FR"/>
        </w:rPr>
        <w:t>Zénith), complété par options, dépassements et plan veille.</w:t>
      </w:r>
    </w:p>
    <w:p w14:paraId="72F7C609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Marché adressable (France) :</w:t>
      </w:r>
      <w:r w:rsidRPr="00AB605F">
        <w:rPr>
          <w:rFonts w:ascii="Calibri" w:hAnsi="Calibri" w:cs="Calibri"/>
          <w:lang w:val="fr-FR"/>
        </w:rPr>
        <w:t xml:space="preserve"> 25 000 à 30 000 expositions/an, portées par ~1 220 Musées de France, ~2 200 galeries et ~51 centres d’art contemporain (réseau DCA</w:t>
      </w:r>
      <w:r w:rsidRPr="00AB605F">
        <w:rPr>
          <w:rStyle w:val="Appelnotedebasdep"/>
          <w:rFonts w:ascii="Calibri" w:hAnsi="Calibri" w:cs="Calibri"/>
          <w:lang w:val="fr-FR"/>
        </w:rPr>
        <w:footnoteReference w:id="8"/>
      </w:r>
      <w:r w:rsidRPr="00AB605F">
        <w:rPr>
          <w:rFonts w:ascii="Calibri" w:hAnsi="Calibri" w:cs="Calibri"/>
          <w:lang w:val="fr-FR"/>
        </w:rPr>
        <w:t>).</w:t>
      </w:r>
    </w:p>
    <w:p w14:paraId="45582CDA" w14:textId="77777777" w:rsidR="00166312" w:rsidRPr="00AB605F" w:rsidRDefault="00166312">
      <w:pPr>
        <w:pStyle w:val="Corpsdetexte"/>
        <w:rPr>
          <w:rFonts w:ascii="Calibri" w:hAnsi="Calibri" w:cs="Calibri"/>
          <w:lang w:val="fr-FR"/>
        </w:rPr>
      </w:pPr>
    </w:p>
    <w:p w14:paraId="267529E1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lastRenderedPageBreak/>
        <w:t>Objectif 3 ans — scénario de référence :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319"/>
        <w:gridCol w:w="2214"/>
        <w:gridCol w:w="2214"/>
        <w:gridCol w:w="2214"/>
      </w:tblGrid>
      <w:tr w:rsidR="00946D52" w:rsidRPr="00AB605F" w14:paraId="0C6D93C4" w14:textId="77777777" w:rsidTr="00ED0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40" w:type="dxa"/>
          </w:tcPr>
          <w:p w14:paraId="77D451B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Indicateur</w:t>
            </w:r>
          </w:p>
        </w:tc>
        <w:tc>
          <w:tcPr>
            <w:tcW w:w="1760" w:type="dxa"/>
          </w:tcPr>
          <w:p w14:paraId="274F9D11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Fin A1</w:t>
            </w:r>
          </w:p>
        </w:tc>
        <w:tc>
          <w:tcPr>
            <w:tcW w:w="1760" w:type="dxa"/>
          </w:tcPr>
          <w:p w14:paraId="34496906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Fin A2</w:t>
            </w:r>
          </w:p>
        </w:tc>
        <w:tc>
          <w:tcPr>
            <w:tcW w:w="1760" w:type="dxa"/>
          </w:tcPr>
          <w:p w14:paraId="7F4EC878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Fin A3</w:t>
            </w:r>
          </w:p>
        </w:tc>
      </w:tr>
      <w:tr w:rsidR="00946D52" w:rsidRPr="00AB605F" w14:paraId="04F35269" w14:textId="77777777" w:rsidTr="00ED02C5">
        <w:trPr>
          <w:trHeight w:val="586"/>
        </w:trPr>
        <w:tc>
          <w:tcPr>
            <w:tcW w:w="2640" w:type="dxa"/>
          </w:tcPr>
          <w:p w14:paraId="62CA7688" w14:textId="31D688C3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 xml:space="preserve">Clients totaux (tous </w:t>
            </w:r>
            <w:r w:rsidR="00316409" w:rsidRPr="00AB605F">
              <w:rPr>
                <w:rFonts w:cs="Calibri"/>
                <w:lang w:val="fr-FR"/>
              </w:rPr>
              <w:t>Abonnement</w:t>
            </w:r>
            <w:r w:rsidRPr="00AB605F">
              <w:rPr>
                <w:rFonts w:cs="Calibri"/>
                <w:lang w:val="fr-FR"/>
              </w:rPr>
              <w:t>s)</w:t>
            </w:r>
          </w:p>
        </w:tc>
        <w:tc>
          <w:tcPr>
            <w:tcW w:w="1760" w:type="dxa"/>
          </w:tcPr>
          <w:p w14:paraId="0C321F51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25</w:t>
            </w:r>
          </w:p>
        </w:tc>
        <w:tc>
          <w:tcPr>
            <w:tcW w:w="1760" w:type="dxa"/>
          </w:tcPr>
          <w:p w14:paraId="79E82D14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68</w:t>
            </w:r>
          </w:p>
        </w:tc>
        <w:tc>
          <w:tcPr>
            <w:tcW w:w="1760" w:type="dxa"/>
          </w:tcPr>
          <w:p w14:paraId="5B16637B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128</w:t>
            </w:r>
          </w:p>
        </w:tc>
      </w:tr>
      <w:tr w:rsidR="00946D52" w:rsidRPr="00AB605F" w14:paraId="0CF2087C" w14:textId="77777777" w:rsidTr="00ED02C5">
        <w:trPr>
          <w:trHeight w:val="586"/>
        </w:trPr>
        <w:tc>
          <w:tcPr>
            <w:tcW w:w="2640" w:type="dxa"/>
          </w:tcPr>
          <w:p w14:paraId="05AD28C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Clients payants (hors Étincelle)</w:t>
            </w:r>
          </w:p>
        </w:tc>
        <w:tc>
          <w:tcPr>
            <w:tcW w:w="1760" w:type="dxa"/>
          </w:tcPr>
          <w:p w14:paraId="5F019788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15</w:t>
            </w:r>
          </w:p>
        </w:tc>
        <w:tc>
          <w:tcPr>
            <w:tcW w:w="1760" w:type="dxa"/>
          </w:tcPr>
          <w:p w14:paraId="5B1F1C50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47</w:t>
            </w:r>
          </w:p>
        </w:tc>
        <w:tc>
          <w:tcPr>
            <w:tcW w:w="1760" w:type="dxa"/>
          </w:tcPr>
          <w:p w14:paraId="538E1615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95</w:t>
            </w:r>
          </w:p>
        </w:tc>
      </w:tr>
      <w:tr w:rsidR="00946D52" w:rsidRPr="00AB605F" w14:paraId="61D30837" w14:textId="77777777" w:rsidTr="00ED02C5">
        <w:trPr>
          <w:trHeight w:val="586"/>
        </w:trPr>
        <w:tc>
          <w:tcPr>
            <w:tcW w:w="2640" w:type="dxa"/>
          </w:tcPr>
          <w:p w14:paraId="3C3C434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Revenu récurrent mensuel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9"/>
            </w:r>
            <w:r w:rsidRPr="00AB605F">
              <w:rPr>
                <w:rFonts w:cs="Calibri"/>
                <w:lang w:val="fr-FR"/>
              </w:rPr>
              <w:t xml:space="preserve"> TTC</w:t>
            </w:r>
          </w:p>
        </w:tc>
        <w:tc>
          <w:tcPr>
            <w:tcW w:w="1760" w:type="dxa"/>
          </w:tcPr>
          <w:p w14:paraId="6EECF604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~1 740 €</w:t>
            </w:r>
          </w:p>
        </w:tc>
        <w:tc>
          <w:tcPr>
            <w:tcW w:w="1760" w:type="dxa"/>
          </w:tcPr>
          <w:p w14:paraId="13A6FCC1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~6 445 €</w:t>
            </w:r>
          </w:p>
        </w:tc>
        <w:tc>
          <w:tcPr>
            <w:tcW w:w="1760" w:type="dxa"/>
          </w:tcPr>
          <w:p w14:paraId="083B30FD" w14:textId="0038BF8F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 xml:space="preserve">~13 </w:t>
            </w:r>
            <w:r w:rsidR="00166312" w:rsidRPr="00AB605F">
              <w:rPr>
                <w:rFonts w:cs="Calibri"/>
                <w:lang w:val="fr-FR"/>
              </w:rPr>
              <w:t>980</w:t>
            </w:r>
            <w:r w:rsidRPr="00AB605F">
              <w:rPr>
                <w:rFonts w:cs="Calibri"/>
                <w:lang w:val="fr-FR"/>
              </w:rPr>
              <w:t xml:space="preserve"> €</w:t>
            </w:r>
          </w:p>
        </w:tc>
      </w:tr>
      <w:tr w:rsidR="00946D52" w:rsidRPr="00AB605F" w14:paraId="244E0544" w14:textId="77777777" w:rsidTr="00ED02C5">
        <w:trPr>
          <w:trHeight w:val="586"/>
        </w:trPr>
        <w:tc>
          <w:tcPr>
            <w:tcW w:w="2640" w:type="dxa"/>
          </w:tcPr>
          <w:p w14:paraId="77EF098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Chiffre d’affaires HT annuel</w:t>
            </w:r>
          </w:p>
        </w:tc>
        <w:tc>
          <w:tcPr>
            <w:tcW w:w="1760" w:type="dxa"/>
          </w:tcPr>
          <w:p w14:paraId="284E9C26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~7 600 €</w:t>
            </w:r>
          </w:p>
        </w:tc>
        <w:tc>
          <w:tcPr>
            <w:tcW w:w="1760" w:type="dxa"/>
          </w:tcPr>
          <w:p w14:paraId="6AC9388A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~50 100 €</w:t>
            </w:r>
          </w:p>
        </w:tc>
        <w:tc>
          <w:tcPr>
            <w:tcW w:w="1760" w:type="dxa"/>
          </w:tcPr>
          <w:p w14:paraId="448B0510" w14:textId="06EE9203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</w:t>
            </w:r>
            <w:r w:rsidR="00166312" w:rsidRPr="00AB605F">
              <w:rPr>
                <w:rFonts w:cs="Calibri"/>
                <w:lang w:val="fr-FR"/>
              </w:rPr>
              <w:t>127</w:t>
            </w:r>
            <w:r w:rsidRPr="00AB605F">
              <w:rPr>
                <w:rFonts w:cs="Calibri"/>
                <w:lang w:val="fr-FR"/>
              </w:rPr>
              <w:t xml:space="preserve"> </w:t>
            </w:r>
            <w:r w:rsidR="00166312" w:rsidRPr="00AB605F">
              <w:rPr>
                <w:rFonts w:cs="Calibri"/>
                <w:lang w:val="fr-FR"/>
              </w:rPr>
              <w:t>1</w:t>
            </w:r>
            <w:r w:rsidRPr="00AB605F">
              <w:rPr>
                <w:rFonts w:cs="Calibri"/>
                <w:lang w:val="fr-FR"/>
              </w:rPr>
              <w:t>00 €</w:t>
            </w:r>
          </w:p>
        </w:tc>
      </w:tr>
      <w:tr w:rsidR="00946D52" w:rsidRPr="00AB605F" w14:paraId="09A649D6" w14:textId="77777777" w:rsidTr="00ED02C5">
        <w:trPr>
          <w:trHeight w:val="586"/>
        </w:trPr>
        <w:tc>
          <w:tcPr>
            <w:tcW w:w="2640" w:type="dxa"/>
          </w:tcPr>
          <w:p w14:paraId="602CBBF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Excédent brut d’exploitation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10"/>
            </w:r>
            <w:r w:rsidRPr="00AB605F">
              <w:rPr>
                <w:rFonts w:cs="Calibri"/>
                <w:lang w:val="fr-FR"/>
              </w:rPr>
              <w:t xml:space="preserve"> (1 développeur dès A2)</w:t>
            </w:r>
          </w:p>
        </w:tc>
        <w:tc>
          <w:tcPr>
            <w:tcW w:w="1760" w:type="dxa"/>
          </w:tcPr>
          <w:p w14:paraId="2F350B9E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~0 €</w:t>
            </w:r>
          </w:p>
        </w:tc>
        <w:tc>
          <w:tcPr>
            <w:tcW w:w="1760" w:type="dxa"/>
          </w:tcPr>
          <w:p w14:paraId="210B680B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~−17 500 €</w:t>
            </w:r>
          </w:p>
        </w:tc>
        <w:tc>
          <w:tcPr>
            <w:tcW w:w="1760" w:type="dxa"/>
          </w:tcPr>
          <w:p w14:paraId="4DA337F3" w14:textId="0EAE30B0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</w:t>
            </w:r>
            <w:r w:rsidR="00166312" w:rsidRPr="00AB605F">
              <w:rPr>
                <w:rFonts w:cs="Calibri"/>
                <w:lang w:val="fr-FR"/>
              </w:rPr>
              <w:t>48 9</w:t>
            </w:r>
            <w:r w:rsidRPr="00AB605F">
              <w:rPr>
                <w:rFonts w:cs="Calibri"/>
                <w:lang w:val="fr-FR"/>
              </w:rPr>
              <w:t>00 €</w:t>
            </w:r>
          </w:p>
        </w:tc>
      </w:tr>
      <w:tr w:rsidR="00946D52" w:rsidRPr="00AB605F" w14:paraId="5824AB45" w14:textId="77777777" w:rsidTr="00ED02C5">
        <w:trPr>
          <w:trHeight w:val="586"/>
        </w:trPr>
        <w:tc>
          <w:tcPr>
            <w:tcW w:w="2640" w:type="dxa"/>
          </w:tcPr>
          <w:p w14:paraId="4B6B411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Trésorerie cumulée</w:t>
            </w:r>
          </w:p>
        </w:tc>
        <w:tc>
          <w:tcPr>
            <w:tcW w:w="1760" w:type="dxa"/>
          </w:tcPr>
          <w:p w14:paraId="6CAC67CA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~6 500 €</w:t>
            </w:r>
          </w:p>
        </w:tc>
        <w:tc>
          <w:tcPr>
            <w:tcW w:w="1760" w:type="dxa"/>
          </w:tcPr>
          <w:p w14:paraId="2D16B42F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~−11 000 €</w:t>
            </w:r>
          </w:p>
        </w:tc>
        <w:tc>
          <w:tcPr>
            <w:tcW w:w="1760" w:type="dxa"/>
          </w:tcPr>
          <w:p w14:paraId="5B0B3608" w14:textId="4854E774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</w:t>
            </w:r>
            <w:r w:rsidR="002E2E2E" w:rsidRPr="00AB605F">
              <w:rPr>
                <w:rFonts w:cs="Calibri"/>
                <w:lang w:val="fr-FR"/>
              </w:rPr>
              <w:t>37 6</w:t>
            </w:r>
            <w:r w:rsidRPr="00AB605F">
              <w:rPr>
                <w:rFonts w:cs="Calibri"/>
                <w:lang w:val="fr-FR"/>
              </w:rPr>
              <w:t>00 €</w:t>
            </w:r>
          </w:p>
        </w:tc>
      </w:tr>
    </w:tbl>
    <w:p w14:paraId="156D6FBC" w14:textId="77777777" w:rsidR="00ED02C5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Points clés :</w:t>
      </w:r>
      <w:r w:rsidRPr="00AB605F">
        <w:rPr>
          <w:rFonts w:ascii="Calibri" w:hAnsi="Calibri" w:cs="Calibri"/>
          <w:lang w:val="fr-FR"/>
        </w:rPr>
        <w:t xml:space="preserve"> produit </w:t>
      </w:r>
      <w:r w:rsidRPr="00AB605F">
        <w:rPr>
          <w:rFonts w:ascii="Calibri" w:hAnsi="Calibri" w:cs="Calibri"/>
          <w:b/>
          <w:bCs/>
          <w:lang w:val="fr-FR"/>
        </w:rPr>
        <w:t>opérationnel</w:t>
      </w:r>
      <w:r w:rsidRPr="00AB605F">
        <w:rPr>
          <w:rStyle w:val="Appelnotedebasdep"/>
          <w:rFonts w:ascii="Calibri" w:hAnsi="Calibri" w:cs="Calibri"/>
          <w:lang w:val="fr-FR"/>
        </w:rPr>
        <w:footnoteReference w:id="11"/>
      </w:r>
      <w:r w:rsidRPr="00AB605F">
        <w:rPr>
          <w:rFonts w:ascii="Calibri" w:hAnsi="Calibri" w:cs="Calibri"/>
          <w:lang w:val="fr-FR"/>
        </w:rPr>
        <w:t xml:space="preserve">, propriété intellectuelle déposée (e-Soleau), trois scénarios modélisés sur 36 mois. </w:t>
      </w:r>
    </w:p>
    <w:p w14:paraId="11CB5228" w14:textId="51E6919F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 xml:space="preserve">Le scénario </w:t>
      </w:r>
      <w:r w:rsidRPr="00AB605F">
        <w:rPr>
          <w:rFonts w:ascii="Calibri" w:hAnsi="Calibri" w:cs="Calibri"/>
          <w:b/>
          <w:bCs/>
          <w:lang w:val="fr-FR"/>
        </w:rPr>
        <w:t>ambitieux</w:t>
      </w:r>
      <w:r w:rsidRPr="00AB605F">
        <w:rPr>
          <w:rFonts w:ascii="Calibri" w:hAnsi="Calibri" w:cs="Calibri"/>
          <w:lang w:val="fr-FR"/>
        </w:rPr>
        <w:t xml:space="preserve"> (+30 % clients, 5 développeurs) nécessite un financement ; le scénario </w:t>
      </w:r>
      <w:r w:rsidRPr="00AB605F">
        <w:rPr>
          <w:rFonts w:ascii="Calibri" w:hAnsi="Calibri" w:cs="Calibri"/>
          <w:b/>
          <w:bCs/>
          <w:lang w:val="fr-FR"/>
        </w:rPr>
        <w:t>prudent</w:t>
      </w:r>
      <w:r w:rsidRPr="00AB605F">
        <w:rPr>
          <w:rFonts w:ascii="Calibri" w:hAnsi="Calibri" w:cs="Calibri"/>
          <w:lang w:val="fr-FR"/>
        </w:rPr>
        <w:t xml:space="preserve"> reste autofinançable sans sous-traitance.</w:t>
      </w:r>
    </w:p>
    <w:p w14:paraId="2338C122" w14:textId="77777777" w:rsidR="00D33874" w:rsidRPr="00AB605F" w:rsidRDefault="00D33874" w:rsidP="00D33874">
      <w:pPr>
        <w:pStyle w:val="CaptionedFigure"/>
        <w:jc w:val="center"/>
        <w:rPr>
          <w:lang w:val="fr-FR"/>
        </w:rPr>
      </w:pPr>
      <w:r w:rsidRPr="00AB605F">
        <w:rPr>
          <w:noProof/>
          <w:lang w:val="fr-FR"/>
        </w:rPr>
        <w:drawing>
          <wp:inline distT="0" distB="0" distL="0" distR="0" wp14:anchorId="5355EB99" wp14:editId="223C39E8">
            <wp:extent cx="5334000" cy="3134925"/>
            <wp:effectExtent l="0" t="0" r="0" b="0"/>
            <wp:docPr id="24" name="Picture" descr="Croissance MRR et clients payants — scénario de référ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assets/bp/bp-mrr-croissanc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4A41E" w14:textId="77777777" w:rsidR="00D33874" w:rsidRPr="00AB605F" w:rsidRDefault="00D33874">
      <w:pPr>
        <w:pStyle w:val="Corpsdetexte"/>
        <w:rPr>
          <w:rFonts w:ascii="Calibri" w:hAnsi="Calibri" w:cs="Calibri"/>
          <w:lang w:val="fr-FR"/>
        </w:rPr>
      </w:pPr>
    </w:p>
    <w:p w14:paraId="401B8513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pict w14:anchorId="7B5AC712">
          <v:rect id="_x0000_i1507" style="width:0;height:1.5pt" o:hralign="center" o:hrstd="t" o:hr="t"/>
        </w:pict>
      </w:r>
    </w:p>
    <w:p w14:paraId="7ACCFABF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2" w:name="problème-et-solution"/>
      <w:bookmarkEnd w:id="1"/>
      <w:r w:rsidRPr="00AB605F">
        <w:rPr>
          <w:rFonts w:cs="Calibri"/>
          <w:lang w:val="fr-FR"/>
        </w:rPr>
        <w:lastRenderedPageBreak/>
        <w:t>2. Problème et solution</w:t>
      </w:r>
    </w:p>
    <w:p w14:paraId="24BC7137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3" w:name="problème"/>
      <w:r w:rsidRPr="00AB605F">
        <w:rPr>
          <w:rFonts w:cs="Calibri"/>
          <w:lang w:val="fr-FR"/>
        </w:rPr>
        <w:t>Problème</w:t>
      </w:r>
    </w:p>
    <w:p w14:paraId="0869D9ED" w14:textId="77777777" w:rsidR="00166312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 xml:space="preserve">Les institutions culturelles produisent leur médiation avec des outils fragmentés : rédaction manuelle, studio audio, traductions coûteuses, QR vers pages statiques, compteurs de passages sans dimension émotionnelle ni origine géographique du public. </w:t>
      </w:r>
    </w:p>
    <w:p w14:paraId="6C502052" w14:textId="71D16057" w:rsidR="00946D52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Semaines de préparation, un discours unique, peu de retour qualitatif.</w:t>
      </w:r>
    </w:p>
    <w:p w14:paraId="58F4E5B8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4" w:name="solution-aimediart"/>
      <w:bookmarkEnd w:id="3"/>
      <w:r w:rsidRPr="00AB605F">
        <w:rPr>
          <w:rFonts w:cs="Calibri"/>
          <w:lang w:val="fr-FR"/>
        </w:rPr>
        <w:t>Solution AIMEDIArt</w:t>
      </w:r>
    </w:p>
    <w:p w14:paraId="461DAE77" w14:textId="77777777" w:rsidR="00946D52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>Une chaîne unifiée : photo → 8 registres de discours × jusqu’à 5 langues × voix audio</w:t>
      </w:r>
      <w:r w:rsidRPr="00AB605F">
        <w:rPr>
          <w:rStyle w:val="Appelnotedebasdep"/>
          <w:rFonts w:ascii="Calibri" w:hAnsi="Calibri" w:cs="Calibri"/>
          <w:lang w:val="fr-FR"/>
        </w:rPr>
        <w:footnoteReference w:id="12"/>
      </w:r>
      <w:r w:rsidRPr="00AB605F">
        <w:rPr>
          <w:rFonts w:ascii="Calibri" w:hAnsi="Calibri" w:cs="Calibri"/>
          <w:lang w:val="fr-FR"/>
        </w:rPr>
        <w:t xml:space="preserve"> → cartels QR → expérience visiteur sur mobile sans application</w:t>
      </w:r>
      <w:r w:rsidRPr="00AB605F">
        <w:rPr>
          <w:rStyle w:val="Appelnotedebasdep"/>
          <w:rFonts w:ascii="Calibri" w:hAnsi="Calibri" w:cs="Calibri"/>
          <w:lang w:val="fr-FR"/>
        </w:rPr>
        <w:footnoteReference w:id="13"/>
      </w:r>
      <w:r w:rsidRPr="00AB605F">
        <w:rPr>
          <w:rFonts w:ascii="Calibri" w:hAnsi="Calibri" w:cs="Calibri"/>
          <w:lang w:val="fr-FR"/>
        </w:rPr>
        <w:t xml:space="preserve"> → émotion et cœurs à chaud → statistiques et carte géographique.</w:t>
      </w:r>
    </w:p>
    <w:p w14:paraId="22BDCD37" w14:textId="77777777" w:rsidR="00225E37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Différenciation :</w:t>
      </w:r>
      <w:r w:rsidRPr="00AB605F">
        <w:rPr>
          <w:rFonts w:ascii="Calibri" w:hAnsi="Calibri" w:cs="Calibri"/>
          <w:lang w:val="fr-FR"/>
        </w:rPr>
        <w:t xml:space="preserve"> production IA accélérée + contrôle éditorial humain + mesure qualitative + cartographie visiteurs/organisateurs sans suivi GPS</w:t>
      </w:r>
      <w:r w:rsidRPr="00AB605F">
        <w:rPr>
          <w:rStyle w:val="Appelnotedebasdep"/>
          <w:rFonts w:ascii="Calibri" w:hAnsi="Calibri" w:cs="Calibri"/>
          <w:lang w:val="fr-FR"/>
        </w:rPr>
        <w:footnoteReference w:id="14"/>
      </w:r>
      <w:r w:rsidRPr="00AB605F">
        <w:rPr>
          <w:rFonts w:ascii="Calibri" w:hAnsi="Calibri" w:cs="Calibri"/>
          <w:lang w:val="fr-FR"/>
        </w:rPr>
        <w:t>.</w:t>
      </w:r>
    </w:p>
    <w:p w14:paraId="7BBAF746" w14:textId="4C278247" w:rsidR="00946D52" w:rsidRPr="00AB605F" w:rsidRDefault="00225E37">
      <w:pPr>
        <w:pStyle w:val="Corpsdetexte"/>
        <w:rPr>
          <w:rFonts w:ascii="Calibri" w:hAnsi="Calibri" w:cs="Calibri"/>
          <w:lang w:val="fr-FR"/>
        </w:rPr>
      </w:pPr>
      <w:r w:rsidRPr="00AB605F">
        <w:rPr>
          <w:noProof/>
          <w:lang w:val="fr-FR"/>
        </w:rPr>
        <w:drawing>
          <wp:inline distT="0" distB="0" distL="0" distR="0" wp14:anchorId="192CBD4A" wp14:editId="646685CA">
            <wp:extent cx="6257290" cy="2108835"/>
            <wp:effectExtent l="0" t="0" r="0" b="5715"/>
            <wp:docPr id="32" name="Picture" descr="Chaîne de valeur AIMEDI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assets/bp/bp-workflow-chai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84" t="-557" r="483" b="26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29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CDA48A" w14:textId="79DD9105" w:rsidR="00D33874" w:rsidRPr="00AB605F" w:rsidRDefault="00D33874" w:rsidP="00D33874">
      <w:pPr>
        <w:pStyle w:val="CaptionedFigure"/>
        <w:jc w:val="center"/>
        <w:rPr>
          <w:lang w:val="fr-FR"/>
        </w:rPr>
      </w:pPr>
    </w:p>
    <w:p w14:paraId="4EAD35C9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pict w14:anchorId="6493F19A">
          <v:rect id="_x0000_i1508" style="width:0;height:1.5pt" o:hralign="center" o:hrstd="t" o:hr="t"/>
        </w:pict>
      </w:r>
    </w:p>
    <w:p w14:paraId="65F53583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5" w:name="analyse-de-marché"/>
      <w:bookmarkEnd w:id="2"/>
      <w:bookmarkEnd w:id="4"/>
      <w:r w:rsidRPr="00AB605F">
        <w:rPr>
          <w:rFonts w:cs="Calibri"/>
          <w:lang w:val="fr-FR"/>
        </w:rPr>
        <w:t>3. Analyse de marché</w:t>
      </w:r>
    </w:p>
    <w:p w14:paraId="6A4668F3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6" w:name="volume-dexpositions-en-france"/>
      <w:r w:rsidRPr="00AB605F">
        <w:rPr>
          <w:rFonts w:cs="Calibri"/>
          <w:lang w:val="fr-FR"/>
        </w:rPr>
        <w:t>3.1 Volume d’expositions en France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3663"/>
        <w:gridCol w:w="1889"/>
      </w:tblGrid>
      <w:tr w:rsidR="00946D52" w:rsidRPr="00AB605F" w14:paraId="203CED1B" w14:textId="77777777" w:rsidTr="00ED0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A351123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Catégorie</w:t>
            </w:r>
          </w:p>
        </w:tc>
        <w:tc>
          <w:tcPr>
            <w:tcW w:w="0" w:type="auto"/>
          </w:tcPr>
          <w:p w14:paraId="50DF43E8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Expositions / an</w:t>
            </w:r>
          </w:p>
        </w:tc>
      </w:tr>
      <w:tr w:rsidR="00946D52" w:rsidRPr="00AB605F" w14:paraId="3285B783" w14:textId="77777777" w:rsidTr="00ED02C5">
        <w:tc>
          <w:tcPr>
            <w:tcW w:w="0" w:type="auto"/>
          </w:tcPr>
          <w:p w14:paraId="5C60E5C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Peinture, dessin, arts graphiques</w:t>
            </w:r>
          </w:p>
        </w:tc>
        <w:tc>
          <w:tcPr>
            <w:tcW w:w="0" w:type="auto"/>
          </w:tcPr>
          <w:p w14:paraId="0C5BA2EB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12 000 – 15 000</w:t>
            </w:r>
          </w:p>
        </w:tc>
      </w:tr>
      <w:tr w:rsidR="00946D52" w:rsidRPr="00AB605F" w14:paraId="745ED7BE" w14:textId="77777777" w:rsidTr="00ED02C5">
        <w:tc>
          <w:tcPr>
            <w:tcW w:w="0" w:type="auto"/>
          </w:tcPr>
          <w:p w14:paraId="4EDDE18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Photographie</w:t>
            </w:r>
          </w:p>
        </w:tc>
        <w:tc>
          <w:tcPr>
            <w:tcW w:w="0" w:type="auto"/>
          </w:tcPr>
          <w:p w14:paraId="3121AFB7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5 000 – 7 000</w:t>
            </w:r>
          </w:p>
        </w:tc>
      </w:tr>
      <w:tr w:rsidR="00946D52" w:rsidRPr="00AB605F" w14:paraId="6725D5E3" w14:textId="77777777" w:rsidTr="00ED02C5">
        <w:tc>
          <w:tcPr>
            <w:tcW w:w="0" w:type="auto"/>
          </w:tcPr>
          <w:p w14:paraId="7587932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Sculpture et installations</w:t>
            </w:r>
          </w:p>
        </w:tc>
        <w:tc>
          <w:tcPr>
            <w:tcW w:w="0" w:type="auto"/>
          </w:tcPr>
          <w:p w14:paraId="6D2608A0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2 500 – 3 500</w:t>
            </w:r>
          </w:p>
        </w:tc>
      </w:tr>
      <w:tr w:rsidR="00946D52" w:rsidRPr="00AB605F" w14:paraId="38C2AF79" w14:textId="77777777" w:rsidTr="00ED02C5">
        <w:tc>
          <w:tcPr>
            <w:tcW w:w="0" w:type="auto"/>
          </w:tcPr>
          <w:p w14:paraId="318B57B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Art numérique et nouveaux médias</w:t>
            </w:r>
          </w:p>
        </w:tc>
        <w:tc>
          <w:tcPr>
            <w:tcW w:w="0" w:type="auto"/>
          </w:tcPr>
          <w:p w14:paraId="49B17AD9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1 000 – 1 500</w:t>
            </w:r>
          </w:p>
        </w:tc>
      </w:tr>
      <w:tr w:rsidR="00946D52" w:rsidRPr="00AB605F" w14:paraId="05000BB8" w14:textId="77777777" w:rsidTr="00ED02C5">
        <w:tc>
          <w:tcPr>
            <w:tcW w:w="0" w:type="auto"/>
          </w:tcPr>
          <w:p w14:paraId="1FD28A3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Design et arts décoratifs</w:t>
            </w:r>
          </w:p>
        </w:tc>
        <w:tc>
          <w:tcPr>
            <w:tcW w:w="0" w:type="auto"/>
          </w:tcPr>
          <w:p w14:paraId="6B0DA1AB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800 – 1 200</w:t>
            </w:r>
          </w:p>
        </w:tc>
      </w:tr>
      <w:tr w:rsidR="00946D52" w:rsidRPr="00AB605F" w14:paraId="0E7206B9" w14:textId="77777777" w:rsidTr="00ED02C5">
        <w:tc>
          <w:tcPr>
            <w:tcW w:w="0" w:type="auto"/>
          </w:tcPr>
          <w:p w14:paraId="6DCE4937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Total estimé</w:t>
            </w:r>
          </w:p>
        </w:tc>
        <w:tc>
          <w:tcPr>
            <w:tcW w:w="0" w:type="auto"/>
          </w:tcPr>
          <w:p w14:paraId="1DDBA5BD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~25 000 – 30 000</w:t>
            </w:r>
          </w:p>
        </w:tc>
      </w:tr>
    </w:tbl>
    <w:p w14:paraId="4778B07D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lastRenderedPageBreak/>
        <w:t>Structures clés :</w:t>
      </w:r>
    </w:p>
    <w:p w14:paraId="7C17779C" w14:textId="77777777" w:rsidR="00946D52" w:rsidRPr="00AB605F" w:rsidRDefault="00000000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1 220</w:t>
      </w:r>
      <w:r w:rsidRPr="00AB605F">
        <w:rPr>
          <w:rFonts w:cs="Calibri"/>
          <w:lang w:val="fr-FR"/>
        </w:rPr>
        <w:t xml:space="preserve"> Musées de France (3 à 5 expositions temporaires/an chacun)</w:t>
      </w:r>
    </w:p>
    <w:p w14:paraId="2A5CB2CC" w14:textId="77777777" w:rsidR="00ED02C5" w:rsidRPr="00AB605F" w:rsidRDefault="00000000" w:rsidP="00316409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~2 200</w:t>
      </w:r>
      <w:r w:rsidRPr="00AB605F">
        <w:rPr>
          <w:rFonts w:cs="Calibri"/>
          <w:lang w:val="fr-FR"/>
        </w:rPr>
        <w:t xml:space="preserve"> galeries privées (renouvellement toutes les 6–8 semaines)</w:t>
      </w:r>
    </w:p>
    <w:p w14:paraId="665D2405" w14:textId="277ABACB" w:rsidR="00946D52" w:rsidRPr="00AB605F" w:rsidRDefault="00000000" w:rsidP="00316409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51</w:t>
      </w:r>
      <w:r w:rsidRPr="00AB605F">
        <w:rPr>
          <w:rFonts w:cs="Calibri"/>
          <w:lang w:val="fr-FR"/>
        </w:rPr>
        <w:t xml:space="preserve"> centres d’art contemporain (réseau DCA</w:t>
      </w:r>
      <w:r w:rsidRPr="00AB605F">
        <w:rPr>
          <w:rStyle w:val="Appelnotedebasdep"/>
          <w:rFonts w:cs="Calibri"/>
          <w:lang w:val="fr-FR"/>
        </w:rPr>
        <w:footnoteReference w:id="15"/>
      </w:r>
      <w:r w:rsidRPr="00AB605F">
        <w:rPr>
          <w:rFonts w:cs="Calibri"/>
          <w:lang w:val="fr-FR"/>
        </w:rPr>
        <w:t xml:space="preserve"> — ~1,6 M visiteurs/an)</w:t>
      </w:r>
    </w:p>
    <w:p w14:paraId="1E3BD0F3" w14:textId="77777777" w:rsidR="00946D52" w:rsidRPr="00AB605F" w:rsidRDefault="00000000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43</w:t>
      </w:r>
      <w:r w:rsidRPr="00AB605F">
        <w:rPr>
          <w:rFonts w:cs="Calibri"/>
          <w:lang w:val="fr-FR"/>
        </w:rPr>
        <w:t xml:space="preserve"> centres culturels de rencontre (ACCR</w:t>
      </w:r>
      <w:r w:rsidRPr="00AB605F">
        <w:rPr>
          <w:rStyle w:val="Appelnotedebasdep"/>
          <w:rFonts w:cs="Calibri"/>
          <w:lang w:val="fr-FR"/>
        </w:rPr>
        <w:footnoteReference w:id="16"/>
      </w:r>
      <w:r w:rsidRPr="00AB605F">
        <w:rPr>
          <w:rFonts w:cs="Calibri"/>
          <w:lang w:val="fr-FR"/>
        </w:rPr>
        <w:t>, 15 pays)</w:t>
      </w:r>
    </w:p>
    <w:p w14:paraId="77CBBACA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7" w:name="segmentation-par-taille-dexposition"/>
      <w:bookmarkEnd w:id="6"/>
      <w:r w:rsidRPr="00AB605F">
        <w:rPr>
          <w:rFonts w:cs="Calibri"/>
          <w:lang w:val="fr-FR"/>
        </w:rPr>
        <w:t>3.2 Segmentation par taille d’exposition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489"/>
        <w:gridCol w:w="2157"/>
        <w:gridCol w:w="2157"/>
        <w:gridCol w:w="2158"/>
      </w:tblGrid>
      <w:tr w:rsidR="00946D52" w:rsidRPr="00AB605F" w14:paraId="28350667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69" w:type="dxa"/>
          </w:tcPr>
          <w:p w14:paraId="5DC9C048" w14:textId="77777777" w:rsidR="00946D52" w:rsidRPr="00AB605F" w:rsidRDefault="00000000">
            <w:pPr>
              <w:pStyle w:val="Compact"/>
              <w:rPr>
                <w:rFonts w:cs="Calibri"/>
                <w:b w:val="0"/>
                <w:bCs w:val="0"/>
                <w:lang w:val="fr-FR"/>
              </w:rPr>
            </w:pPr>
            <w:r w:rsidRPr="00AB605F">
              <w:rPr>
                <w:rFonts w:cs="Calibri"/>
                <w:b w:val="0"/>
                <w:bCs w:val="0"/>
                <w:lang w:val="fr-FR"/>
              </w:rPr>
              <w:t>Format</w:t>
            </w:r>
          </w:p>
        </w:tc>
        <w:tc>
          <w:tcPr>
            <w:tcW w:w="2084" w:type="dxa"/>
          </w:tcPr>
          <w:p w14:paraId="1FE26F6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b w:val="0"/>
                <w:bCs w:val="0"/>
                <w:lang w:val="fr-FR"/>
              </w:rPr>
            </w:pPr>
            <w:r w:rsidRPr="00AB605F">
              <w:rPr>
                <w:rFonts w:cs="Calibri"/>
                <w:b w:val="0"/>
                <w:bCs w:val="0"/>
                <w:lang w:val="fr-FR"/>
              </w:rPr>
              <w:t>Œuvres moy.</w:t>
            </w:r>
          </w:p>
        </w:tc>
        <w:tc>
          <w:tcPr>
            <w:tcW w:w="2084" w:type="dxa"/>
          </w:tcPr>
          <w:p w14:paraId="4CD7EBA7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b w:val="0"/>
                <w:bCs w:val="0"/>
                <w:lang w:val="fr-FR"/>
              </w:rPr>
            </w:pPr>
            <w:r w:rsidRPr="00AB605F">
              <w:rPr>
                <w:rFonts w:cs="Calibri"/>
                <w:b w:val="0"/>
                <w:bCs w:val="0"/>
                <w:lang w:val="fr-FR"/>
              </w:rPr>
              <w:t>Part du volume</w:t>
            </w:r>
          </w:p>
        </w:tc>
        <w:tc>
          <w:tcPr>
            <w:tcW w:w="2085" w:type="dxa"/>
          </w:tcPr>
          <w:p w14:paraId="12783279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b w:val="0"/>
                <w:bCs w:val="0"/>
                <w:lang w:val="fr-FR"/>
              </w:rPr>
            </w:pPr>
            <w:r w:rsidRPr="00AB605F">
              <w:rPr>
                <w:rFonts w:cs="Calibri"/>
                <w:b w:val="0"/>
                <w:bCs w:val="0"/>
                <w:lang w:val="fr-FR"/>
              </w:rPr>
              <w:t>Part du public</w:t>
            </w:r>
          </w:p>
        </w:tc>
      </w:tr>
      <w:tr w:rsidR="00946D52" w:rsidRPr="00AB605F" w14:paraId="1B9A4111" w14:textId="77777777" w:rsidTr="00316409">
        <w:tc>
          <w:tcPr>
            <w:tcW w:w="3369" w:type="dxa"/>
          </w:tcPr>
          <w:p w14:paraId="15436AF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S</w:t>
            </w:r>
            <w:r w:rsidRPr="00AB605F">
              <w:rPr>
                <w:rFonts w:cs="Calibri"/>
                <w:lang w:val="fr-FR"/>
              </w:rPr>
              <w:t xml:space="preserve"> — Galeries / jeune création</w:t>
            </w:r>
          </w:p>
        </w:tc>
        <w:tc>
          <w:tcPr>
            <w:tcW w:w="2084" w:type="dxa"/>
          </w:tcPr>
          <w:p w14:paraId="566B85DB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~15</w:t>
            </w:r>
          </w:p>
        </w:tc>
        <w:tc>
          <w:tcPr>
            <w:tcW w:w="2084" w:type="dxa"/>
          </w:tcPr>
          <w:p w14:paraId="75FB139F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70 %</w:t>
            </w:r>
          </w:p>
        </w:tc>
        <w:tc>
          <w:tcPr>
            <w:tcW w:w="2085" w:type="dxa"/>
          </w:tcPr>
          <w:p w14:paraId="3C2CBEA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10 %</w:t>
            </w:r>
          </w:p>
        </w:tc>
      </w:tr>
      <w:tr w:rsidR="00946D52" w:rsidRPr="00AB605F" w14:paraId="6965C1EF" w14:textId="77777777" w:rsidTr="00316409">
        <w:tc>
          <w:tcPr>
            <w:tcW w:w="3369" w:type="dxa"/>
          </w:tcPr>
          <w:p w14:paraId="07BEF87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M</w:t>
            </w:r>
            <w:r w:rsidRPr="00AB605F">
              <w:rPr>
                <w:rFonts w:cs="Calibri"/>
                <w:lang w:val="fr-FR"/>
              </w:rPr>
              <w:t xml:space="preserve"> — Musées territoriaux / centres d’art</w:t>
            </w:r>
          </w:p>
        </w:tc>
        <w:tc>
          <w:tcPr>
            <w:tcW w:w="2084" w:type="dxa"/>
          </w:tcPr>
          <w:p w14:paraId="444E345C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~60</w:t>
            </w:r>
          </w:p>
        </w:tc>
        <w:tc>
          <w:tcPr>
            <w:tcW w:w="2084" w:type="dxa"/>
          </w:tcPr>
          <w:p w14:paraId="073B8C6F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25 %</w:t>
            </w:r>
          </w:p>
        </w:tc>
        <w:tc>
          <w:tcPr>
            <w:tcW w:w="2085" w:type="dxa"/>
          </w:tcPr>
          <w:p w14:paraId="12873E17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30 %</w:t>
            </w:r>
          </w:p>
        </w:tc>
      </w:tr>
      <w:tr w:rsidR="00946D52" w:rsidRPr="00AB605F" w14:paraId="68498E98" w14:textId="77777777" w:rsidTr="00316409">
        <w:tc>
          <w:tcPr>
            <w:tcW w:w="3369" w:type="dxa"/>
          </w:tcPr>
          <w:p w14:paraId="7FCDD5E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L</w:t>
            </w:r>
            <w:r w:rsidRPr="00AB605F">
              <w:rPr>
                <w:rFonts w:cs="Calibri"/>
                <w:lang w:val="fr-FR"/>
              </w:rPr>
              <w:t xml:space="preserve"> — Expositions à fort succès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17"/>
            </w:r>
            <w:r w:rsidRPr="00AB605F">
              <w:rPr>
                <w:rFonts w:cs="Calibri"/>
                <w:lang w:val="fr-FR"/>
              </w:rPr>
              <w:t xml:space="preserve"> / musées nationaux</w:t>
            </w:r>
          </w:p>
        </w:tc>
        <w:tc>
          <w:tcPr>
            <w:tcW w:w="2084" w:type="dxa"/>
          </w:tcPr>
          <w:p w14:paraId="1693BDDC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~180</w:t>
            </w:r>
          </w:p>
        </w:tc>
        <w:tc>
          <w:tcPr>
            <w:tcW w:w="2084" w:type="dxa"/>
          </w:tcPr>
          <w:p w14:paraId="3CE76A94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5 %</w:t>
            </w:r>
          </w:p>
        </w:tc>
        <w:tc>
          <w:tcPr>
            <w:tcW w:w="2085" w:type="dxa"/>
          </w:tcPr>
          <w:p w14:paraId="14F0787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60 %</w:t>
            </w:r>
          </w:p>
        </w:tc>
      </w:tr>
    </w:tbl>
    <w:p w14:paraId="267F4728" w14:textId="77777777" w:rsidR="00316409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Implication produit :</w:t>
      </w:r>
      <w:r w:rsidRPr="00AB605F">
        <w:rPr>
          <w:rFonts w:ascii="Calibri" w:hAnsi="Calibri" w:cs="Calibri"/>
          <w:lang w:val="fr-FR"/>
        </w:rPr>
        <w:t xml:space="preserve"> </w:t>
      </w:r>
    </w:p>
    <w:p w14:paraId="5C1A81EE" w14:textId="4607B6B0" w:rsidR="00316409" w:rsidRPr="00AB605F" w:rsidRDefault="00316409" w:rsidP="00316409">
      <w:pPr>
        <w:pStyle w:val="Corpsdetexte"/>
        <w:numPr>
          <w:ilvl w:val="0"/>
          <w:numId w:val="19"/>
        </w:numPr>
        <w:ind w:left="714" w:hanging="357"/>
        <w:contextualSpacing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 xml:space="preserve">l’abonnement </w:t>
      </w:r>
      <w:r w:rsidRPr="00AB605F">
        <w:rPr>
          <w:rFonts w:ascii="Calibri" w:hAnsi="Calibri" w:cs="Calibri"/>
          <w:b/>
          <w:bCs/>
          <w:lang w:val="fr-FR"/>
        </w:rPr>
        <w:t>Atelier</w:t>
      </w:r>
      <w:r w:rsidRPr="00AB605F">
        <w:rPr>
          <w:rFonts w:ascii="Calibri" w:hAnsi="Calibri" w:cs="Calibri"/>
          <w:lang w:val="fr-FR"/>
        </w:rPr>
        <w:t xml:space="preserve"> (100 œuvres) cible le format S–M ; </w:t>
      </w:r>
    </w:p>
    <w:p w14:paraId="5F24CC40" w14:textId="77777777" w:rsidR="00316409" w:rsidRPr="00AB605F" w:rsidRDefault="00316409" w:rsidP="00316409">
      <w:pPr>
        <w:pStyle w:val="Corpsdetexte"/>
        <w:numPr>
          <w:ilvl w:val="0"/>
          <w:numId w:val="19"/>
        </w:numPr>
        <w:ind w:left="714" w:hanging="357"/>
        <w:contextualSpacing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 xml:space="preserve">l’abonnement </w:t>
      </w:r>
      <w:r w:rsidRPr="00AB605F">
        <w:rPr>
          <w:rFonts w:ascii="Calibri" w:hAnsi="Calibri" w:cs="Calibri"/>
          <w:b/>
          <w:bCs/>
          <w:lang w:val="fr-FR"/>
        </w:rPr>
        <w:t>Horizon</w:t>
      </w:r>
      <w:r w:rsidRPr="00AB605F">
        <w:rPr>
          <w:rFonts w:ascii="Calibri" w:hAnsi="Calibri" w:cs="Calibri"/>
          <w:lang w:val="fr-FR"/>
        </w:rPr>
        <w:t xml:space="preserve"> (500 œuvres) le format M–L ; </w:t>
      </w:r>
    </w:p>
    <w:p w14:paraId="68F04D9C" w14:textId="21BC9E1A" w:rsidR="00946D52" w:rsidRPr="00AB605F" w:rsidRDefault="00316409" w:rsidP="00316409">
      <w:pPr>
        <w:pStyle w:val="Corpsdetexte"/>
        <w:numPr>
          <w:ilvl w:val="0"/>
          <w:numId w:val="19"/>
        </w:numPr>
        <w:ind w:left="714" w:hanging="357"/>
        <w:contextualSpacing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 xml:space="preserve">l’abonnement </w:t>
      </w:r>
      <w:r w:rsidRPr="00AB605F">
        <w:rPr>
          <w:rFonts w:ascii="Calibri" w:hAnsi="Calibri" w:cs="Calibri"/>
          <w:b/>
          <w:bCs/>
          <w:lang w:val="fr-FR"/>
        </w:rPr>
        <w:t>Rayonnement / Zénith</w:t>
      </w:r>
      <w:r w:rsidRPr="00AB605F">
        <w:rPr>
          <w:rFonts w:ascii="Calibri" w:hAnsi="Calibri" w:cs="Calibri"/>
          <w:lang w:val="fr-FR"/>
        </w:rPr>
        <w:t xml:space="preserve"> les grands comptes et événements exceptionnels.</w:t>
      </w:r>
    </w:p>
    <w:p w14:paraId="65DE4531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8" w:name="saisonnalité"/>
      <w:bookmarkEnd w:id="7"/>
      <w:r w:rsidRPr="00AB605F">
        <w:rPr>
          <w:rFonts w:cs="Calibri"/>
          <w:lang w:val="fr-FR"/>
        </w:rPr>
        <w:t>3.3 Saisonnalité</w:t>
      </w:r>
    </w:p>
    <w:p w14:paraId="4ED2092C" w14:textId="77777777" w:rsidR="00316409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 xml:space="preserve">~40 % des expositions entre </w:t>
      </w:r>
      <w:r w:rsidRPr="00AB605F">
        <w:rPr>
          <w:rFonts w:ascii="Calibri" w:hAnsi="Calibri" w:cs="Calibri"/>
          <w:b/>
          <w:bCs/>
          <w:lang w:val="fr-FR"/>
        </w:rPr>
        <w:t>avril et juillet</w:t>
      </w:r>
      <w:r w:rsidRPr="00AB605F">
        <w:rPr>
          <w:rFonts w:ascii="Calibri" w:hAnsi="Calibri" w:cs="Calibri"/>
          <w:lang w:val="fr-FR"/>
        </w:rPr>
        <w:t xml:space="preserve"> (festivals, foires). </w:t>
      </w:r>
    </w:p>
    <w:p w14:paraId="1B115BBE" w14:textId="35C7D8B9" w:rsidR="00946D52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t xml:space="preserve">Conséquence : pic d’acquisition au printemps, intérêt du </w:t>
      </w:r>
      <w:r w:rsidRPr="00AB605F">
        <w:rPr>
          <w:rFonts w:ascii="Calibri" w:hAnsi="Calibri" w:cs="Calibri"/>
          <w:b/>
          <w:bCs/>
          <w:lang w:val="fr-FR"/>
        </w:rPr>
        <w:t>plan veille</w:t>
      </w:r>
      <w:r w:rsidRPr="00AB605F">
        <w:rPr>
          <w:rFonts w:ascii="Calibri" w:hAnsi="Calibri" w:cs="Calibri"/>
          <w:lang w:val="fr-FR"/>
        </w:rPr>
        <w:t xml:space="preserve"> hors saison.</w:t>
      </w:r>
    </w:p>
    <w:p w14:paraId="282097FC" w14:textId="77777777" w:rsidR="00ED02C5" w:rsidRPr="00AB605F" w:rsidRDefault="00ED02C5" w:rsidP="00ED02C5">
      <w:pPr>
        <w:pStyle w:val="Corpsdetexte"/>
        <w:rPr>
          <w:lang w:val="fr-FR"/>
        </w:rPr>
      </w:pPr>
    </w:p>
    <w:p w14:paraId="03F953EE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9" w:name="marché-total-adressable-et-capturable"/>
      <w:bookmarkEnd w:id="8"/>
      <w:r w:rsidRPr="00AB605F">
        <w:rPr>
          <w:rFonts w:cs="Calibri"/>
          <w:lang w:val="fr-FR"/>
        </w:rPr>
        <w:t>3.4 Marché total, adressable et capturable</w:t>
      </w:r>
    </w:p>
    <w:tbl>
      <w:tblPr>
        <w:tblStyle w:val="TableauGrille1Clair"/>
        <w:tblW w:w="5139" w:type="pct"/>
        <w:tblLayout w:type="fixed"/>
        <w:tblLook w:val="0020" w:firstRow="1" w:lastRow="0" w:firstColumn="0" w:lastColumn="0" w:noHBand="0" w:noVBand="0"/>
      </w:tblPr>
      <w:tblGrid>
        <w:gridCol w:w="2167"/>
        <w:gridCol w:w="3816"/>
        <w:gridCol w:w="1907"/>
        <w:gridCol w:w="2348"/>
      </w:tblGrid>
      <w:tr w:rsidR="00946D52" w:rsidRPr="00AB605F" w14:paraId="36033E01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93" w:type="dxa"/>
          </w:tcPr>
          <w:p w14:paraId="0F15850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Niveau</w:t>
            </w:r>
          </w:p>
        </w:tc>
        <w:tc>
          <w:tcPr>
            <w:tcW w:w="3686" w:type="dxa"/>
          </w:tcPr>
          <w:p w14:paraId="479C9CB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Définition</w:t>
            </w:r>
          </w:p>
        </w:tc>
        <w:tc>
          <w:tcPr>
            <w:tcW w:w="1842" w:type="dxa"/>
          </w:tcPr>
          <w:p w14:paraId="5E358733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Volume</w:t>
            </w:r>
          </w:p>
        </w:tc>
        <w:tc>
          <w:tcPr>
            <w:tcW w:w="2268" w:type="dxa"/>
          </w:tcPr>
          <w:p w14:paraId="4690A47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Logique</w:t>
            </w:r>
          </w:p>
        </w:tc>
      </w:tr>
      <w:tr w:rsidR="00946D52" w:rsidRPr="00AB605F" w14:paraId="50BD6A49" w14:textId="77777777" w:rsidTr="00316409">
        <w:tc>
          <w:tcPr>
            <w:tcW w:w="2093" w:type="dxa"/>
          </w:tcPr>
          <w:p w14:paraId="356E8A1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Marché total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18"/>
            </w:r>
          </w:p>
        </w:tc>
        <w:tc>
          <w:tcPr>
            <w:tcW w:w="3686" w:type="dxa"/>
          </w:tcPr>
          <w:p w14:paraId="6CB4C3D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Toutes expositions France pouvant utiliser une médiation QR</w:t>
            </w:r>
          </w:p>
        </w:tc>
        <w:tc>
          <w:tcPr>
            <w:tcW w:w="1842" w:type="dxa"/>
          </w:tcPr>
          <w:p w14:paraId="6DC9D20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~27 000 expos/an</w:t>
            </w:r>
          </w:p>
        </w:tc>
        <w:tc>
          <w:tcPr>
            <w:tcW w:w="2268" w:type="dxa"/>
          </w:tcPr>
          <w:p w14:paraId="728AC53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Potentiel théorique</w:t>
            </w:r>
          </w:p>
        </w:tc>
      </w:tr>
      <w:tr w:rsidR="00946D52" w:rsidRPr="00AB605F" w14:paraId="76C21F5D" w14:textId="77777777" w:rsidTr="00316409">
        <w:tc>
          <w:tcPr>
            <w:tcW w:w="2093" w:type="dxa"/>
          </w:tcPr>
          <w:p w14:paraId="0DA3441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Marché adressable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19"/>
            </w:r>
          </w:p>
        </w:tc>
        <w:tc>
          <w:tcPr>
            <w:tcW w:w="3686" w:type="dxa"/>
          </w:tcPr>
          <w:p w14:paraId="4B790552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Structures récurrentes abonnables (musées, centres d’art, galeries haut de gamme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20"/>
            </w:r>
            <w:r w:rsidRPr="00AB605F">
              <w:rPr>
                <w:rFonts w:cs="Calibri"/>
                <w:lang w:val="fr-FR"/>
              </w:rPr>
              <w:t>, FRAC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21"/>
            </w:r>
            <w:r w:rsidRPr="00AB605F">
              <w:rPr>
                <w:rFonts w:cs="Calibri"/>
                <w:lang w:val="fr-FR"/>
              </w:rPr>
              <w:t>)</w:t>
            </w:r>
          </w:p>
        </w:tc>
        <w:tc>
          <w:tcPr>
            <w:tcW w:w="1842" w:type="dxa"/>
          </w:tcPr>
          <w:p w14:paraId="7CCDED22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~3 500 – 4 000 structures</w:t>
            </w:r>
          </w:p>
        </w:tc>
        <w:tc>
          <w:tcPr>
            <w:tcW w:w="2268" w:type="dxa"/>
          </w:tcPr>
          <w:p w14:paraId="030F231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Cible professionnelle récurrente</w:t>
            </w:r>
          </w:p>
        </w:tc>
      </w:tr>
      <w:tr w:rsidR="00946D52" w:rsidRPr="00AB605F" w14:paraId="75506591" w14:textId="77777777" w:rsidTr="00316409">
        <w:tc>
          <w:tcPr>
            <w:tcW w:w="2093" w:type="dxa"/>
          </w:tcPr>
          <w:p w14:paraId="103A3637" w14:textId="25557F14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Part capturable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22"/>
            </w:r>
            <w:r w:rsidRPr="00AB605F">
              <w:rPr>
                <w:rFonts w:cs="Calibri"/>
                <w:lang w:val="fr-FR"/>
              </w:rPr>
              <w:t xml:space="preserve"> </w:t>
            </w:r>
            <w:r w:rsidR="00316409" w:rsidRPr="00AB605F">
              <w:rPr>
                <w:rFonts w:cs="Calibri"/>
                <w:lang w:val="fr-FR"/>
              </w:rPr>
              <w:t xml:space="preserve">en </w:t>
            </w:r>
            <w:r w:rsidRPr="00AB605F">
              <w:rPr>
                <w:rFonts w:cs="Calibri"/>
                <w:lang w:val="fr-FR"/>
              </w:rPr>
              <w:t>A3</w:t>
            </w:r>
          </w:p>
        </w:tc>
        <w:tc>
          <w:tcPr>
            <w:tcW w:w="3686" w:type="dxa"/>
          </w:tcPr>
          <w:p w14:paraId="243E971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Clients payants AIMEDIArt fin année 3 (référence)</w:t>
            </w:r>
          </w:p>
        </w:tc>
        <w:tc>
          <w:tcPr>
            <w:tcW w:w="1842" w:type="dxa"/>
          </w:tcPr>
          <w:p w14:paraId="30C0DF30" w14:textId="77777777" w:rsidR="00316409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95 abonnés</w:t>
            </w:r>
            <w:r w:rsidRPr="00AB605F">
              <w:rPr>
                <w:rFonts w:cs="Calibri"/>
                <w:lang w:val="fr-FR"/>
              </w:rPr>
              <w:t xml:space="preserve"> </w:t>
            </w:r>
          </w:p>
          <w:p w14:paraId="10377FFD" w14:textId="1BC35C83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+ 3 Zénith</w:t>
            </w:r>
          </w:p>
        </w:tc>
        <w:tc>
          <w:tcPr>
            <w:tcW w:w="2268" w:type="dxa"/>
          </w:tcPr>
          <w:p w14:paraId="3C35C19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~2,5 – 3 % du marché adressable</w:t>
            </w:r>
          </w:p>
        </w:tc>
      </w:tr>
    </w:tbl>
    <w:p w14:paraId="28554FDB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lastRenderedPageBreak/>
        <w:t>Priorité géographique :</w:t>
      </w:r>
      <w:r w:rsidRPr="00AB605F">
        <w:rPr>
          <w:rFonts w:ascii="Calibri" w:hAnsi="Calibri" w:cs="Calibri"/>
          <w:lang w:val="fr-FR"/>
        </w:rPr>
        <w:t xml:space="preserve"> Île-de-France</w:t>
      </w:r>
      <w:r w:rsidRPr="00AB605F">
        <w:rPr>
          <w:rStyle w:val="Appelnotedebasdep"/>
          <w:rFonts w:ascii="Calibri" w:hAnsi="Calibri" w:cs="Calibri"/>
          <w:lang w:val="fr-FR"/>
        </w:rPr>
        <w:footnoteReference w:id="23"/>
      </w:r>
      <w:r w:rsidRPr="00AB605F">
        <w:rPr>
          <w:rFonts w:ascii="Calibri" w:hAnsi="Calibri" w:cs="Calibri"/>
          <w:lang w:val="fr-FR"/>
        </w:rPr>
        <w:t xml:space="preserve"> (~47 % de l’offre), puis axes photo (Occitanie, PACA) et pôles design (Auvergne-Rhône-Alpes).</w:t>
      </w:r>
    </w:p>
    <w:p w14:paraId="07183079" w14:textId="77777777" w:rsidR="00D33874" w:rsidRPr="00AB605F" w:rsidRDefault="00D33874" w:rsidP="00D33874">
      <w:pPr>
        <w:pStyle w:val="CaptionedFigure"/>
        <w:jc w:val="center"/>
        <w:rPr>
          <w:lang w:val="fr-FR"/>
        </w:rPr>
      </w:pPr>
      <w:r w:rsidRPr="00AB605F">
        <w:rPr>
          <w:noProof/>
          <w:lang w:val="fr-FR"/>
        </w:rPr>
        <w:drawing>
          <wp:inline distT="0" distB="0" distL="0" distR="0" wp14:anchorId="4608468F" wp14:editId="3CB3CD9E">
            <wp:extent cx="5333403" cy="3411110"/>
            <wp:effectExtent l="0" t="0" r="635" b="0"/>
            <wp:docPr id="49" name="Picture" descr="Carte des volumes par rég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assets/bp/carte-volumes-region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b="34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E7C664" w14:textId="77777777" w:rsidR="00D33874" w:rsidRPr="00AB605F" w:rsidRDefault="00D33874" w:rsidP="00D33874">
      <w:pPr>
        <w:pStyle w:val="CaptionedFigure"/>
        <w:jc w:val="center"/>
        <w:rPr>
          <w:lang w:val="fr-FR"/>
        </w:rPr>
      </w:pPr>
      <w:r w:rsidRPr="00AB605F">
        <w:rPr>
          <w:noProof/>
          <w:lang w:val="fr-FR"/>
        </w:rPr>
        <w:drawing>
          <wp:inline distT="0" distB="0" distL="0" distR="0" wp14:anchorId="29B2DADF" wp14:editId="342CA3CF">
            <wp:extent cx="4086714" cy="3140765"/>
            <wp:effectExtent l="0" t="0" r="9525" b="2540"/>
            <wp:docPr id="52" name="Picture" descr="Marché TAM → SAM → SO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assets/bp/bp-tam-sam-so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/>
                    <a:srcRect b="20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204" cy="316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BDCF2" w14:textId="77777777" w:rsidR="00D33874" w:rsidRPr="00AB605F" w:rsidRDefault="00D33874" w:rsidP="00D33874">
      <w:pPr>
        <w:pStyle w:val="CaptionedFigure"/>
        <w:jc w:val="center"/>
        <w:rPr>
          <w:lang w:val="fr-FR"/>
        </w:rPr>
      </w:pPr>
    </w:p>
    <w:p w14:paraId="0F7498D7" w14:textId="77777777" w:rsidR="00D33874" w:rsidRPr="00AB605F" w:rsidRDefault="00D33874">
      <w:pPr>
        <w:pStyle w:val="Corpsdetexte"/>
        <w:rPr>
          <w:rFonts w:ascii="Calibri" w:hAnsi="Calibri" w:cs="Calibri"/>
          <w:lang w:val="fr-FR"/>
        </w:rPr>
      </w:pPr>
    </w:p>
    <w:p w14:paraId="6BE558DA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lastRenderedPageBreak/>
        <w:pict w14:anchorId="1AA888B9">
          <v:rect id="_x0000_i1509" style="width:0;height:1.5pt" o:hralign="center" o:hrstd="t" o:hr="t"/>
        </w:pict>
      </w:r>
    </w:p>
    <w:p w14:paraId="588E8A4C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10" w:name="canevas-du-modèle-économiquebmc"/>
      <w:bookmarkEnd w:id="5"/>
      <w:bookmarkEnd w:id="9"/>
      <w:r w:rsidRPr="00AB605F">
        <w:rPr>
          <w:rFonts w:cs="Calibri"/>
          <w:lang w:val="fr-FR"/>
        </w:rPr>
        <w:t>4. Canevas du modèle économique</w:t>
      </w:r>
      <w:r w:rsidRPr="00AB605F">
        <w:rPr>
          <w:rStyle w:val="Appelnotedebasdep"/>
          <w:rFonts w:cs="Calibri"/>
          <w:lang w:val="fr-FR"/>
        </w:rPr>
        <w:footnoteReference w:id="24"/>
      </w:r>
    </w:p>
    <w:p w14:paraId="6F5C5D0C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11" w:name="segments-de-clientèle"/>
      <w:r w:rsidRPr="00AB605F">
        <w:rPr>
          <w:rFonts w:cs="Calibri"/>
          <w:lang w:val="fr-FR"/>
        </w:rPr>
        <w:t>Segments de clientèle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340"/>
        <w:gridCol w:w="2546"/>
        <w:gridCol w:w="4075"/>
      </w:tblGrid>
      <w:tr w:rsidR="00946D52" w:rsidRPr="00AB605F" w14:paraId="2D77688F" w14:textId="77777777" w:rsidTr="00ED0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27" w:type="dxa"/>
          </w:tcPr>
          <w:p w14:paraId="456A949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Segment</w:t>
            </w:r>
          </w:p>
        </w:tc>
        <w:tc>
          <w:tcPr>
            <w:tcW w:w="2459" w:type="dxa"/>
          </w:tcPr>
          <w:p w14:paraId="24D328D1" w14:textId="30877E54" w:rsidR="00946D52" w:rsidRPr="00AB605F" w:rsidRDefault="00316409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Abonnement typique</w:t>
            </w:r>
          </w:p>
        </w:tc>
        <w:tc>
          <w:tcPr>
            <w:tcW w:w="3936" w:type="dxa"/>
          </w:tcPr>
          <w:p w14:paraId="53D1AA19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Besoin principal</w:t>
            </w:r>
          </w:p>
        </w:tc>
      </w:tr>
      <w:tr w:rsidR="00946D52" w:rsidRPr="00AB605F" w14:paraId="6E339AAD" w14:textId="77777777" w:rsidTr="00ED02C5">
        <w:trPr>
          <w:trHeight w:val="586"/>
        </w:trPr>
        <w:tc>
          <w:tcPr>
            <w:tcW w:w="3227" w:type="dxa"/>
          </w:tcPr>
          <w:p w14:paraId="58F309D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Galeries et petites structures</w:t>
            </w:r>
          </w:p>
        </w:tc>
        <w:tc>
          <w:tcPr>
            <w:tcW w:w="2459" w:type="dxa"/>
          </w:tcPr>
          <w:p w14:paraId="7ECE7445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Étincelle → Atelier</w:t>
            </w:r>
          </w:p>
        </w:tc>
        <w:tc>
          <w:tcPr>
            <w:tcW w:w="3936" w:type="dxa"/>
          </w:tcPr>
          <w:p w14:paraId="514F671D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Coût maîtrisé, rapidité</w:t>
            </w:r>
          </w:p>
        </w:tc>
      </w:tr>
      <w:tr w:rsidR="00946D52" w:rsidRPr="00AB605F" w14:paraId="26B7F492" w14:textId="77777777" w:rsidTr="00ED02C5">
        <w:trPr>
          <w:trHeight w:val="586"/>
        </w:trPr>
        <w:tc>
          <w:tcPr>
            <w:tcW w:w="3227" w:type="dxa"/>
          </w:tcPr>
          <w:p w14:paraId="4CC1C23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Musées territoriaux, centres d’art</w:t>
            </w:r>
          </w:p>
        </w:tc>
        <w:tc>
          <w:tcPr>
            <w:tcW w:w="2459" w:type="dxa"/>
          </w:tcPr>
          <w:p w14:paraId="40441956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Horizon</w:t>
            </w:r>
          </w:p>
        </w:tc>
        <w:tc>
          <w:tcPr>
            <w:tcW w:w="3936" w:type="dxa"/>
          </w:tcPr>
          <w:p w14:paraId="0F8CC6EC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Volume d’œuvres, multilingue, statistiques</w:t>
            </w:r>
          </w:p>
        </w:tc>
      </w:tr>
      <w:tr w:rsidR="00946D52" w:rsidRPr="00AB605F" w14:paraId="28C5CD42" w14:textId="77777777" w:rsidTr="00ED02C5">
        <w:trPr>
          <w:trHeight w:val="586"/>
        </w:trPr>
        <w:tc>
          <w:tcPr>
            <w:tcW w:w="3227" w:type="dxa"/>
          </w:tcPr>
          <w:p w14:paraId="7A2E5EA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Institutions nationales, réseaux</w:t>
            </w:r>
          </w:p>
        </w:tc>
        <w:tc>
          <w:tcPr>
            <w:tcW w:w="2459" w:type="dxa"/>
          </w:tcPr>
          <w:p w14:paraId="5FF20FCC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Rayonnement</w:t>
            </w:r>
          </w:p>
        </w:tc>
        <w:tc>
          <w:tcPr>
            <w:tcW w:w="3936" w:type="dxa"/>
          </w:tcPr>
          <w:p w14:paraId="6454EAEF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Illimité, sur devis</w:t>
            </w:r>
          </w:p>
        </w:tc>
      </w:tr>
      <w:tr w:rsidR="00946D52" w:rsidRPr="00AB605F" w14:paraId="0FBCA101" w14:textId="77777777" w:rsidTr="00ED02C5">
        <w:trPr>
          <w:trHeight w:val="586"/>
        </w:trPr>
        <w:tc>
          <w:tcPr>
            <w:tcW w:w="3227" w:type="dxa"/>
          </w:tcPr>
          <w:p w14:paraId="47602F2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Grands événements (biennale, festival)</w:t>
            </w:r>
          </w:p>
        </w:tc>
        <w:tc>
          <w:tcPr>
            <w:tcW w:w="2459" w:type="dxa"/>
          </w:tcPr>
          <w:p w14:paraId="4FFE8ECA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Zénith</w:t>
            </w:r>
          </w:p>
        </w:tc>
        <w:tc>
          <w:tcPr>
            <w:tcW w:w="3936" w:type="dxa"/>
          </w:tcPr>
          <w:p w14:paraId="73B8B31F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Projet ponctuel clé en main</w:t>
            </w:r>
          </w:p>
        </w:tc>
      </w:tr>
    </w:tbl>
    <w:p w14:paraId="527956D7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12" w:name="propositions-de-valeur"/>
      <w:bookmarkEnd w:id="11"/>
      <w:r w:rsidRPr="00AB605F">
        <w:rPr>
          <w:rFonts w:cs="Calibri"/>
          <w:lang w:val="fr-FR"/>
        </w:rPr>
        <w:t>Propositions de valeur</w:t>
      </w:r>
    </w:p>
    <w:p w14:paraId="6598E5CC" w14:textId="12B10FEE" w:rsidR="00946D52" w:rsidRPr="00AB605F" w:rsidRDefault="00000000" w:rsidP="00497D70">
      <w:pPr>
        <w:pStyle w:val="Compact"/>
        <w:numPr>
          <w:ilvl w:val="0"/>
          <w:numId w:val="3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Produire dix fois plus vite</w:t>
      </w:r>
      <w:r w:rsidRPr="00AB605F">
        <w:rPr>
          <w:rFonts w:cs="Calibri"/>
          <w:lang w:val="fr-FR"/>
        </w:rPr>
        <w:t xml:space="preserve"> — médiation complète en heures plutôt qu’en semaines</w:t>
      </w:r>
      <w:r w:rsidRPr="00AB605F">
        <w:rPr>
          <w:rFonts w:cs="Calibri"/>
          <w:lang w:val="fr-FR"/>
        </w:rPr>
        <w:br/>
      </w:r>
      <w:r w:rsidRPr="00AB605F">
        <w:rPr>
          <w:rFonts w:cs="Calibri"/>
          <w:b/>
          <w:bCs/>
          <w:lang w:val="fr-FR"/>
        </w:rPr>
        <w:t>Personnaliser</w:t>
      </w:r>
      <w:r w:rsidRPr="00AB605F">
        <w:rPr>
          <w:rFonts w:cs="Calibri"/>
          <w:lang w:val="fr-FR"/>
        </w:rPr>
        <w:t xml:space="preserve"> — 8 registres, 5 langues, voix audio</w:t>
      </w:r>
      <w:r w:rsidRPr="00AB605F">
        <w:rPr>
          <w:rFonts w:cs="Calibri"/>
          <w:lang w:val="fr-FR"/>
        </w:rPr>
        <w:br/>
      </w:r>
      <w:r w:rsidRPr="00AB605F">
        <w:rPr>
          <w:rFonts w:cs="Calibri"/>
          <w:b/>
          <w:bCs/>
          <w:lang w:val="fr-FR"/>
        </w:rPr>
        <w:t>Mesurer</w:t>
      </w:r>
      <w:r w:rsidRPr="00AB605F">
        <w:rPr>
          <w:rFonts w:cs="Calibri"/>
          <w:lang w:val="fr-FR"/>
        </w:rPr>
        <w:t xml:space="preserve"> — émotion par œuvre + carte géographique du public</w:t>
      </w:r>
    </w:p>
    <w:p w14:paraId="35B4B53A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13" w:name="canaux"/>
      <w:bookmarkEnd w:id="12"/>
      <w:r w:rsidRPr="00AB605F">
        <w:rPr>
          <w:rFonts w:cs="Calibri"/>
          <w:lang w:val="fr-FR"/>
        </w:rPr>
        <w:t>Canaux</w:t>
      </w:r>
    </w:p>
    <w:p w14:paraId="70993E0C" w14:textId="74DE781D" w:rsidR="00946D52" w:rsidRPr="00AB605F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Vente directe (démonstration, site</w:t>
      </w:r>
      <w:r w:rsidR="00316409" w:rsidRPr="00AB605F">
        <w:rPr>
          <w:rFonts w:cs="Calibri"/>
          <w:lang w:val="fr-FR"/>
        </w:rPr>
        <w:t xml:space="preserve"> vitrine</w:t>
      </w:r>
      <w:r w:rsidRPr="00AB605F">
        <w:rPr>
          <w:rFonts w:cs="Calibri"/>
          <w:lang w:val="fr-FR"/>
        </w:rPr>
        <w:t>, essai Étincelle 30 jours)</w:t>
      </w:r>
    </w:p>
    <w:p w14:paraId="41EE333E" w14:textId="77777777" w:rsidR="00946D52" w:rsidRPr="00AB605F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Réseaux professionnels (DCA</w:t>
      </w:r>
      <w:r w:rsidRPr="00AB605F">
        <w:rPr>
          <w:rStyle w:val="Appelnotedebasdep"/>
          <w:rFonts w:cs="Calibri"/>
          <w:lang w:val="fr-FR"/>
        </w:rPr>
        <w:footnoteReference w:id="25"/>
      </w:r>
      <w:r w:rsidRPr="00AB605F">
        <w:rPr>
          <w:rFonts w:cs="Calibri"/>
          <w:lang w:val="fr-FR"/>
        </w:rPr>
        <w:t>, ICOM</w:t>
      </w:r>
      <w:r w:rsidRPr="00AB605F">
        <w:rPr>
          <w:rStyle w:val="Appelnotedebasdep"/>
          <w:rFonts w:cs="Calibri"/>
          <w:lang w:val="fr-FR"/>
        </w:rPr>
        <w:footnoteReference w:id="26"/>
      </w:r>
      <w:r w:rsidRPr="00AB605F">
        <w:rPr>
          <w:rFonts w:cs="Calibri"/>
          <w:lang w:val="fr-FR"/>
        </w:rPr>
        <w:t>, NEMO</w:t>
      </w:r>
      <w:r w:rsidRPr="00AB605F">
        <w:rPr>
          <w:rStyle w:val="Appelnotedebasdep"/>
          <w:rFonts w:cs="Calibri"/>
          <w:lang w:val="fr-FR"/>
        </w:rPr>
        <w:footnoteReference w:id="27"/>
      </w:r>
      <w:r w:rsidRPr="00AB605F">
        <w:rPr>
          <w:rFonts w:cs="Calibri"/>
          <w:lang w:val="fr-FR"/>
        </w:rPr>
        <w:t>, ACCR</w:t>
      </w:r>
      <w:r w:rsidRPr="00AB605F">
        <w:rPr>
          <w:rStyle w:val="Appelnotedebasdep"/>
          <w:rFonts w:cs="Calibri"/>
          <w:lang w:val="fr-FR"/>
        </w:rPr>
        <w:footnoteReference w:id="28"/>
      </w:r>
      <w:r w:rsidRPr="00AB605F">
        <w:rPr>
          <w:rFonts w:cs="Calibri"/>
          <w:lang w:val="fr-FR"/>
        </w:rPr>
        <w:t>)</w:t>
      </w:r>
    </w:p>
    <w:p w14:paraId="6A30A61D" w14:textId="77777777" w:rsidR="00946D52" w:rsidRPr="00AB605F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Partenariats agences / commissaires</w:t>
      </w:r>
    </w:p>
    <w:p w14:paraId="6761A982" w14:textId="77777777" w:rsidR="00946D52" w:rsidRPr="00AB605F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Recommandation curatorale</w:t>
      </w:r>
    </w:p>
    <w:p w14:paraId="28B0CD8C" w14:textId="31CF54F2" w:rsidR="00946D52" w:rsidRPr="00AB605F" w:rsidRDefault="00000000">
      <w:pPr>
        <w:pStyle w:val="Titre3"/>
        <w:rPr>
          <w:rFonts w:cs="Calibri"/>
          <w:lang w:val="fr-FR"/>
        </w:rPr>
      </w:pPr>
      <w:bookmarkStart w:id="14" w:name="sources-de-revenus"/>
      <w:bookmarkEnd w:id="13"/>
      <w:r w:rsidRPr="00AB605F">
        <w:rPr>
          <w:rFonts w:cs="Calibri"/>
          <w:lang w:val="fr-FR"/>
        </w:rPr>
        <w:t>Sources de revenus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2188"/>
        <w:gridCol w:w="7773"/>
      </w:tblGrid>
      <w:tr w:rsidR="00946D52" w:rsidRPr="00AB605F" w14:paraId="34829AA7" w14:textId="77777777" w:rsidTr="002E2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35" w:type="dxa"/>
          </w:tcPr>
          <w:p w14:paraId="21CA4E3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Flux</w:t>
            </w:r>
          </w:p>
        </w:tc>
        <w:tc>
          <w:tcPr>
            <w:tcW w:w="7952" w:type="dxa"/>
          </w:tcPr>
          <w:p w14:paraId="6927BCCB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Détail</w:t>
            </w:r>
          </w:p>
        </w:tc>
      </w:tr>
      <w:tr w:rsidR="00946D52" w:rsidRPr="00AB605F" w14:paraId="742B2C10" w14:textId="77777777" w:rsidTr="002E2E2E">
        <w:tc>
          <w:tcPr>
            <w:tcW w:w="2235" w:type="dxa"/>
          </w:tcPr>
          <w:p w14:paraId="1173C98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Abonnements</w:t>
            </w:r>
          </w:p>
        </w:tc>
        <w:tc>
          <w:tcPr>
            <w:tcW w:w="7952" w:type="dxa"/>
          </w:tcPr>
          <w:p w14:paraId="2206A66B" w14:textId="1431C28F" w:rsidR="00946D52" w:rsidRPr="00AB605F" w:rsidRDefault="002E2E2E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Atelier 59 €/mois TTC, Horizon 149 €/mois TTC, Rayonnement 549 €/mois TTC</w:t>
            </w:r>
          </w:p>
        </w:tc>
      </w:tr>
      <w:tr w:rsidR="00946D52" w:rsidRPr="00AB605F" w14:paraId="3A99F295" w14:textId="77777777" w:rsidTr="002E2E2E">
        <w:tc>
          <w:tcPr>
            <w:tcW w:w="2235" w:type="dxa"/>
          </w:tcPr>
          <w:p w14:paraId="37464FC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Facturation annuelle</w:t>
            </w:r>
          </w:p>
        </w:tc>
        <w:tc>
          <w:tcPr>
            <w:tcW w:w="7952" w:type="dxa"/>
          </w:tcPr>
          <w:p w14:paraId="4ACF7E61" w14:textId="77777777" w:rsidR="002E2E2E" w:rsidRPr="00AB605F" w:rsidRDefault="002E2E2E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11 mois pour 12 (≈ −8,3 % par rapport au mensuel)</w:t>
            </w:r>
          </w:p>
          <w:p w14:paraId="1F70848E" w14:textId="728DF3D1" w:rsidR="00946D52" w:rsidRPr="00AB605F" w:rsidRDefault="002E2E2E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Rayonnement : 6 039 € TTC/an</w:t>
            </w:r>
          </w:p>
        </w:tc>
      </w:tr>
      <w:tr w:rsidR="00946D52" w:rsidRPr="00AB605F" w14:paraId="23262072" w14:textId="77777777" w:rsidTr="002E2E2E">
        <w:tc>
          <w:tcPr>
            <w:tcW w:w="2235" w:type="dxa"/>
          </w:tcPr>
          <w:p w14:paraId="3EFC246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Dépassements</w:t>
            </w:r>
          </w:p>
        </w:tc>
        <w:tc>
          <w:tcPr>
            <w:tcW w:w="7952" w:type="dxa"/>
          </w:tcPr>
          <w:p w14:paraId="6A0D814C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Packs œuvres / visiteurs au-delà des quotas</w:t>
            </w:r>
          </w:p>
        </w:tc>
      </w:tr>
      <w:tr w:rsidR="00946D52" w:rsidRPr="00AB605F" w14:paraId="0337A812" w14:textId="77777777" w:rsidTr="002E2E2E">
        <w:tc>
          <w:tcPr>
            <w:tcW w:w="2235" w:type="dxa"/>
          </w:tcPr>
          <w:p w14:paraId="08B7751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Options</w:t>
            </w:r>
          </w:p>
        </w:tc>
        <w:tc>
          <w:tcPr>
            <w:tcW w:w="7952" w:type="dxa"/>
          </w:tcPr>
          <w:p w14:paraId="01144F6D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Langues supplémentaires (+5 € Atelier, +15 € Horizon)</w:t>
            </w:r>
          </w:p>
        </w:tc>
      </w:tr>
      <w:tr w:rsidR="00946D52" w:rsidRPr="00AB605F" w14:paraId="69FD3EFC" w14:textId="77777777" w:rsidTr="002E2E2E">
        <w:tc>
          <w:tcPr>
            <w:tcW w:w="2235" w:type="dxa"/>
          </w:tcPr>
          <w:p w14:paraId="0937791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Plan veille</w:t>
            </w:r>
          </w:p>
        </w:tc>
        <w:tc>
          <w:tcPr>
            <w:tcW w:w="7952" w:type="dxa"/>
          </w:tcPr>
          <w:p w14:paraId="302DD97C" w14:textId="77777777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19 € (Atelier) / 49 € (Horizon)</w:t>
            </w:r>
          </w:p>
        </w:tc>
      </w:tr>
      <w:tr w:rsidR="00946D52" w:rsidRPr="00AB605F" w14:paraId="07DC1E8C" w14:textId="77777777" w:rsidTr="002E2E2E">
        <w:tc>
          <w:tcPr>
            <w:tcW w:w="2235" w:type="dxa"/>
          </w:tcPr>
          <w:p w14:paraId="3366419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Sur devis</w:t>
            </w:r>
          </w:p>
        </w:tc>
        <w:tc>
          <w:tcPr>
            <w:tcW w:w="7952" w:type="dxa"/>
          </w:tcPr>
          <w:p w14:paraId="74EECA84" w14:textId="4F58E363" w:rsidR="00946D52" w:rsidRPr="00AB605F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Zénith (ponctuel 15–17 k€)</w:t>
            </w:r>
          </w:p>
        </w:tc>
      </w:tr>
    </w:tbl>
    <w:p w14:paraId="228C8640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15" w:name="ressources-clés"/>
      <w:bookmarkEnd w:id="14"/>
      <w:r w:rsidRPr="00AB605F">
        <w:rPr>
          <w:rFonts w:cs="Calibri"/>
          <w:lang w:val="fr-FR"/>
        </w:rPr>
        <w:lastRenderedPageBreak/>
        <w:t>Ressources clés</w:t>
      </w:r>
    </w:p>
    <w:p w14:paraId="0407113B" w14:textId="77777777" w:rsidR="00946D52" w:rsidRPr="00AB605F" w:rsidRDefault="00000000">
      <w:pPr>
        <w:pStyle w:val="Compact"/>
        <w:numPr>
          <w:ilvl w:val="0"/>
          <w:numId w:val="5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Plateforme en ligne (React, Supabase</w:t>
      </w:r>
      <w:r w:rsidRPr="00AB605F">
        <w:rPr>
          <w:rStyle w:val="Appelnotedebasdep"/>
          <w:rFonts w:cs="Calibri"/>
          <w:lang w:val="fr-FR"/>
        </w:rPr>
        <w:footnoteReference w:id="29"/>
      </w:r>
      <w:r w:rsidRPr="00AB605F">
        <w:rPr>
          <w:rFonts w:cs="Calibri"/>
          <w:lang w:val="fr-FR"/>
        </w:rPr>
        <w:t>, fonctions serveur</w:t>
      </w:r>
      <w:r w:rsidRPr="00AB605F">
        <w:rPr>
          <w:rStyle w:val="Appelnotedebasdep"/>
          <w:rFonts w:cs="Calibri"/>
          <w:lang w:val="fr-FR"/>
        </w:rPr>
        <w:footnoteReference w:id="30"/>
      </w:r>
      <w:r w:rsidRPr="00AB605F">
        <w:rPr>
          <w:rFonts w:cs="Calibri"/>
          <w:lang w:val="fr-FR"/>
        </w:rPr>
        <w:t>, Groq, synthèse vocale</w:t>
      </w:r>
      <w:r w:rsidRPr="00AB605F">
        <w:rPr>
          <w:rStyle w:val="Appelnotedebasdep"/>
          <w:rFonts w:cs="Calibri"/>
          <w:lang w:val="fr-FR"/>
        </w:rPr>
        <w:footnoteReference w:id="31"/>
      </w:r>
      <w:r w:rsidRPr="00AB605F">
        <w:rPr>
          <w:rFonts w:cs="Calibri"/>
          <w:lang w:val="fr-FR"/>
        </w:rPr>
        <w:t>)</w:t>
      </w:r>
    </w:p>
    <w:p w14:paraId="1E2CBEF4" w14:textId="77777777" w:rsidR="00946D52" w:rsidRPr="00AB605F" w:rsidRDefault="00000000">
      <w:pPr>
        <w:pStyle w:val="Compact"/>
        <w:numPr>
          <w:ilvl w:val="0"/>
          <w:numId w:val="5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Grille tarifaire et moteur de facturation</w:t>
      </w:r>
      <w:r w:rsidRPr="00AB605F">
        <w:rPr>
          <w:rStyle w:val="Appelnotedebasdep"/>
          <w:rFonts w:cs="Calibri"/>
          <w:lang w:val="fr-FR"/>
        </w:rPr>
        <w:footnoteReference w:id="32"/>
      </w:r>
      <w:r w:rsidRPr="00AB605F">
        <w:rPr>
          <w:rFonts w:cs="Calibri"/>
          <w:lang w:val="fr-FR"/>
        </w:rPr>
        <w:t xml:space="preserve"> (</w:t>
      </w:r>
      <w:r w:rsidRPr="00AB605F">
        <w:rPr>
          <w:rStyle w:val="VerbatimChar"/>
          <w:rFonts w:ascii="Calibri" w:hAnsi="Calibri" w:cs="Calibri"/>
          <w:lang w:val="fr-FR"/>
        </w:rPr>
        <w:t>pricing</w:t>
      </w:r>
      <w:r w:rsidRPr="00AB605F">
        <w:rPr>
          <w:rFonts w:cs="Calibri"/>
          <w:lang w:val="fr-FR"/>
        </w:rPr>
        <w:t xml:space="preserve">, </w:t>
      </w:r>
      <w:r w:rsidRPr="00AB605F">
        <w:rPr>
          <w:rStyle w:val="VerbatimChar"/>
          <w:rFonts w:ascii="Calibri" w:hAnsi="Calibri" w:cs="Calibri"/>
          <w:lang w:val="fr-FR"/>
        </w:rPr>
        <w:t>organisation_subscriptions</w:t>
      </w:r>
      <w:r w:rsidRPr="00AB605F">
        <w:rPr>
          <w:rFonts w:cs="Calibri"/>
          <w:lang w:val="fr-FR"/>
        </w:rPr>
        <w:t>)</w:t>
      </w:r>
    </w:p>
    <w:p w14:paraId="35A66B29" w14:textId="77777777" w:rsidR="00946D52" w:rsidRPr="00AB605F" w:rsidRDefault="00000000">
      <w:pPr>
        <w:pStyle w:val="Compact"/>
        <w:numPr>
          <w:ilvl w:val="0"/>
          <w:numId w:val="5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Propriété intellectuelle (dépôt e-Soleau juin 2026)</w:t>
      </w:r>
    </w:p>
    <w:p w14:paraId="4C69D98A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16" w:name="coûts"/>
      <w:bookmarkEnd w:id="15"/>
      <w:r w:rsidRPr="00AB605F">
        <w:rPr>
          <w:rFonts w:cs="Calibri"/>
          <w:lang w:val="fr-FR"/>
        </w:rPr>
        <w:t>Coûts</w:t>
      </w:r>
    </w:p>
    <w:p w14:paraId="13CB4E37" w14:textId="77777777" w:rsidR="00946D52" w:rsidRPr="00AB605F" w:rsidRDefault="00000000" w:rsidP="00316409">
      <w:pPr>
        <w:pStyle w:val="Compact"/>
        <w:numPr>
          <w:ilvl w:val="0"/>
          <w:numId w:val="6"/>
        </w:numPr>
        <w:ind w:right="-800"/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Infrastructure fixe :</w:t>
      </w:r>
      <w:r w:rsidRPr="00AB605F">
        <w:rPr>
          <w:rFonts w:cs="Calibri"/>
          <w:lang w:val="fr-FR"/>
        </w:rPr>
        <w:t xml:space="preserve"> 500 €/mois au départ, +15 %/trimestre (hébergement, outils, administration)</w:t>
      </w:r>
    </w:p>
    <w:p w14:paraId="7984479A" w14:textId="77777777" w:rsidR="00946D52" w:rsidRPr="00AB605F" w:rsidRDefault="00000000">
      <w:pPr>
        <w:pStyle w:val="Compact"/>
        <w:numPr>
          <w:ilvl w:val="0"/>
          <w:numId w:val="6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Sous-traitance développement :</w:t>
      </w:r>
      <w:r w:rsidRPr="00AB605F">
        <w:rPr>
          <w:rFonts w:cs="Calibri"/>
          <w:lang w:val="fr-FR"/>
        </w:rPr>
        <w:t xml:space="preserve"> voir § 6.6 (1 développeur en référence, 5 en ambitieux)</w:t>
      </w:r>
    </w:p>
    <w:p w14:paraId="62BBE4EA" w14:textId="77777777" w:rsidR="00946D52" w:rsidRPr="00AB605F" w:rsidRDefault="00000000">
      <w:pPr>
        <w:pStyle w:val="Compact"/>
        <w:numPr>
          <w:ilvl w:val="0"/>
          <w:numId w:val="6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Variables :</w:t>
      </w:r>
      <w:r w:rsidRPr="00AB605F">
        <w:rPr>
          <w:rFonts w:cs="Calibri"/>
          <w:lang w:val="fr-FR"/>
        </w:rPr>
        <w:t xml:space="preserve"> 1 % du chiffre d’affaires HT (frais bancaires, commissions)</w:t>
      </w:r>
    </w:p>
    <w:p w14:paraId="5D49DC84" w14:textId="77777777" w:rsidR="00946D52" w:rsidRPr="00AB605F" w:rsidRDefault="00000000">
      <w:pPr>
        <w:pStyle w:val="Compact"/>
        <w:numPr>
          <w:ilvl w:val="0"/>
          <w:numId w:val="6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Coûts directs de service</w:t>
      </w:r>
      <w:r w:rsidRPr="00AB605F">
        <w:rPr>
          <w:rStyle w:val="Appelnotedebasdep"/>
          <w:rFonts w:cs="Calibri"/>
          <w:lang w:val="fr-FR"/>
        </w:rPr>
        <w:footnoteReference w:id="33"/>
      </w:r>
      <w:r w:rsidRPr="00AB605F">
        <w:rPr>
          <w:rFonts w:cs="Calibri"/>
          <w:lang w:val="fr-FR"/>
        </w:rPr>
        <w:t xml:space="preserve"> </w:t>
      </w:r>
      <w:r w:rsidRPr="00AB605F">
        <w:rPr>
          <w:rFonts w:cs="Calibri"/>
          <w:b/>
          <w:bCs/>
          <w:lang w:val="fr-FR"/>
        </w:rPr>
        <w:t>IA :</w:t>
      </w:r>
      <w:r w:rsidRPr="00AB605F">
        <w:rPr>
          <w:rFonts w:cs="Calibri"/>
          <w:lang w:val="fr-FR"/>
        </w:rPr>
        <w:t xml:space="preserve"> Groq + OpenAI TTS — suivi via </w:t>
      </w:r>
      <w:r w:rsidRPr="00AB605F">
        <w:rPr>
          <w:rStyle w:val="VerbatimChar"/>
          <w:rFonts w:ascii="Calibri" w:hAnsi="Calibri" w:cs="Calibri"/>
          <w:lang w:val="fr-FR"/>
        </w:rPr>
        <w:t>ai_usage_logs</w:t>
      </w:r>
    </w:p>
    <w:p w14:paraId="759DA94A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pict w14:anchorId="4E91EAA3">
          <v:rect id="_x0000_i1510" style="width:0;height:1.5pt" o:hralign="center" o:hrstd="t" o:hr="t"/>
        </w:pict>
      </w:r>
    </w:p>
    <w:p w14:paraId="3C7466F5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17" w:name="grille-tarifaire-référence-produit"/>
      <w:bookmarkEnd w:id="10"/>
      <w:bookmarkEnd w:id="16"/>
      <w:r w:rsidRPr="00AB605F">
        <w:rPr>
          <w:rFonts w:cs="Calibri"/>
          <w:lang w:val="fr-FR"/>
        </w:rPr>
        <w:t>5. Grille tarifaire (référence produit)</w:t>
      </w:r>
    </w:p>
    <w:p w14:paraId="589E8E35" w14:textId="77777777" w:rsidR="00946D52" w:rsidRPr="00AB605F" w:rsidRDefault="00000000">
      <w:pPr>
        <w:pStyle w:val="FirstParagraph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i/>
          <w:iCs/>
          <w:lang w:val="fr-FR"/>
        </w:rPr>
        <w:t xml:space="preserve">Alignée sur la table </w:t>
      </w:r>
      <w:r w:rsidRPr="00AB605F">
        <w:rPr>
          <w:rStyle w:val="VerbatimChar"/>
          <w:rFonts w:ascii="Calibri" w:hAnsi="Calibri" w:cs="Calibri"/>
          <w:i/>
          <w:iCs/>
          <w:lang w:val="fr-FR"/>
        </w:rPr>
        <w:t>pricing</w:t>
      </w:r>
      <w:r w:rsidRPr="00AB605F">
        <w:rPr>
          <w:rFonts w:ascii="Calibri" w:hAnsi="Calibri" w:cs="Calibri"/>
          <w:i/>
          <w:iCs/>
          <w:lang w:val="fr-FR"/>
        </w:rPr>
        <w:t xml:space="preserve"> du projet</w:t>
      </w:r>
    </w:p>
    <w:tbl>
      <w:tblPr>
        <w:tblStyle w:val="TableauGrille1Clair"/>
        <w:tblW w:w="5062" w:type="pct"/>
        <w:tblLayout w:type="fixed"/>
        <w:tblLook w:val="0020" w:firstRow="1" w:lastRow="0" w:firstColumn="0" w:lastColumn="0" w:noHBand="0" w:noVBand="0"/>
      </w:tblPr>
      <w:tblGrid>
        <w:gridCol w:w="1872"/>
        <w:gridCol w:w="1698"/>
        <w:gridCol w:w="1399"/>
        <w:gridCol w:w="2152"/>
        <w:gridCol w:w="2131"/>
        <w:gridCol w:w="833"/>
      </w:tblGrid>
      <w:tr w:rsidR="00946D52" w:rsidRPr="00AB605F" w14:paraId="7E5FE844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15" w:type="dxa"/>
          </w:tcPr>
          <w:p w14:paraId="55C272DA" w14:textId="56C4E485" w:rsidR="00946D52" w:rsidRPr="00AB605F" w:rsidRDefault="00316409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Abonnement</w:t>
            </w:r>
          </w:p>
        </w:tc>
        <w:tc>
          <w:tcPr>
            <w:tcW w:w="1736" w:type="dxa"/>
          </w:tcPr>
          <w:p w14:paraId="1FBCE8B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Prix TTC/mois</w:t>
            </w:r>
          </w:p>
        </w:tc>
        <w:tc>
          <w:tcPr>
            <w:tcW w:w="1430" w:type="dxa"/>
          </w:tcPr>
          <w:p w14:paraId="2D3988C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Œuvres</w:t>
            </w:r>
          </w:p>
        </w:tc>
        <w:tc>
          <w:tcPr>
            <w:tcW w:w="2202" w:type="dxa"/>
          </w:tcPr>
          <w:p w14:paraId="1342212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Visiteurs/mois</w:t>
            </w:r>
          </w:p>
        </w:tc>
        <w:tc>
          <w:tcPr>
            <w:tcW w:w="2181" w:type="dxa"/>
          </w:tcPr>
          <w:p w14:paraId="6AFD9DB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Langues médiation</w:t>
            </w:r>
          </w:p>
        </w:tc>
        <w:tc>
          <w:tcPr>
            <w:tcW w:w="849" w:type="dxa"/>
          </w:tcPr>
          <w:p w14:paraId="1E99690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Audio</w:t>
            </w:r>
          </w:p>
        </w:tc>
      </w:tr>
      <w:tr w:rsidR="00946D52" w:rsidRPr="00AB605F" w14:paraId="608F3191" w14:textId="77777777" w:rsidTr="00316409">
        <w:tc>
          <w:tcPr>
            <w:tcW w:w="1915" w:type="dxa"/>
          </w:tcPr>
          <w:p w14:paraId="405E830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Étincelle</w:t>
            </w:r>
          </w:p>
        </w:tc>
        <w:tc>
          <w:tcPr>
            <w:tcW w:w="1736" w:type="dxa"/>
            <w:vAlign w:val="center"/>
          </w:tcPr>
          <w:p w14:paraId="04D53CA6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0 € (essai 30 j)</w:t>
            </w:r>
          </w:p>
        </w:tc>
        <w:tc>
          <w:tcPr>
            <w:tcW w:w="1430" w:type="dxa"/>
            <w:vAlign w:val="center"/>
          </w:tcPr>
          <w:p w14:paraId="03845A04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</w:t>
            </w:r>
          </w:p>
        </w:tc>
        <w:tc>
          <w:tcPr>
            <w:tcW w:w="2202" w:type="dxa"/>
            <w:vAlign w:val="center"/>
          </w:tcPr>
          <w:p w14:paraId="077DF74A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100</w:t>
            </w:r>
          </w:p>
        </w:tc>
        <w:tc>
          <w:tcPr>
            <w:tcW w:w="2181" w:type="dxa"/>
            <w:vAlign w:val="center"/>
          </w:tcPr>
          <w:p w14:paraId="06848F54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</w:t>
            </w:r>
          </w:p>
        </w:tc>
        <w:tc>
          <w:tcPr>
            <w:tcW w:w="849" w:type="dxa"/>
            <w:vAlign w:val="center"/>
          </w:tcPr>
          <w:p w14:paraId="267B3AE5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Non</w:t>
            </w:r>
          </w:p>
        </w:tc>
      </w:tr>
      <w:tr w:rsidR="00946D52" w:rsidRPr="00AB605F" w14:paraId="69274DD3" w14:textId="77777777" w:rsidTr="00316409">
        <w:tc>
          <w:tcPr>
            <w:tcW w:w="1915" w:type="dxa"/>
          </w:tcPr>
          <w:p w14:paraId="706D615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Atelier</w:t>
            </w:r>
          </w:p>
        </w:tc>
        <w:tc>
          <w:tcPr>
            <w:tcW w:w="1736" w:type="dxa"/>
            <w:vAlign w:val="center"/>
          </w:tcPr>
          <w:p w14:paraId="2F3D16E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59 €</w:t>
            </w:r>
          </w:p>
        </w:tc>
        <w:tc>
          <w:tcPr>
            <w:tcW w:w="1430" w:type="dxa"/>
            <w:vAlign w:val="center"/>
          </w:tcPr>
          <w:p w14:paraId="55A3BDBB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100</w:t>
            </w:r>
          </w:p>
        </w:tc>
        <w:tc>
          <w:tcPr>
            <w:tcW w:w="2202" w:type="dxa"/>
            <w:vAlign w:val="center"/>
          </w:tcPr>
          <w:p w14:paraId="05B2A2C7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1 500</w:t>
            </w:r>
          </w:p>
        </w:tc>
        <w:tc>
          <w:tcPr>
            <w:tcW w:w="2181" w:type="dxa"/>
            <w:vAlign w:val="center"/>
          </w:tcPr>
          <w:p w14:paraId="311B58BA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1–2</w:t>
            </w:r>
          </w:p>
        </w:tc>
        <w:tc>
          <w:tcPr>
            <w:tcW w:w="849" w:type="dxa"/>
            <w:vAlign w:val="center"/>
          </w:tcPr>
          <w:p w14:paraId="0127A666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Oui</w:t>
            </w:r>
          </w:p>
        </w:tc>
      </w:tr>
      <w:tr w:rsidR="00946D52" w:rsidRPr="00AB605F" w14:paraId="51F8F7DD" w14:textId="77777777" w:rsidTr="00316409">
        <w:tc>
          <w:tcPr>
            <w:tcW w:w="1915" w:type="dxa"/>
          </w:tcPr>
          <w:p w14:paraId="23E18F6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Horizon</w:t>
            </w:r>
          </w:p>
        </w:tc>
        <w:tc>
          <w:tcPr>
            <w:tcW w:w="1736" w:type="dxa"/>
            <w:vAlign w:val="center"/>
          </w:tcPr>
          <w:p w14:paraId="1F46B850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149 €</w:t>
            </w:r>
          </w:p>
        </w:tc>
        <w:tc>
          <w:tcPr>
            <w:tcW w:w="1430" w:type="dxa"/>
            <w:vAlign w:val="center"/>
          </w:tcPr>
          <w:p w14:paraId="7719856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500</w:t>
            </w:r>
          </w:p>
        </w:tc>
        <w:tc>
          <w:tcPr>
            <w:tcW w:w="2202" w:type="dxa"/>
            <w:vAlign w:val="center"/>
          </w:tcPr>
          <w:p w14:paraId="291F2D3D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2 500</w:t>
            </w:r>
          </w:p>
        </w:tc>
        <w:tc>
          <w:tcPr>
            <w:tcW w:w="2181" w:type="dxa"/>
            <w:vAlign w:val="center"/>
          </w:tcPr>
          <w:p w14:paraId="2C1743D2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</w:t>
            </w:r>
          </w:p>
        </w:tc>
        <w:tc>
          <w:tcPr>
            <w:tcW w:w="849" w:type="dxa"/>
            <w:vAlign w:val="center"/>
          </w:tcPr>
          <w:p w14:paraId="13918DC8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Oui</w:t>
            </w:r>
          </w:p>
        </w:tc>
      </w:tr>
      <w:tr w:rsidR="00946D52" w:rsidRPr="00AB605F" w14:paraId="325F55F9" w14:textId="77777777" w:rsidTr="00316409">
        <w:tc>
          <w:tcPr>
            <w:tcW w:w="1915" w:type="dxa"/>
          </w:tcPr>
          <w:p w14:paraId="5749BAB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Rayonnement</w:t>
            </w:r>
          </w:p>
        </w:tc>
        <w:tc>
          <w:tcPr>
            <w:tcW w:w="1736" w:type="dxa"/>
            <w:vAlign w:val="center"/>
          </w:tcPr>
          <w:p w14:paraId="428BF73C" w14:textId="2B0D5DBE" w:rsidR="00946D52" w:rsidRPr="00AB605F" w:rsidRDefault="002E2E2E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549 €</w:t>
            </w:r>
          </w:p>
        </w:tc>
        <w:tc>
          <w:tcPr>
            <w:tcW w:w="1430" w:type="dxa"/>
            <w:vAlign w:val="center"/>
          </w:tcPr>
          <w:p w14:paraId="0E9897F6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Illimité</w:t>
            </w:r>
          </w:p>
        </w:tc>
        <w:tc>
          <w:tcPr>
            <w:tcW w:w="2202" w:type="dxa"/>
            <w:vAlign w:val="center"/>
          </w:tcPr>
          <w:p w14:paraId="0F0A5FB5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Illimité</w:t>
            </w:r>
          </w:p>
        </w:tc>
        <w:tc>
          <w:tcPr>
            <w:tcW w:w="2181" w:type="dxa"/>
            <w:vAlign w:val="center"/>
          </w:tcPr>
          <w:p w14:paraId="1C066418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Sur mesure</w:t>
            </w:r>
          </w:p>
        </w:tc>
        <w:tc>
          <w:tcPr>
            <w:tcW w:w="849" w:type="dxa"/>
            <w:vAlign w:val="center"/>
          </w:tcPr>
          <w:p w14:paraId="3C3AAF2E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Oui</w:t>
            </w:r>
          </w:p>
        </w:tc>
      </w:tr>
      <w:tr w:rsidR="00946D52" w:rsidRPr="00AB605F" w14:paraId="0E093B70" w14:textId="77777777" w:rsidTr="00316409">
        <w:tc>
          <w:tcPr>
            <w:tcW w:w="1915" w:type="dxa"/>
          </w:tcPr>
          <w:p w14:paraId="0E71F84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Zénith</w:t>
            </w:r>
          </w:p>
        </w:tc>
        <w:tc>
          <w:tcPr>
            <w:tcW w:w="1736" w:type="dxa"/>
            <w:vAlign w:val="center"/>
          </w:tcPr>
          <w:p w14:paraId="454E1521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Sur devis</w:t>
            </w:r>
          </w:p>
        </w:tc>
        <w:tc>
          <w:tcPr>
            <w:tcW w:w="1430" w:type="dxa"/>
            <w:vAlign w:val="center"/>
          </w:tcPr>
          <w:p w14:paraId="5F8D7751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Événement</w:t>
            </w:r>
          </w:p>
        </w:tc>
        <w:tc>
          <w:tcPr>
            <w:tcW w:w="2202" w:type="dxa"/>
            <w:vAlign w:val="center"/>
          </w:tcPr>
          <w:p w14:paraId="51274095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Événement</w:t>
            </w:r>
          </w:p>
        </w:tc>
        <w:tc>
          <w:tcPr>
            <w:tcW w:w="2181" w:type="dxa"/>
            <w:vAlign w:val="center"/>
          </w:tcPr>
          <w:p w14:paraId="69E56C04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Sur mesure</w:t>
            </w:r>
          </w:p>
        </w:tc>
        <w:tc>
          <w:tcPr>
            <w:tcW w:w="849" w:type="dxa"/>
            <w:vAlign w:val="center"/>
          </w:tcPr>
          <w:p w14:paraId="216DD821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Oui</w:t>
            </w:r>
          </w:p>
        </w:tc>
      </w:tr>
    </w:tbl>
    <w:p w14:paraId="1339FC2D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b/>
          <w:bCs/>
          <w:lang w:val="fr-FR"/>
        </w:rPr>
        <w:t>Dépassements (extraits) :</w:t>
      </w:r>
    </w:p>
    <w:p w14:paraId="3FB21808" w14:textId="74961A11" w:rsidR="00946D52" w:rsidRPr="00AB605F" w:rsidRDefault="00000000" w:rsidP="00316409">
      <w:pPr>
        <w:pStyle w:val="Compact"/>
        <w:numPr>
          <w:ilvl w:val="0"/>
          <w:numId w:val="7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Atelier : +25 œuvres → 15 € ; +500 visiteurs → 5 €</w:t>
      </w:r>
      <w:r w:rsidRPr="00AB605F">
        <w:rPr>
          <w:rFonts w:cs="Calibri"/>
          <w:lang w:val="fr-FR"/>
        </w:rPr>
        <w:br/>
        <w:t>Horizon : +50 œuvres → 20 € ; +500 visiteurs → 5 €</w:t>
      </w:r>
    </w:p>
    <w:p w14:paraId="017EDD38" w14:textId="489B0984" w:rsidR="00D33874" w:rsidRPr="00AB605F" w:rsidRDefault="00D33874" w:rsidP="00D33874">
      <w:pPr>
        <w:pStyle w:val="Compact"/>
        <w:jc w:val="center"/>
        <w:rPr>
          <w:rFonts w:cs="Calibri"/>
          <w:lang w:val="fr-FR"/>
        </w:rPr>
      </w:pPr>
      <w:r w:rsidRPr="00AB605F">
        <w:rPr>
          <w:noProof/>
          <w:lang w:val="fr-FR"/>
        </w:rPr>
        <w:drawing>
          <wp:inline distT="0" distB="0" distL="0" distR="0" wp14:anchorId="7EC8D75A" wp14:editId="3667C143">
            <wp:extent cx="4510068" cy="2628000"/>
            <wp:effectExtent l="0" t="0" r="5080" b="1270"/>
            <wp:docPr id="74" name="Picture" descr="Grille tarifaire AIMEDI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assets/bp/bp-grille-tarifair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/>
                    <a:srcRect b="8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068" cy="26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0C173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lastRenderedPageBreak/>
        <w:pict w14:anchorId="4EE3495A">
          <v:rect id="_x0000_i1511" style="width:0;height:1.5pt" o:hralign="center" o:hrstd="t" o:hr="t"/>
        </w:pict>
      </w:r>
    </w:p>
    <w:p w14:paraId="6B1A2ABF" w14:textId="2CA86D1B" w:rsidR="00946D52" w:rsidRPr="00AB605F" w:rsidRDefault="00000000">
      <w:pPr>
        <w:pStyle w:val="Titre2"/>
        <w:rPr>
          <w:rFonts w:cs="Calibri"/>
          <w:lang w:val="fr-FR"/>
        </w:rPr>
      </w:pPr>
      <w:bookmarkStart w:id="18" w:name="hypothèses-du-prévisionnel"/>
      <w:bookmarkEnd w:id="17"/>
      <w:r w:rsidRPr="00AB605F">
        <w:rPr>
          <w:rFonts w:cs="Calibri"/>
          <w:lang w:val="fr-FR"/>
        </w:rPr>
        <w:t>6. Hypothèses du prévisionnel</w:t>
      </w:r>
    </w:p>
    <w:p w14:paraId="63C5827B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19" w:name="paramètres-généraux"/>
      <w:r w:rsidRPr="00AB605F">
        <w:rPr>
          <w:rFonts w:cs="Calibri"/>
          <w:lang w:val="fr-FR"/>
        </w:rPr>
        <w:t>6.1 Paramètres généraux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3577"/>
        <w:gridCol w:w="2846"/>
      </w:tblGrid>
      <w:tr w:rsidR="00946D52" w:rsidRPr="00AB605F" w14:paraId="1887B84F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B2BA34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Paramètre</w:t>
            </w:r>
          </w:p>
        </w:tc>
        <w:tc>
          <w:tcPr>
            <w:tcW w:w="0" w:type="auto"/>
          </w:tcPr>
          <w:p w14:paraId="442347D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Valeur</w:t>
            </w:r>
          </w:p>
        </w:tc>
      </w:tr>
      <w:tr w:rsidR="00946D52" w:rsidRPr="00AB605F" w14:paraId="1C22692D" w14:textId="77777777" w:rsidTr="00316409">
        <w:tc>
          <w:tcPr>
            <w:tcW w:w="0" w:type="auto"/>
          </w:tcPr>
          <w:p w14:paraId="29B660D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Capital initial</w:t>
            </w:r>
          </w:p>
        </w:tc>
        <w:tc>
          <w:tcPr>
            <w:tcW w:w="0" w:type="auto"/>
            <w:vAlign w:val="center"/>
          </w:tcPr>
          <w:p w14:paraId="54AD6C59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4 900 €</w:t>
            </w:r>
          </w:p>
        </w:tc>
      </w:tr>
      <w:tr w:rsidR="00946D52" w:rsidRPr="00AB605F" w14:paraId="7BB3306C" w14:textId="77777777" w:rsidTr="00316409">
        <w:tc>
          <w:tcPr>
            <w:tcW w:w="0" w:type="auto"/>
          </w:tcPr>
          <w:p w14:paraId="6F29AAD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Frais fixes infrastructure au départ</w:t>
            </w:r>
          </w:p>
        </w:tc>
        <w:tc>
          <w:tcPr>
            <w:tcW w:w="0" w:type="auto"/>
            <w:vAlign w:val="center"/>
          </w:tcPr>
          <w:p w14:paraId="2C8B6BCC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500 €/mois</w:t>
            </w:r>
          </w:p>
        </w:tc>
      </w:tr>
      <w:tr w:rsidR="00946D52" w:rsidRPr="00AB605F" w14:paraId="6DFDA290" w14:textId="77777777" w:rsidTr="00316409">
        <w:tc>
          <w:tcPr>
            <w:tcW w:w="0" w:type="auto"/>
          </w:tcPr>
          <w:p w14:paraId="24558BB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Hausse frais fixes</w:t>
            </w:r>
          </w:p>
        </w:tc>
        <w:tc>
          <w:tcPr>
            <w:tcW w:w="0" w:type="auto"/>
            <w:vAlign w:val="center"/>
          </w:tcPr>
          <w:p w14:paraId="00DE5F60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+15 % / trimestre</w:t>
            </w:r>
          </w:p>
        </w:tc>
      </w:tr>
      <w:tr w:rsidR="00946D52" w:rsidRPr="00AB605F" w14:paraId="50859F41" w14:textId="77777777" w:rsidTr="00316409">
        <w:tc>
          <w:tcPr>
            <w:tcW w:w="0" w:type="auto"/>
          </w:tcPr>
          <w:p w14:paraId="3652737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Frais variables</w:t>
            </w:r>
          </w:p>
        </w:tc>
        <w:tc>
          <w:tcPr>
            <w:tcW w:w="0" w:type="auto"/>
            <w:vAlign w:val="center"/>
          </w:tcPr>
          <w:p w14:paraId="142452B5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1 % du chiffre d’affaires HT</w:t>
            </w:r>
          </w:p>
        </w:tc>
      </w:tr>
      <w:tr w:rsidR="00946D52" w:rsidRPr="00AB605F" w14:paraId="004CDB3B" w14:textId="77777777" w:rsidTr="00316409">
        <w:tc>
          <w:tcPr>
            <w:tcW w:w="0" w:type="auto"/>
          </w:tcPr>
          <w:p w14:paraId="313B4E9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TVA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34"/>
            </w:r>
            <w:r w:rsidRPr="00AB605F">
              <w:rPr>
                <w:rFonts w:cs="Calibri"/>
                <w:lang w:val="fr-FR"/>
              </w:rPr>
              <w:t xml:space="preserve"> sur ventes</w:t>
            </w:r>
          </w:p>
        </w:tc>
        <w:tc>
          <w:tcPr>
            <w:tcW w:w="0" w:type="auto"/>
            <w:vAlign w:val="center"/>
          </w:tcPr>
          <w:p w14:paraId="4B43BA3F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20 %</w:t>
            </w:r>
          </w:p>
        </w:tc>
      </w:tr>
      <w:tr w:rsidR="00946D52" w:rsidRPr="00AB605F" w14:paraId="4776A590" w14:textId="77777777" w:rsidTr="00316409">
        <w:tc>
          <w:tcPr>
            <w:tcW w:w="0" w:type="auto"/>
          </w:tcPr>
          <w:p w14:paraId="1F831FD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TVA déductible sur charges</w:t>
            </w:r>
          </w:p>
        </w:tc>
        <w:tc>
          <w:tcPr>
            <w:tcW w:w="0" w:type="auto"/>
            <w:vAlign w:val="center"/>
          </w:tcPr>
          <w:p w14:paraId="0468E71B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20 %</w:t>
            </w:r>
          </w:p>
        </w:tc>
      </w:tr>
    </w:tbl>
    <w:p w14:paraId="2DBA6C57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0" w:name="attrition-clientèlechurn"/>
      <w:bookmarkEnd w:id="19"/>
      <w:r w:rsidRPr="00AB605F">
        <w:rPr>
          <w:rFonts w:cs="Calibri"/>
          <w:lang w:val="fr-FR"/>
        </w:rPr>
        <w:t>6.2 Attrition clientèle</w:t>
      </w:r>
      <w:r w:rsidRPr="00AB605F">
        <w:rPr>
          <w:rStyle w:val="Appelnotedebasdep"/>
          <w:rFonts w:cs="Calibri"/>
          <w:lang w:val="fr-FR"/>
        </w:rPr>
        <w:footnoteReference w:id="35"/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3510"/>
        <w:gridCol w:w="2835"/>
      </w:tblGrid>
      <w:tr w:rsidR="00946D52" w:rsidRPr="00AB605F" w14:paraId="5AC3B30C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10" w:type="dxa"/>
          </w:tcPr>
          <w:p w14:paraId="63DB161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Paramètre</w:t>
            </w:r>
          </w:p>
        </w:tc>
        <w:tc>
          <w:tcPr>
            <w:tcW w:w="2835" w:type="dxa"/>
            <w:vAlign w:val="center"/>
          </w:tcPr>
          <w:p w14:paraId="66EADA40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Valeur</w:t>
            </w:r>
          </w:p>
        </w:tc>
      </w:tr>
      <w:tr w:rsidR="00946D52" w:rsidRPr="00AB605F" w14:paraId="31DD1E3D" w14:textId="77777777" w:rsidTr="007F1D11">
        <w:tc>
          <w:tcPr>
            <w:tcW w:w="3510" w:type="dxa"/>
          </w:tcPr>
          <w:p w14:paraId="20B8BF7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Début de l’attrition</w:t>
            </w:r>
          </w:p>
        </w:tc>
        <w:tc>
          <w:tcPr>
            <w:tcW w:w="2835" w:type="dxa"/>
            <w:vAlign w:val="center"/>
          </w:tcPr>
          <w:p w14:paraId="6A96AFA4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Mois 9</w:t>
            </w:r>
          </w:p>
        </w:tc>
      </w:tr>
      <w:tr w:rsidR="00946D52" w:rsidRPr="00AB605F" w14:paraId="74A78663" w14:textId="77777777" w:rsidTr="007F1D11">
        <w:tc>
          <w:tcPr>
            <w:tcW w:w="3510" w:type="dxa"/>
          </w:tcPr>
          <w:p w14:paraId="0ADDE713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Taux d’attrition mensuel initial</w:t>
            </w:r>
          </w:p>
        </w:tc>
        <w:tc>
          <w:tcPr>
            <w:tcW w:w="2835" w:type="dxa"/>
            <w:vAlign w:val="center"/>
          </w:tcPr>
          <w:p w14:paraId="7DF6805E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5,0 %</w:t>
            </w:r>
          </w:p>
        </w:tc>
      </w:tr>
      <w:tr w:rsidR="00946D52" w:rsidRPr="00AB605F" w14:paraId="4D2873D2" w14:textId="77777777" w:rsidTr="007F1D11">
        <w:tc>
          <w:tcPr>
            <w:tcW w:w="3510" w:type="dxa"/>
          </w:tcPr>
          <w:p w14:paraId="59DB8810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Baisse mensuelle du taux</w:t>
            </w:r>
          </w:p>
        </w:tc>
        <w:tc>
          <w:tcPr>
            <w:tcW w:w="2835" w:type="dxa"/>
            <w:vAlign w:val="center"/>
          </w:tcPr>
          <w:p w14:paraId="55FFB0A4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−10 % / mois (composée)</w:t>
            </w:r>
          </w:p>
        </w:tc>
      </w:tr>
    </w:tbl>
    <w:p w14:paraId="23F01CE0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i/>
          <w:iCs/>
          <w:lang w:val="fr-FR"/>
        </w:rPr>
        <w:t>Exemple : M9 = 5,0 % → M10 = 4,5 % → M11 = 4,05 % …</w:t>
      </w:r>
    </w:p>
    <w:p w14:paraId="4D909231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1" w:name="Xffcb578a8dacf736cf2fdcdbd560de6809644e1"/>
      <w:bookmarkEnd w:id="20"/>
      <w:r w:rsidRPr="00AB605F">
        <w:rPr>
          <w:rFonts w:cs="Calibri"/>
          <w:lang w:val="fr-FR"/>
        </w:rPr>
        <w:t>6.3 Effectifs clients (fin d’année, cumul) — scénario de référence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4786"/>
        <w:gridCol w:w="803"/>
        <w:gridCol w:w="803"/>
        <w:gridCol w:w="804"/>
      </w:tblGrid>
      <w:tr w:rsidR="00946D52" w:rsidRPr="00AB605F" w14:paraId="26E2D431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786" w:type="dxa"/>
          </w:tcPr>
          <w:p w14:paraId="3E455351" w14:textId="1722166C" w:rsidR="00946D52" w:rsidRPr="00AB605F" w:rsidRDefault="00316409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Abonnement</w:t>
            </w:r>
          </w:p>
        </w:tc>
        <w:tc>
          <w:tcPr>
            <w:tcW w:w="803" w:type="dxa"/>
            <w:vAlign w:val="center"/>
          </w:tcPr>
          <w:p w14:paraId="049A2B6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Fin A1</w:t>
            </w:r>
          </w:p>
        </w:tc>
        <w:tc>
          <w:tcPr>
            <w:tcW w:w="803" w:type="dxa"/>
            <w:vAlign w:val="center"/>
          </w:tcPr>
          <w:p w14:paraId="297F2A17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Fin A2</w:t>
            </w:r>
          </w:p>
        </w:tc>
        <w:tc>
          <w:tcPr>
            <w:tcW w:w="804" w:type="dxa"/>
            <w:vAlign w:val="center"/>
          </w:tcPr>
          <w:p w14:paraId="0E7E85E1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Fin A3</w:t>
            </w:r>
          </w:p>
        </w:tc>
      </w:tr>
      <w:tr w:rsidR="00946D52" w:rsidRPr="00AB605F" w14:paraId="43B239FC" w14:textId="77777777" w:rsidTr="007F1D11">
        <w:tc>
          <w:tcPr>
            <w:tcW w:w="4786" w:type="dxa"/>
          </w:tcPr>
          <w:p w14:paraId="66F3324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Étincelle</w:t>
            </w:r>
          </w:p>
        </w:tc>
        <w:tc>
          <w:tcPr>
            <w:tcW w:w="803" w:type="dxa"/>
            <w:vAlign w:val="center"/>
          </w:tcPr>
          <w:p w14:paraId="1ADC4C12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</w:t>
            </w:r>
          </w:p>
        </w:tc>
        <w:tc>
          <w:tcPr>
            <w:tcW w:w="803" w:type="dxa"/>
            <w:vAlign w:val="center"/>
          </w:tcPr>
          <w:p w14:paraId="105F2190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20</w:t>
            </w:r>
          </w:p>
        </w:tc>
        <w:tc>
          <w:tcPr>
            <w:tcW w:w="804" w:type="dxa"/>
            <w:vAlign w:val="center"/>
          </w:tcPr>
          <w:p w14:paraId="2C974EAE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30</w:t>
            </w:r>
          </w:p>
        </w:tc>
      </w:tr>
      <w:tr w:rsidR="00946D52" w:rsidRPr="00AB605F" w14:paraId="1A21F45D" w14:textId="77777777" w:rsidTr="007F1D11">
        <w:tc>
          <w:tcPr>
            <w:tcW w:w="4786" w:type="dxa"/>
          </w:tcPr>
          <w:p w14:paraId="27674B0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Atelier</w:t>
            </w:r>
          </w:p>
        </w:tc>
        <w:tc>
          <w:tcPr>
            <w:tcW w:w="803" w:type="dxa"/>
            <w:vAlign w:val="center"/>
          </w:tcPr>
          <w:p w14:paraId="40B6BE50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</w:t>
            </w:r>
          </w:p>
        </w:tc>
        <w:tc>
          <w:tcPr>
            <w:tcW w:w="803" w:type="dxa"/>
            <w:vAlign w:val="center"/>
          </w:tcPr>
          <w:p w14:paraId="3DAFCA52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</w:t>
            </w:r>
          </w:p>
        </w:tc>
        <w:tc>
          <w:tcPr>
            <w:tcW w:w="804" w:type="dxa"/>
            <w:vAlign w:val="center"/>
          </w:tcPr>
          <w:p w14:paraId="1BF17BAA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20</w:t>
            </w:r>
          </w:p>
        </w:tc>
      </w:tr>
      <w:tr w:rsidR="00946D52" w:rsidRPr="00AB605F" w14:paraId="69D9106C" w14:textId="77777777" w:rsidTr="007F1D11">
        <w:tc>
          <w:tcPr>
            <w:tcW w:w="4786" w:type="dxa"/>
          </w:tcPr>
          <w:p w14:paraId="23A851D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Horizon</w:t>
            </w:r>
          </w:p>
        </w:tc>
        <w:tc>
          <w:tcPr>
            <w:tcW w:w="803" w:type="dxa"/>
            <w:vAlign w:val="center"/>
          </w:tcPr>
          <w:p w14:paraId="0B57F4C8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</w:t>
            </w:r>
          </w:p>
        </w:tc>
        <w:tc>
          <w:tcPr>
            <w:tcW w:w="803" w:type="dxa"/>
            <w:vAlign w:val="center"/>
          </w:tcPr>
          <w:p w14:paraId="48564A10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35</w:t>
            </w:r>
          </w:p>
        </w:tc>
        <w:tc>
          <w:tcPr>
            <w:tcW w:w="804" w:type="dxa"/>
            <w:vAlign w:val="center"/>
          </w:tcPr>
          <w:p w14:paraId="31642480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70</w:t>
            </w:r>
          </w:p>
        </w:tc>
      </w:tr>
      <w:tr w:rsidR="00946D52" w:rsidRPr="00AB605F" w14:paraId="2EC9876D" w14:textId="77777777" w:rsidTr="007F1D11">
        <w:tc>
          <w:tcPr>
            <w:tcW w:w="4786" w:type="dxa"/>
          </w:tcPr>
          <w:p w14:paraId="4757FBD7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Rayonnement</w:t>
            </w:r>
          </w:p>
        </w:tc>
        <w:tc>
          <w:tcPr>
            <w:tcW w:w="803" w:type="dxa"/>
            <w:vAlign w:val="center"/>
          </w:tcPr>
          <w:p w14:paraId="15654392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</w:t>
            </w:r>
          </w:p>
        </w:tc>
        <w:tc>
          <w:tcPr>
            <w:tcW w:w="803" w:type="dxa"/>
            <w:vAlign w:val="center"/>
          </w:tcPr>
          <w:p w14:paraId="68DDF10F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</w:t>
            </w:r>
          </w:p>
        </w:tc>
        <w:tc>
          <w:tcPr>
            <w:tcW w:w="804" w:type="dxa"/>
            <w:vAlign w:val="center"/>
          </w:tcPr>
          <w:p w14:paraId="2575AF0F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</w:t>
            </w:r>
          </w:p>
        </w:tc>
      </w:tr>
      <w:tr w:rsidR="00946D52" w:rsidRPr="00AB605F" w14:paraId="085A379F" w14:textId="77777777" w:rsidTr="007F1D11">
        <w:tc>
          <w:tcPr>
            <w:tcW w:w="4786" w:type="dxa"/>
          </w:tcPr>
          <w:p w14:paraId="045D2430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Zénith (contrats actifs)</w:t>
            </w:r>
          </w:p>
        </w:tc>
        <w:tc>
          <w:tcPr>
            <w:tcW w:w="803" w:type="dxa"/>
            <w:vAlign w:val="center"/>
          </w:tcPr>
          <w:p w14:paraId="0441F2C6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</w:t>
            </w:r>
          </w:p>
        </w:tc>
        <w:tc>
          <w:tcPr>
            <w:tcW w:w="803" w:type="dxa"/>
            <w:vAlign w:val="center"/>
          </w:tcPr>
          <w:p w14:paraId="710B4548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</w:t>
            </w:r>
          </w:p>
        </w:tc>
        <w:tc>
          <w:tcPr>
            <w:tcW w:w="804" w:type="dxa"/>
            <w:vAlign w:val="center"/>
          </w:tcPr>
          <w:p w14:paraId="586DD391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</w:t>
            </w:r>
          </w:p>
        </w:tc>
      </w:tr>
      <w:tr w:rsidR="00946D52" w:rsidRPr="00AB605F" w14:paraId="1F8C6713" w14:textId="77777777" w:rsidTr="007F1D11">
        <w:tc>
          <w:tcPr>
            <w:tcW w:w="4786" w:type="dxa"/>
          </w:tcPr>
          <w:p w14:paraId="08148F5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Total</w:t>
            </w:r>
          </w:p>
        </w:tc>
        <w:tc>
          <w:tcPr>
            <w:tcW w:w="803" w:type="dxa"/>
            <w:vAlign w:val="center"/>
          </w:tcPr>
          <w:p w14:paraId="17CC3934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25</w:t>
            </w:r>
          </w:p>
        </w:tc>
        <w:tc>
          <w:tcPr>
            <w:tcW w:w="803" w:type="dxa"/>
            <w:vAlign w:val="center"/>
          </w:tcPr>
          <w:p w14:paraId="10BB3AA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68</w:t>
            </w:r>
          </w:p>
        </w:tc>
        <w:tc>
          <w:tcPr>
            <w:tcW w:w="804" w:type="dxa"/>
            <w:vAlign w:val="center"/>
          </w:tcPr>
          <w:p w14:paraId="79C54246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128</w:t>
            </w:r>
          </w:p>
        </w:tc>
      </w:tr>
    </w:tbl>
    <w:p w14:paraId="685B1041" w14:textId="77777777" w:rsidR="00946D52" w:rsidRPr="00AB605F" w:rsidRDefault="00000000" w:rsidP="007F1D11">
      <w:pPr>
        <w:pStyle w:val="Corpsdetexte"/>
        <w:spacing w:before="120" w:after="120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i/>
          <w:iCs/>
          <w:lang w:val="fr-FR"/>
        </w:rPr>
        <w:t>Scénarios prudent / ambitieux : effectifs × 0,70 / × 1,30.</w:t>
      </w:r>
    </w:p>
    <w:p w14:paraId="088B6AFA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2" w:name="paramètres-commerciaux"/>
      <w:bookmarkEnd w:id="21"/>
      <w:r w:rsidRPr="00AB605F">
        <w:rPr>
          <w:rFonts w:cs="Calibri"/>
          <w:lang w:val="fr-FR"/>
        </w:rPr>
        <w:t>6.4 Paramètres commerciaux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4843"/>
        <w:gridCol w:w="686"/>
        <w:gridCol w:w="879"/>
        <w:gridCol w:w="879"/>
      </w:tblGrid>
      <w:tr w:rsidR="00946D52" w:rsidRPr="00AB605F" w14:paraId="36023400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793B8B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Paramètre</w:t>
            </w:r>
          </w:p>
        </w:tc>
        <w:tc>
          <w:tcPr>
            <w:tcW w:w="0" w:type="auto"/>
          </w:tcPr>
          <w:p w14:paraId="2922DBD1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A1</w:t>
            </w:r>
          </w:p>
        </w:tc>
        <w:tc>
          <w:tcPr>
            <w:tcW w:w="0" w:type="auto"/>
          </w:tcPr>
          <w:p w14:paraId="39579A66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A2</w:t>
            </w:r>
          </w:p>
        </w:tc>
        <w:tc>
          <w:tcPr>
            <w:tcW w:w="0" w:type="auto"/>
          </w:tcPr>
          <w:p w14:paraId="70CAFABE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A3</w:t>
            </w:r>
          </w:p>
        </w:tc>
      </w:tr>
      <w:tr w:rsidR="00946D52" w:rsidRPr="00AB605F" w14:paraId="42F20413" w14:textId="77777777" w:rsidTr="00316409">
        <w:tc>
          <w:tcPr>
            <w:tcW w:w="0" w:type="auto"/>
          </w:tcPr>
          <w:p w14:paraId="0D91A9E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Facturation mensuelle (vs annuelle)</w:t>
            </w:r>
          </w:p>
        </w:tc>
        <w:tc>
          <w:tcPr>
            <w:tcW w:w="0" w:type="auto"/>
          </w:tcPr>
          <w:p w14:paraId="2830152E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60 %</w:t>
            </w:r>
          </w:p>
        </w:tc>
        <w:tc>
          <w:tcPr>
            <w:tcW w:w="0" w:type="auto"/>
          </w:tcPr>
          <w:p w14:paraId="57A94EC4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50 %</w:t>
            </w:r>
          </w:p>
        </w:tc>
        <w:tc>
          <w:tcPr>
            <w:tcW w:w="0" w:type="auto"/>
          </w:tcPr>
          <w:p w14:paraId="153F92DE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40 %</w:t>
            </w:r>
          </w:p>
        </w:tc>
      </w:tr>
      <w:tr w:rsidR="00946D52" w:rsidRPr="00AB605F" w14:paraId="7D1FF7EF" w14:textId="77777777" w:rsidTr="00316409">
        <w:tc>
          <w:tcPr>
            <w:tcW w:w="0" w:type="auto"/>
          </w:tcPr>
          <w:p w14:paraId="599313E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% clients avec dépassements/options</w:t>
            </w:r>
          </w:p>
        </w:tc>
        <w:tc>
          <w:tcPr>
            <w:tcW w:w="0" w:type="auto"/>
          </w:tcPr>
          <w:p w14:paraId="7A709927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5 %</w:t>
            </w:r>
          </w:p>
        </w:tc>
        <w:tc>
          <w:tcPr>
            <w:tcW w:w="0" w:type="auto"/>
          </w:tcPr>
          <w:p w14:paraId="4CB06B7F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10 %</w:t>
            </w:r>
          </w:p>
        </w:tc>
        <w:tc>
          <w:tcPr>
            <w:tcW w:w="0" w:type="auto"/>
          </w:tcPr>
          <w:p w14:paraId="2718CA92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12 %</w:t>
            </w:r>
          </w:p>
        </w:tc>
      </w:tr>
      <w:tr w:rsidR="00946D52" w:rsidRPr="00AB605F" w14:paraId="219764A3" w14:textId="77777777" w:rsidTr="00316409">
        <w:tc>
          <w:tcPr>
            <w:tcW w:w="0" w:type="auto"/>
          </w:tcPr>
          <w:p w14:paraId="4E77952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Panier moyen options / dépassements (€/mois)</w:t>
            </w:r>
          </w:p>
        </w:tc>
        <w:tc>
          <w:tcPr>
            <w:tcW w:w="0" w:type="auto"/>
          </w:tcPr>
          <w:p w14:paraId="5CA26A83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20</w:t>
            </w:r>
          </w:p>
        </w:tc>
        <w:tc>
          <w:tcPr>
            <w:tcW w:w="0" w:type="auto"/>
          </w:tcPr>
          <w:p w14:paraId="5DDCFFE6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25</w:t>
            </w:r>
          </w:p>
        </w:tc>
        <w:tc>
          <w:tcPr>
            <w:tcW w:w="0" w:type="auto"/>
          </w:tcPr>
          <w:p w14:paraId="0252125E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30</w:t>
            </w:r>
          </w:p>
        </w:tc>
      </w:tr>
      <w:tr w:rsidR="00946D52" w:rsidRPr="00AB605F" w14:paraId="35CF6224" w14:textId="77777777" w:rsidTr="00316409">
        <w:tc>
          <w:tcPr>
            <w:tcW w:w="0" w:type="auto"/>
          </w:tcPr>
          <w:p w14:paraId="47FC757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Panier moyen Zénith (€, ponctuel)</w:t>
            </w:r>
          </w:p>
        </w:tc>
        <w:tc>
          <w:tcPr>
            <w:tcW w:w="0" w:type="auto"/>
          </w:tcPr>
          <w:p w14:paraId="3B3251AF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—</w:t>
            </w:r>
          </w:p>
        </w:tc>
        <w:tc>
          <w:tcPr>
            <w:tcW w:w="0" w:type="auto"/>
          </w:tcPr>
          <w:p w14:paraId="1474740E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15 000</w:t>
            </w:r>
          </w:p>
        </w:tc>
        <w:tc>
          <w:tcPr>
            <w:tcW w:w="0" w:type="auto"/>
          </w:tcPr>
          <w:p w14:paraId="5294E985" w14:textId="77777777" w:rsidR="00946D52" w:rsidRPr="00AB605F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17 000</w:t>
            </w:r>
          </w:p>
        </w:tc>
      </w:tr>
    </w:tbl>
    <w:p w14:paraId="6FF4DC36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3" w:name="hypothèse-complémentaire"/>
      <w:bookmarkEnd w:id="22"/>
      <w:r w:rsidRPr="00AB605F">
        <w:rPr>
          <w:rFonts w:cs="Calibri"/>
          <w:lang w:val="fr-FR"/>
        </w:rPr>
        <w:t>6.5 Hypothèse complémentaire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4382"/>
        <w:gridCol w:w="2100"/>
        <w:gridCol w:w="3479"/>
      </w:tblGrid>
      <w:tr w:rsidR="00946D52" w:rsidRPr="00AB605F" w14:paraId="2591CB93" w14:textId="77777777" w:rsidTr="002E2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83" w:type="dxa"/>
          </w:tcPr>
          <w:p w14:paraId="1FB0FB5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Paramètre</w:t>
            </w:r>
          </w:p>
        </w:tc>
        <w:tc>
          <w:tcPr>
            <w:tcW w:w="2146" w:type="dxa"/>
          </w:tcPr>
          <w:p w14:paraId="63A78FB9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Valeur</w:t>
            </w:r>
          </w:p>
        </w:tc>
        <w:tc>
          <w:tcPr>
            <w:tcW w:w="3558" w:type="dxa"/>
          </w:tcPr>
          <w:p w14:paraId="2E4198D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Note</w:t>
            </w:r>
          </w:p>
        </w:tc>
      </w:tr>
      <w:tr w:rsidR="00946D52" w:rsidRPr="00AB605F" w14:paraId="72E177A1" w14:textId="77777777" w:rsidTr="002E2E2E">
        <w:tc>
          <w:tcPr>
            <w:tcW w:w="4483" w:type="dxa"/>
          </w:tcPr>
          <w:p w14:paraId="653B7ADA" w14:textId="4F609B32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 xml:space="preserve">Rayonnement — </w:t>
            </w:r>
            <w:r w:rsidR="002E2E2E" w:rsidRPr="00AB605F">
              <w:rPr>
                <w:rFonts w:cs="Calibri"/>
                <w:b/>
                <w:bCs/>
                <w:lang w:val="fr-FR"/>
              </w:rPr>
              <w:t>abonnement</w:t>
            </w:r>
            <w:r w:rsidRPr="00AB605F">
              <w:rPr>
                <w:rFonts w:cs="Calibri"/>
                <w:b/>
                <w:bCs/>
                <w:lang w:val="fr-FR"/>
              </w:rPr>
              <w:t xml:space="preserve"> </w:t>
            </w:r>
            <w:r w:rsidR="002E2E2E" w:rsidRPr="00AB605F">
              <w:rPr>
                <w:rFonts w:cs="Calibri"/>
                <w:b/>
                <w:bCs/>
                <w:lang w:val="fr-FR"/>
              </w:rPr>
              <w:t>mensuel</w:t>
            </w:r>
          </w:p>
        </w:tc>
        <w:tc>
          <w:tcPr>
            <w:tcW w:w="2146" w:type="dxa"/>
          </w:tcPr>
          <w:p w14:paraId="35E4DCBB" w14:textId="7BF747FB" w:rsidR="00946D52" w:rsidRPr="00AB605F" w:rsidRDefault="002E2E2E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549 € TTC</w:t>
            </w:r>
          </w:p>
        </w:tc>
        <w:tc>
          <w:tcPr>
            <w:tcW w:w="3558" w:type="dxa"/>
          </w:tcPr>
          <w:p w14:paraId="27F4BC1D" w14:textId="46B3D7FB" w:rsidR="00946D52" w:rsidRPr="00AB605F" w:rsidRDefault="002E2E2E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Grands comptes, quotas illimités</w:t>
            </w:r>
          </w:p>
        </w:tc>
      </w:tr>
      <w:tr w:rsidR="002E2E2E" w:rsidRPr="00AB605F" w14:paraId="72C0BD68" w14:textId="77777777" w:rsidTr="002E2E2E">
        <w:tc>
          <w:tcPr>
            <w:tcW w:w="4483" w:type="dxa"/>
          </w:tcPr>
          <w:p w14:paraId="5D7F13FA" w14:textId="65D48FDA" w:rsidR="002E2E2E" w:rsidRPr="00AB605F" w:rsidRDefault="002E2E2E">
            <w:pPr>
              <w:pStyle w:val="Compact"/>
              <w:rPr>
                <w:rFonts w:cs="Calibri"/>
                <w:b/>
                <w:bCs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Rayonnement — abonnement annuel</w:t>
            </w:r>
          </w:p>
        </w:tc>
        <w:tc>
          <w:tcPr>
            <w:tcW w:w="2146" w:type="dxa"/>
          </w:tcPr>
          <w:p w14:paraId="6F2E3A81" w14:textId="4EF31AB1" w:rsidR="002E2E2E" w:rsidRPr="00AB605F" w:rsidRDefault="002E2E2E" w:rsidP="002E2E2E">
            <w:pPr>
              <w:pStyle w:val="Compact"/>
              <w:jc w:val="center"/>
              <w:rPr>
                <w:rFonts w:cs="Calibri"/>
                <w:b/>
                <w:bCs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6 039 € TTC</w:t>
            </w:r>
          </w:p>
        </w:tc>
        <w:tc>
          <w:tcPr>
            <w:tcW w:w="3558" w:type="dxa"/>
          </w:tcPr>
          <w:p w14:paraId="5B875B27" w14:textId="14F81216" w:rsidR="002E2E2E" w:rsidRPr="00AB605F" w:rsidRDefault="002E2E2E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11 mois pour 12 (549 € × 11)</w:t>
            </w:r>
          </w:p>
        </w:tc>
      </w:tr>
    </w:tbl>
    <w:p w14:paraId="4EB74630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4" w:name="sous-traitance-développeurs"/>
      <w:bookmarkEnd w:id="23"/>
      <w:r w:rsidRPr="00AB605F">
        <w:rPr>
          <w:rFonts w:cs="Calibri"/>
          <w:lang w:val="fr-FR"/>
        </w:rPr>
        <w:lastRenderedPageBreak/>
        <w:t>6.6 Sous-traitance développeurs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1495"/>
        <w:gridCol w:w="2218"/>
        <w:gridCol w:w="3186"/>
        <w:gridCol w:w="3062"/>
      </w:tblGrid>
      <w:tr w:rsidR="00946D52" w:rsidRPr="00AB605F" w14:paraId="7D1AD1B7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</w:tcPr>
          <w:p w14:paraId="680C6C1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Scénario</w:t>
            </w:r>
          </w:p>
        </w:tc>
        <w:tc>
          <w:tcPr>
            <w:tcW w:w="2268" w:type="dxa"/>
            <w:vAlign w:val="center"/>
          </w:tcPr>
          <w:p w14:paraId="3F9B813A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Effectif</w:t>
            </w:r>
          </w:p>
        </w:tc>
        <w:tc>
          <w:tcPr>
            <w:tcW w:w="3260" w:type="dxa"/>
            <w:vAlign w:val="center"/>
          </w:tcPr>
          <w:p w14:paraId="4BB963DD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Démarrage</w:t>
            </w:r>
          </w:p>
        </w:tc>
        <w:tc>
          <w:tcPr>
            <w:tcW w:w="3133" w:type="dxa"/>
            <w:vAlign w:val="center"/>
          </w:tcPr>
          <w:p w14:paraId="2238EE4D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Coût unitaire</w:t>
            </w:r>
          </w:p>
        </w:tc>
      </w:tr>
      <w:tr w:rsidR="00946D52" w:rsidRPr="00AB605F" w14:paraId="3E0680D2" w14:textId="77777777" w:rsidTr="007F1D11">
        <w:tc>
          <w:tcPr>
            <w:tcW w:w="1526" w:type="dxa"/>
          </w:tcPr>
          <w:p w14:paraId="08EC603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Prudent</w:t>
            </w:r>
          </w:p>
        </w:tc>
        <w:tc>
          <w:tcPr>
            <w:tcW w:w="2268" w:type="dxa"/>
            <w:vAlign w:val="center"/>
          </w:tcPr>
          <w:p w14:paraId="6F337524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</w:t>
            </w:r>
          </w:p>
        </w:tc>
        <w:tc>
          <w:tcPr>
            <w:tcW w:w="3260" w:type="dxa"/>
            <w:vAlign w:val="center"/>
          </w:tcPr>
          <w:p w14:paraId="2421E682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—</w:t>
            </w:r>
          </w:p>
        </w:tc>
        <w:tc>
          <w:tcPr>
            <w:tcW w:w="3133" w:type="dxa"/>
            <w:vAlign w:val="center"/>
          </w:tcPr>
          <w:p w14:paraId="4394C997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—</w:t>
            </w:r>
          </w:p>
        </w:tc>
      </w:tr>
      <w:tr w:rsidR="00946D52" w:rsidRPr="00AB605F" w14:paraId="4A20D064" w14:textId="77777777" w:rsidTr="007F1D11">
        <w:tc>
          <w:tcPr>
            <w:tcW w:w="1526" w:type="dxa"/>
          </w:tcPr>
          <w:p w14:paraId="1A88BF6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Référence</w:t>
            </w:r>
          </w:p>
        </w:tc>
        <w:tc>
          <w:tcPr>
            <w:tcW w:w="2268" w:type="dxa"/>
            <w:vAlign w:val="center"/>
          </w:tcPr>
          <w:p w14:paraId="0B236DFF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 développeur</w:t>
            </w:r>
          </w:p>
        </w:tc>
        <w:tc>
          <w:tcPr>
            <w:tcW w:w="3260" w:type="dxa"/>
            <w:vAlign w:val="center"/>
          </w:tcPr>
          <w:p w14:paraId="693F7D1E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Mois 13 (début A2)</w:t>
            </w:r>
          </w:p>
        </w:tc>
        <w:tc>
          <w:tcPr>
            <w:tcW w:w="3133" w:type="dxa"/>
            <w:vAlign w:val="center"/>
          </w:tcPr>
          <w:p w14:paraId="43AFCB8E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4 500 € HT/mois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36"/>
            </w:r>
          </w:p>
        </w:tc>
      </w:tr>
      <w:tr w:rsidR="00946D52" w:rsidRPr="00AB605F" w14:paraId="5435D7F0" w14:textId="77777777" w:rsidTr="007F1D11">
        <w:tc>
          <w:tcPr>
            <w:tcW w:w="1526" w:type="dxa"/>
          </w:tcPr>
          <w:p w14:paraId="67E762F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Ambitieux</w:t>
            </w:r>
          </w:p>
        </w:tc>
        <w:tc>
          <w:tcPr>
            <w:tcW w:w="2268" w:type="dxa"/>
            <w:vAlign w:val="center"/>
          </w:tcPr>
          <w:p w14:paraId="32CBB6D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 → 5 développeurs</w:t>
            </w:r>
          </w:p>
        </w:tc>
        <w:tc>
          <w:tcPr>
            <w:tcW w:w="3260" w:type="dxa"/>
            <w:vAlign w:val="center"/>
          </w:tcPr>
          <w:p w14:paraId="4C32BA56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M1 : 2 · M7 : 3 · M13 : 4 · M19+ : 5</w:t>
            </w:r>
          </w:p>
        </w:tc>
        <w:tc>
          <w:tcPr>
            <w:tcW w:w="3133" w:type="dxa"/>
            <w:vAlign w:val="center"/>
          </w:tcPr>
          <w:p w14:paraId="512359B8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4 500 € HT/mois/développeur</w:t>
            </w:r>
          </w:p>
        </w:tc>
      </w:tr>
    </w:tbl>
    <w:p w14:paraId="30A9E1D6" w14:textId="77777777" w:rsidR="00946D52" w:rsidRPr="00AB605F" w:rsidRDefault="00000000">
      <w:pPr>
        <w:pStyle w:val="Corpsdetexte"/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i/>
          <w:iCs/>
          <w:lang w:val="fr-FR"/>
        </w:rPr>
        <w:t>Hypothèse TJM</w:t>
      </w:r>
      <w:r w:rsidRPr="00AB605F">
        <w:rPr>
          <w:rStyle w:val="Appelnotedebasdep"/>
          <w:rFonts w:ascii="Calibri" w:hAnsi="Calibri" w:cs="Calibri"/>
          <w:lang w:val="fr-FR"/>
        </w:rPr>
        <w:footnoteReference w:id="37"/>
      </w:r>
      <w:r w:rsidRPr="00AB605F">
        <w:rPr>
          <w:rFonts w:ascii="Calibri" w:hAnsi="Calibri" w:cs="Calibri"/>
          <w:i/>
          <w:iCs/>
          <w:lang w:val="fr-FR"/>
        </w:rPr>
        <w:t xml:space="preserve"> 450 € × 10 jours/mois. Le fondateur reste porteur produit ; la sous-traitance couvre l’accélération technique (paiement en ligne, Union européenne, Rayonnement).</w:t>
      </w:r>
    </w:p>
    <w:p w14:paraId="0049ABCF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pict w14:anchorId="0081EF3F">
          <v:rect id="_x0000_i1512" style="width:0;height:1.5pt" o:hralign="center" o:hrstd="t" o:hr="t"/>
        </w:pict>
      </w:r>
    </w:p>
    <w:p w14:paraId="2550C83E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25" w:name="prévisionnel-financier-3-scénarios"/>
      <w:bookmarkEnd w:id="18"/>
      <w:bookmarkEnd w:id="24"/>
      <w:r w:rsidRPr="00AB605F">
        <w:rPr>
          <w:rFonts w:cs="Calibri"/>
          <w:lang w:val="fr-FR"/>
        </w:rPr>
        <w:t>7. Prévisionnel financier — 3 scénarios</w:t>
      </w:r>
    </w:p>
    <w:p w14:paraId="271EB42A" w14:textId="2DAAE970" w:rsidR="00946D52" w:rsidRPr="00AB605F" w:rsidRDefault="00D33874" w:rsidP="00D33874">
      <w:pPr>
        <w:pStyle w:val="FirstParagraph"/>
        <w:jc w:val="center"/>
        <w:rPr>
          <w:rFonts w:ascii="Calibri" w:hAnsi="Calibri" w:cs="Calibri"/>
          <w:lang w:val="fr-FR"/>
        </w:rPr>
      </w:pPr>
      <w:r w:rsidRPr="00AB605F">
        <w:rPr>
          <w:noProof/>
          <w:lang w:val="fr-FR"/>
        </w:rPr>
        <w:drawing>
          <wp:inline distT="0" distB="0" distL="0" distR="0" wp14:anchorId="10CA2942" wp14:editId="2A96A199">
            <wp:extent cx="6258021" cy="3927944"/>
            <wp:effectExtent l="0" t="0" r="0" b="0"/>
            <wp:docPr id="90" name="Picture" descr="Chiffre d’affaires — 3 scénari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assets/bp/bp-ca-scenario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/>
                    <a:srcRect b="7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444" cy="3947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A730DA" w14:textId="77777777" w:rsidR="00D33874" w:rsidRPr="00AB605F" w:rsidRDefault="00D33874" w:rsidP="00D33874">
      <w:pPr>
        <w:pStyle w:val="ImageCaption"/>
        <w:jc w:val="center"/>
        <w:rPr>
          <w:lang w:val="fr-FR"/>
        </w:rPr>
      </w:pPr>
      <w:r w:rsidRPr="00AB605F">
        <w:rPr>
          <w:lang w:val="fr-FR"/>
        </w:rPr>
        <w:t>Chiffre d’affaires — 3 scénarios</w:t>
      </w:r>
    </w:p>
    <w:p w14:paraId="43FB56B6" w14:textId="77777777" w:rsidR="00D33874" w:rsidRPr="00AB605F" w:rsidRDefault="00D33874" w:rsidP="00D33874">
      <w:pPr>
        <w:pStyle w:val="Corpsdetexte"/>
        <w:jc w:val="center"/>
        <w:rPr>
          <w:lang w:val="fr-FR"/>
        </w:rPr>
      </w:pPr>
    </w:p>
    <w:p w14:paraId="06BA0399" w14:textId="3B659B15" w:rsidR="00D33874" w:rsidRPr="00AB605F" w:rsidRDefault="00D33874" w:rsidP="00D33874">
      <w:pPr>
        <w:pStyle w:val="Corpsdetexte"/>
        <w:jc w:val="center"/>
        <w:rPr>
          <w:lang w:val="fr-FR"/>
        </w:rPr>
      </w:pPr>
      <w:r w:rsidRPr="00AB605F">
        <w:rPr>
          <w:noProof/>
          <w:lang w:val="fr-FR"/>
        </w:rPr>
        <w:lastRenderedPageBreak/>
        <w:drawing>
          <wp:inline distT="0" distB="0" distL="0" distR="0" wp14:anchorId="597DA70D" wp14:editId="02F982F4">
            <wp:extent cx="5333081" cy="3101009"/>
            <wp:effectExtent l="0" t="0" r="1270" b="4445"/>
            <wp:docPr id="93" name="Picture" descr="Trésorerie cumulée — 3 scénari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assets/bp/bp-tresorerie-scenario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/>
                    <a:srcRect b="6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D45F7" w14:textId="77777777" w:rsidR="00D33874" w:rsidRPr="00AB605F" w:rsidRDefault="00D33874" w:rsidP="00D33874">
      <w:pPr>
        <w:pStyle w:val="ImageCaption"/>
        <w:jc w:val="center"/>
        <w:rPr>
          <w:lang w:val="fr-FR"/>
        </w:rPr>
      </w:pPr>
      <w:r w:rsidRPr="00AB605F">
        <w:rPr>
          <w:lang w:val="fr-FR"/>
        </w:rPr>
        <w:t>Trésorerie cumulée — 3 scénarios</w:t>
      </w:r>
    </w:p>
    <w:p w14:paraId="1CED01A1" w14:textId="77777777" w:rsidR="00D33874" w:rsidRPr="00AB605F" w:rsidRDefault="00D33874" w:rsidP="00D33874">
      <w:pPr>
        <w:pStyle w:val="ImageCaption"/>
        <w:jc w:val="center"/>
        <w:rPr>
          <w:lang w:val="fr-FR"/>
        </w:rPr>
      </w:pPr>
    </w:p>
    <w:p w14:paraId="0B5D0F36" w14:textId="5EC948EB" w:rsidR="00D33874" w:rsidRPr="00AB605F" w:rsidRDefault="00D33874" w:rsidP="00D33874">
      <w:pPr>
        <w:pStyle w:val="Corpsdetexte"/>
        <w:jc w:val="center"/>
        <w:rPr>
          <w:lang w:val="fr-FR"/>
        </w:rPr>
      </w:pPr>
      <w:r w:rsidRPr="00AB605F">
        <w:rPr>
          <w:noProof/>
          <w:lang w:val="fr-FR"/>
        </w:rPr>
        <w:drawing>
          <wp:inline distT="0" distB="0" distL="0" distR="0" wp14:anchorId="6AFF38AF" wp14:editId="1B3AE73C">
            <wp:extent cx="5739354" cy="3601941"/>
            <wp:effectExtent l="0" t="0" r="0" b="0"/>
            <wp:docPr id="96" name="Picture" descr="Portefeuille clients par pla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assets/bp/bp-clients-plan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/>
                    <a:srcRect b="8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054" cy="361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B0EBF3" w14:textId="77777777" w:rsidR="00D33874" w:rsidRPr="00AB605F" w:rsidRDefault="00D33874" w:rsidP="00D33874">
      <w:pPr>
        <w:pStyle w:val="ImageCaption"/>
        <w:jc w:val="center"/>
        <w:rPr>
          <w:lang w:val="fr-FR"/>
        </w:rPr>
      </w:pPr>
      <w:r w:rsidRPr="00AB605F">
        <w:rPr>
          <w:lang w:val="fr-FR"/>
        </w:rPr>
        <w:t>Portefeuille clients par plan</w:t>
      </w:r>
    </w:p>
    <w:p w14:paraId="1F25C583" w14:textId="77777777" w:rsidR="00D33874" w:rsidRPr="00AB605F" w:rsidRDefault="00D33874" w:rsidP="00D33874">
      <w:pPr>
        <w:pStyle w:val="Corpsdetexte"/>
        <w:rPr>
          <w:lang w:val="fr-FR"/>
        </w:rPr>
      </w:pPr>
    </w:p>
    <w:p w14:paraId="5FF2759D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6" w:name="synthèse-annuelle-ht"/>
      <w:r w:rsidRPr="00AB605F">
        <w:rPr>
          <w:rFonts w:cs="Calibri"/>
          <w:lang w:val="fr-FR"/>
        </w:rPr>
        <w:t>7.1 Synthèse annuelle (€ HT)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431"/>
        <w:gridCol w:w="2176"/>
        <w:gridCol w:w="2177"/>
        <w:gridCol w:w="2177"/>
      </w:tblGrid>
      <w:tr w:rsidR="00946D52" w:rsidRPr="00AB605F" w14:paraId="3BFBBEDD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10" w:type="dxa"/>
          </w:tcPr>
          <w:p w14:paraId="7396F760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Poste</w:t>
            </w:r>
          </w:p>
        </w:tc>
        <w:tc>
          <w:tcPr>
            <w:tcW w:w="2225" w:type="dxa"/>
          </w:tcPr>
          <w:p w14:paraId="019D1AEF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Prudent A3</w:t>
            </w:r>
          </w:p>
        </w:tc>
        <w:tc>
          <w:tcPr>
            <w:tcW w:w="2226" w:type="dxa"/>
          </w:tcPr>
          <w:p w14:paraId="031EFC73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Référence A3</w:t>
            </w:r>
          </w:p>
        </w:tc>
        <w:tc>
          <w:tcPr>
            <w:tcW w:w="2226" w:type="dxa"/>
          </w:tcPr>
          <w:p w14:paraId="56C76F0A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Ambitieux A3</w:t>
            </w:r>
          </w:p>
        </w:tc>
      </w:tr>
      <w:tr w:rsidR="00946D52" w:rsidRPr="00AB605F" w14:paraId="29C0CBF6" w14:textId="77777777" w:rsidTr="007F1D11">
        <w:trPr>
          <w:trHeight w:val="586"/>
        </w:trPr>
        <w:tc>
          <w:tcPr>
            <w:tcW w:w="3510" w:type="dxa"/>
          </w:tcPr>
          <w:p w14:paraId="43D608E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lastRenderedPageBreak/>
              <w:t>Chiffre d’affaires HT total</w:t>
            </w:r>
          </w:p>
        </w:tc>
        <w:tc>
          <w:tcPr>
            <w:tcW w:w="2225" w:type="dxa"/>
          </w:tcPr>
          <w:p w14:paraId="0520D0AE" w14:textId="62659EB3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87 632</w:t>
            </w:r>
          </w:p>
        </w:tc>
        <w:tc>
          <w:tcPr>
            <w:tcW w:w="2226" w:type="dxa"/>
          </w:tcPr>
          <w:p w14:paraId="56F24441" w14:textId="352B108C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127 111</w:t>
            </w:r>
          </w:p>
        </w:tc>
        <w:tc>
          <w:tcPr>
            <w:tcW w:w="2226" w:type="dxa"/>
          </w:tcPr>
          <w:p w14:paraId="27314F6D" w14:textId="0CBB81FE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157 145</w:t>
            </w:r>
          </w:p>
        </w:tc>
      </w:tr>
      <w:tr w:rsidR="00946D52" w:rsidRPr="00AB605F" w14:paraId="2B816EC3" w14:textId="77777777" w:rsidTr="007F1D11">
        <w:trPr>
          <w:trHeight w:val="586"/>
        </w:trPr>
        <w:tc>
          <w:tcPr>
            <w:tcW w:w="3510" w:type="dxa"/>
          </w:tcPr>
          <w:p w14:paraId="645D5B2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Sous-traitance développement (cumul 3 ans)</w:t>
            </w:r>
          </w:p>
        </w:tc>
        <w:tc>
          <w:tcPr>
            <w:tcW w:w="2225" w:type="dxa"/>
          </w:tcPr>
          <w:p w14:paraId="6C7EEF9C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5CBB2AF5" w14:textId="31C27A45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~81</w:t>
            </w:r>
            <w:r w:rsidR="002E2E2E" w:rsidRPr="00AB605F">
              <w:rPr>
                <w:rFonts w:cs="Calibri"/>
                <w:lang w:val="fr-FR"/>
              </w:rPr>
              <w:t> </w:t>
            </w:r>
            <w:r w:rsidRPr="00AB605F">
              <w:rPr>
                <w:rFonts w:cs="Calibri"/>
                <w:lang w:val="fr-FR"/>
              </w:rPr>
              <w:t>000</w:t>
            </w:r>
          </w:p>
        </w:tc>
        <w:tc>
          <w:tcPr>
            <w:tcW w:w="2226" w:type="dxa"/>
          </w:tcPr>
          <w:p w14:paraId="136BD971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~648 000</w:t>
            </w:r>
          </w:p>
        </w:tc>
      </w:tr>
      <w:tr w:rsidR="00946D52" w:rsidRPr="00AB605F" w14:paraId="26070CCE" w14:textId="77777777" w:rsidTr="007F1D11">
        <w:trPr>
          <w:trHeight w:val="586"/>
        </w:trPr>
        <w:tc>
          <w:tcPr>
            <w:tcW w:w="3510" w:type="dxa"/>
          </w:tcPr>
          <w:p w14:paraId="1F82F6D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Excédent brut cumulé (3 ans)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38"/>
            </w:r>
          </w:p>
        </w:tc>
        <w:tc>
          <w:tcPr>
            <w:tcW w:w="2225" w:type="dxa"/>
          </w:tcPr>
          <w:p w14:paraId="7E44ABA9" w14:textId="278A093F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63 844</w:t>
            </w:r>
          </w:p>
        </w:tc>
        <w:tc>
          <w:tcPr>
            <w:tcW w:w="2226" w:type="dxa"/>
          </w:tcPr>
          <w:p w14:paraId="2B7A6184" w14:textId="4AFE7789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32 685</w:t>
            </w:r>
          </w:p>
        </w:tc>
        <w:tc>
          <w:tcPr>
            <w:tcW w:w="2226" w:type="dxa"/>
          </w:tcPr>
          <w:p w14:paraId="10FBC6D1" w14:textId="0F4CA0DA" w:rsidR="00946D52" w:rsidRPr="00AB605F" w:rsidRDefault="002E2E2E" w:rsidP="002E2E2E">
            <w:pPr>
              <w:pStyle w:val="Compact"/>
              <w:ind w:left="720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-457 943</w:t>
            </w:r>
          </w:p>
        </w:tc>
      </w:tr>
      <w:tr w:rsidR="00946D52" w:rsidRPr="00AB605F" w14:paraId="22FA6884" w14:textId="77777777" w:rsidTr="007F1D11">
        <w:trPr>
          <w:trHeight w:val="586"/>
        </w:trPr>
        <w:tc>
          <w:tcPr>
            <w:tcW w:w="3510" w:type="dxa"/>
          </w:tcPr>
          <w:p w14:paraId="7782FC3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Trésorerie fin A3</w:t>
            </w:r>
          </w:p>
        </w:tc>
        <w:tc>
          <w:tcPr>
            <w:tcW w:w="2225" w:type="dxa"/>
          </w:tcPr>
          <w:p w14:paraId="7713ECAD" w14:textId="72624913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91 761</w:t>
            </w:r>
          </w:p>
        </w:tc>
        <w:tc>
          <w:tcPr>
            <w:tcW w:w="2226" w:type="dxa"/>
          </w:tcPr>
          <w:p w14:paraId="526BA959" w14:textId="5230CB24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37584</w:t>
            </w:r>
          </w:p>
        </w:tc>
        <w:tc>
          <w:tcPr>
            <w:tcW w:w="2226" w:type="dxa"/>
          </w:tcPr>
          <w:p w14:paraId="074CA8F5" w14:textId="1F8C29F8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-457 943</w:t>
            </w:r>
          </w:p>
        </w:tc>
      </w:tr>
      <w:tr w:rsidR="00946D52" w:rsidRPr="00AB605F" w14:paraId="18C38252" w14:textId="77777777" w:rsidTr="007F1D11">
        <w:trPr>
          <w:trHeight w:val="586"/>
        </w:trPr>
        <w:tc>
          <w:tcPr>
            <w:tcW w:w="3510" w:type="dxa"/>
          </w:tcPr>
          <w:p w14:paraId="7B885B8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Développeurs actifs fin A3</w:t>
            </w:r>
          </w:p>
        </w:tc>
        <w:tc>
          <w:tcPr>
            <w:tcW w:w="2225" w:type="dxa"/>
          </w:tcPr>
          <w:p w14:paraId="392D3AFE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173CE50A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</w:t>
            </w:r>
          </w:p>
        </w:tc>
        <w:tc>
          <w:tcPr>
            <w:tcW w:w="2226" w:type="dxa"/>
          </w:tcPr>
          <w:p w14:paraId="162B5E0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</w:t>
            </w:r>
          </w:p>
        </w:tc>
      </w:tr>
    </w:tbl>
    <w:p w14:paraId="1F6B51B8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7" w:name="scénario-de-référence-compte-de-résultat"/>
      <w:bookmarkEnd w:id="26"/>
      <w:r w:rsidRPr="00AB605F">
        <w:rPr>
          <w:rFonts w:cs="Calibri"/>
          <w:lang w:val="fr-FR"/>
        </w:rPr>
        <w:t>7.2 Scénario de référence — compte de résultat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431"/>
        <w:gridCol w:w="2176"/>
        <w:gridCol w:w="2177"/>
        <w:gridCol w:w="2177"/>
      </w:tblGrid>
      <w:tr w:rsidR="00946D52" w:rsidRPr="00AB605F" w14:paraId="35FB24DD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10" w:type="dxa"/>
          </w:tcPr>
          <w:p w14:paraId="732AAFB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Poste</w:t>
            </w:r>
          </w:p>
        </w:tc>
        <w:tc>
          <w:tcPr>
            <w:tcW w:w="2225" w:type="dxa"/>
          </w:tcPr>
          <w:p w14:paraId="47A428A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Année 1</w:t>
            </w:r>
          </w:p>
        </w:tc>
        <w:tc>
          <w:tcPr>
            <w:tcW w:w="2226" w:type="dxa"/>
          </w:tcPr>
          <w:p w14:paraId="7FB907A7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Année 2</w:t>
            </w:r>
          </w:p>
        </w:tc>
        <w:tc>
          <w:tcPr>
            <w:tcW w:w="2226" w:type="dxa"/>
          </w:tcPr>
          <w:p w14:paraId="78678235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Année 3</w:t>
            </w:r>
          </w:p>
        </w:tc>
      </w:tr>
      <w:tr w:rsidR="00946D52" w:rsidRPr="00AB605F" w14:paraId="095CA794" w14:textId="77777777" w:rsidTr="007F1D11">
        <w:tc>
          <w:tcPr>
            <w:tcW w:w="3510" w:type="dxa"/>
          </w:tcPr>
          <w:p w14:paraId="7EC204A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Abonnements récurrents</w:t>
            </w:r>
          </w:p>
        </w:tc>
        <w:tc>
          <w:tcPr>
            <w:tcW w:w="2225" w:type="dxa"/>
          </w:tcPr>
          <w:p w14:paraId="7438863A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7 530</w:t>
            </w:r>
          </w:p>
        </w:tc>
        <w:tc>
          <w:tcPr>
            <w:tcW w:w="2226" w:type="dxa"/>
          </w:tcPr>
          <w:p w14:paraId="37825515" w14:textId="7C2B82CF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37 125</w:t>
            </w:r>
          </w:p>
        </w:tc>
        <w:tc>
          <w:tcPr>
            <w:tcW w:w="2226" w:type="dxa"/>
          </w:tcPr>
          <w:p w14:paraId="1E06E3C4" w14:textId="37F9357B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95 335</w:t>
            </w:r>
          </w:p>
        </w:tc>
      </w:tr>
      <w:tr w:rsidR="00946D52" w:rsidRPr="00AB605F" w14:paraId="16CC5AA2" w14:textId="77777777" w:rsidTr="007F1D11">
        <w:tc>
          <w:tcPr>
            <w:tcW w:w="3510" w:type="dxa"/>
          </w:tcPr>
          <w:p w14:paraId="4295964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Options et dépassements</w:t>
            </w:r>
          </w:p>
        </w:tc>
        <w:tc>
          <w:tcPr>
            <w:tcW w:w="2225" w:type="dxa"/>
          </w:tcPr>
          <w:p w14:paraId="7FB326DD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65</w:t>
            </w:r>
          </w:p>
        </w:tc>
        <w:tc>
          <w:tcPr>
            <w:tcW w:w="2226" w:type="dxa"/>
          </w:tcPr>
          <w:p w14:paraId="16E6DCE8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715</w:t>
            </w:r>
          </w:p>
        </w:tc>
        <w:tc>
          <w:tcPr>
            <w:tcW w:w="2226" w:type="dxa"/>
          </w:tcPr>
          <w:p w14:paraId="31B5640F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2 442</w:t>
            </w:r>
          </w:p>
        </w:tc>
      </w:tr>
      <w:tr w:rsidR="00946D52" w:rsidRPr="00AB605F" w14:paraId="3FB466CF" w14:textId="77777777" w:rsidTr="007F1D11">
        <w:tc>
          <w:tcPr>
            <w:tcW w:w="3510" w:type="dxa"/>
          </w:tcPr>
          <w:p w14:paraId="38BDC1C2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Zénith (projets ponctuels)</w:t>
            </w:r>
          </w:p>
        </w:tc>
        <w:tc>
          <w:tcPr>
            <w:tcW w:w="2225" w:type="dxa"/>
          </w:tcPr>
          <w:p w14:paraId="62BEFF33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54512B8E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12 500</w:t>
            </w:r>
          </w:p>
        </w:tc>
        <w:tc>
          <w:tcPr>
            <w:tcW w:w="2226" w:type="dxa"/>
          </w:tcPr>
          <w:p w14:paraId="4900D33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28 333</w:t>
            </w:r>
          </w:p>
        </w:tc>
      </w:tr>
      <w:tr w:rsidR="00946D52" w:rsidRPr="00AB605F" w14:paraId="6B37C9A9" w14:textId="77777777" w:rsidTr="007F1D11">
        <w:tc>
          <w:tcPr>
            <w:tcW w:w="3510" w:type="dxa"/>
          </w:tcPr>
          <w:p w14:paraId="06D8EE0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Chiffre d’affaires HT total</w:t>
            </w:r>
          </w:p>
        </w:tc>
        <w:tc>
          <w:tcPr>
            <w:tcW w:w="2225" w:type="dxa"/>
          </w:tcPr>
          <w:p w14:paraId="4B2FC8A0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7 596</w:t>
            </w:r>
          </w:p>
        </w:tc>
        <w:tc>
          <w:tcPr>
            <w:tcW w:w="2226" w:type="dxa"/>
          </w:tcPr>
          <w:p w14:paraId="03306C4F" w14:textId="611EA498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51 340</w:t>
            </w:r>
          </w:p>
        </w:tc>
        <w:tc>
          <w:tcPr>
            <w:tcW w:w="2226" w:type="dxa"/>
          </w:tcPr>
          <w:p w14:paraId="73B7BF6E" w14:textId="6E3AA3CE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127 111</w:t>
            </w:r>
          </w:p>
        </w:tc>
      </w:tr>
      <w:tr w:rsidR="00946D52" w:rsidRPr="00AB605F" w14:paraId="52B49268" w14:textId="77777777" w:rsidTr="007F1D11">
        <w:tc>
          <w:tcPr>
            <w:tcW w:w="3510" w:type="dxa"/>
          </w:tcPr>
          <w:p w14:paraId="56403C20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Frais variables (1 %)</w:t>
            </w:r>
          </w:p>
        </w:tc>
        <w:tc>
          <w:tcPr>
            <w:tcW w:w="2225" w:type="dxa"/>
          </w:tcPr>
          <w:p w14:paraId="794F6878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−76</w:t>
            </w:r>
          </w:p>
        </w:tc>
        <w:tc>
          <w:tcPr>
            <w:tcW w:w="2226" w:type="dxa"/>
          </w:tcPr>
          <w:p w14:paraId="7667C36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−501</w:t>
            </w:r>
          </w:p>
        </w:tc>
        <w:tc>
          <w:tcPr>
            <w:tcW w:w="2226" w:type="dxa"/>
          </w:tcPr>
          <w:p w14:paraId="05C0DB95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−1 224</w:t>
            </w:r>
          </w:p>
        </w:tc>
      </w:tr>
      <w:tr w:rsidR="00946D52" w:rsidRPr="00AB605F" w14:paraId="5D66FDA1" w14:textId="77777777" w:rsidTr="007F1D11">
        <w:tc>
          <w:tcPr>
            <w:tcW w:w="3510" w:type="dxa"/>
          </w:tcPr>
          <w:p w14:paraId="7461913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Frais fixes infrastructure</w:t>
            </w:r>
          </w:p>
        </w:tc>
        <w:tc>
          <w:tcPr>
            <w:tcW w:w="2225" w:type="dxa"/>
          </w:tcPr>
          <w:p w14:paraId="5E0D11B2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−7 490</w:t>
            </w:r>
          </w:p>
        </w:tc>
        <w:tc>
          <w:tcPr>
            <w:tcW w:w="2226" w:type="dxa"/>
          </w:tcPr>
          <w:p w14:paraId="366CB959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−13 100</w:t>
            </w:r>
          </w:p>
        </w:tc>
        <w:tc>
          <w:tcPr>
            <w:tcW w:w="2226" w:type="dxa"/>
          </w:tcPr>
          <w:p w14:paraId="040F6374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−22 912</w:t>
            </w:r>
          </w:p>
        </w:tc>
      </w:tr>
      <w:tr w:rsidR="00946D52" w:rsidRPr="00AB605F" w14:paraId="248665FE" w14:textId="77777777" w:rsidTr="007F1D11">
        <w:tc>
          <w:tcPr>
            <w:tcW w:w="3510" w:type="dxa"/>
          </w:tcPr>
          <w:p w14:paraId="531CF4E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Sous-traitance développement</w:t>
            </w:r>
          </w:p>
        </w:tc>
        <w:tc>
          <w:tcPr>
            <w:tcW w:w="2225" w:type="dxa"/>
          </w:tcPr>
          <w:p w14:paraId="18ED60CC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65A74221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−54 000</w:t>
            </w:r>
          </w:p>
        </w:tc>
        <w:tc>
          <w:tcPr>
            <w:tcW w:w="2226" w:type="dxa"/>
          </w:tcPr>
          <w:p w14:paraId="5CA0EBE4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−27 000</w:t>
            </w:r>
          </w:p>
        </w:tc>
      </w:tr>
      <w:tr w:rsidR="00946D52" w:rsidRPr="00AB605F" w14:paraId="4C93E86A" w14:textId="77777777" w:rsidTr="007F1D11">
        <w:tc>
          <w:tcPr>
            <w:tcW w:w="3510" w:type="dxa"/>
          </w:tcPr>
          <w:p w14:paraId="530384C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Excédent brut d’exploitation</w:t>
            </w:r>
          </w:p>
        </w:tc>
        <w:tc>
          <w:tcPr>
            <w:tcW w:w="2225" w:type="dxa"/>
          </w:tcPr>
          <w:p w14:paraId="4909DFBF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≈ 30</w:t>
            </w:r>
          </w:p>
        </w:tc>
        <w:tc>
          <w:tcPr>
            <w:tcW w:w="2226" w:type="dxa"/>
          </w:tcPr>
          <w:p w14:paraId="1AD97C3A" w14:textId="3F1757A0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≈ −1</w:t>
            </w:r>
            <w:r w:rsidR="002E2E2E" w:rsidRPr="00AB605F">
              <w:rPr>
                <w:rFonts w:cs="Calibri"/>
                <w:b/>
                <w:bCs/>
                <w:lang w:val="fr-FR"/>
              </w:rPr>
              <w:t>6 273</w:t>
            </w:r>
          </w:p>
        </w:tc>
        <w:tc>
          <w:tcPr>
            <w:tcW w:w="2226" w:type="dxa"/>
          </w:tcPr>
          <w:p w14:paraId="247F8EBF" w14:textId="4808499E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≈ 4</w:t>
            </w:r>
            <w:r w:rsidR="002E2E2E" w:rsidRPr="00AB605F">
              <w:rPr>
                <w:rFonts w:cs="Calibri"/>
                <w:b/>
                <w:bCs/>
                <w:lang w:val="fr-FR"/>
              </w:rPr>
              <w:t>8 928</w:t>
            </w:r>
          </w:p>
        </w:tc>
      </w:tr>
    </w:tbl>
    <w:p w14:paraId="6147F8BB" w14:textId="2E292D67" w:rsidR="00946D52" w:rsidRPr="00AB605F" w:rsidRDefault="00000000">
      <w:pPr>
        <w:pStyle w:val="Titre3"/>
        <w:rPr>
          <w:rFonts w:cs="Calibri"/>
          <w:lang w:val="fr-FR"/>
        </w:rPr>
      </w:pPr>
      <w:bookmarkStart w:id="28" w:name="X82f66c72ae39b42054da972dc37c69b4ace833f"/>
      <w:bookmarkEnd w:id="27"/>
      <w:r w:rsidRPr="00AB605F">
        <w:rPr>
          <w:rFonts w:cs="Calibri"/>
          <w:lang w:val="fr-FR"/>
        </w:rPr>
        <w:t>7.3 Indicateurs récurrents (référence, fin d’année)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431"/>
        <w:gridCol w:w="2176"/>
        <w:gridCol w:w="2177"/>
        <w:gridCol w:w="2177"/>
      </w:tblGrid>
      <w:tr w:rsidR="00946D52" w:rsidRPr="00AB605F" w14:paraId="07CCD4E8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10" w:type="dxa"/>
          </w:tcPr>
          <w:p w14:paraId="211E100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Indicateur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39"/>
            </w:r>
          </w:p>
        </w:tc>
        <w:tc>
          <w:tcPr>
            <w:tcW w:w="2225" w:type="dxa"/>
          </w:tcPr>
          <w:p w14:paraId="195A8EB4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A1</w:t>
            </w:r>
          </w:p>
        </w:tc>
        <w:tc>
          <w:tcPr>
            <w:tcW w:w="2226" w:type="dxa"/>
          </w:tcPr>
          <w:p w14:paraId="422149E9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A2</w:t>
            </w:r>
          </w:p>
        </w:tc>
        <w:tc>
          <w:tcPr>
            <w:tcW w:w="2226" w:type="dxa"/>
          </w:tcPr>
          <w:p w14:paraId="121D442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A3</w:t>
            </w:r>
          </w:p>
        </w:tc>
      </w:tr>
      <w:tr w:rsidR="00946D52" w:rsidRPr="00AB605F" w14:paraId="170EAA64" w14:textId="77777777" w:rsidTr="007F1D11">
        <w:trPr>
          <w:trHeight w:val="586"/>
        </w:trPr>
        <w:tc>
          <w:tcPr>
            <w:tcW w:w="3510" w:type="dxa"/>
          </w:tcPr>
          <w:p w14:paraId="58106CF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Revenu récurrent mensuel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40"/>
            </w:r>
            <w:r w:rsidRPr="00AB605F">
              <w:rPr>
                <w:rFonts w:cs="Calibri"/>
                <w:lang w:val="fr-FR"/>
              </w:rPr>
              <w:t xml:space="preserve"> TTC (abo + options)</w:t>
            </w:r>
          </w:p>
        </w:tc>
        <w:tc>
          <w:tcPr>
            <w:tcW w:w="2225" w:type="dxa"/>
          </w:tcPr>
          <w:p w14:paraId="09324CA1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1 740 €</w:t>
            </w:r>
          </w:p>
        </w:tc>
        <w:tc>
          <w:tcPr>
            <w:tcW w:w="2226" w:type="dxa"/>
          </w:tcPr>
          <w:p w14:paraId="69B275B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6 445 €</w:t>
            </w:r>
          </w:p>
        </w:tc>
        <w:tc>
          <w:tcPr>
            <w:tcW w:w="2226" w:type="dxa"/>
          </w:tcPr>
          <w:p w14:paraId="7E5B7E71" w14:textId="2CB4762B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13 980 €</w:t>
            </w:r>
          </w:p>
        </w:tc>
      </w:tr>
      <w:tr w:rsidR="00946D52" w:rsidRPr="00AB605F" w14:paraId="4199477C" w14:textId="77777777" w:rsidTr="007F1D11">
        <w:trPr>
          <w:trHeight w:val="586"/>
        </w:trPr>
        <w:tc>
          <w:tcPr>
            <w:tcW w:w="3510" w:type="dxa"/>
          </w:tcPr>
          <w:p w14:paraId="28AB8330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Revenu récurrent annuel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41"/>
            </w:r>
            <w:r w:rsidRPr="00AB605F">
              <w:rPr>
                <w:rFonts w:cs="Calibri"/>
                <w:lang w:val="fr-FR"/>
              </w:rPr>
              <w:t xml:space="preserve"> TTC (× 12)</w:t>
            </w:r>
          </w:p>
        </w:tc>
        <w:tc>
          <w:tcPr>
            <w:tcW w:w="2225" w:type="dxa"/>
          </w:tcPr>
          <w:p w14:paraId="56D49F81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20 880 €</w:t>
            </w:r>
          </w:p>
        </w:tc>
        <w:tc>
          <w:tcPr>
            <w:tcW w:w="2226" w:type="dxa"/>
          </w:tcPr>
          <w:p w14:paraId="35F7F440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77 340 €</w:t>
            </w:r>
          </w:p>
        </w:tc>
        <w:tc>
          <w:tcPr>
            <w:tcW w:w="2226" w:type="dxa"/>
          </w:tcPr>
          <w:p w14:paraId="046213AB" w14:textId="6A0943D1" w:rsidR="00946D52" w:rsidRPr="00AB605F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167 760 €</w:t>
            </w:r>
          </w:p>
        </w:tc>
      </w:tr>
      <w:tr w:rsidR="00946D52" w:rsidRPr="00AB605F" w14:paraId="70F2848F" w14:textId="77777777" w:rsidTr="007F1D11">
        <w:trPr>
          <w:trHeight w:val="586"/>
        </w:trPr>
        <w:tc>
          <w:tcPr>
            <w:tcW w:w="3510" w:type="dxa"/>
          </w:tcPr>
          <w:p w14:paraId="30583B03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Clients payants (abonnement)</w:t>
            </w:r>
          </w:p>
        </w:tc>
        <w:tc>
          <w:tcPr>
            <w:tcW w:w="2225" w:type="dxa"/>
          </w:tcPr>
          <w:p w14:paraId="43DCA932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15</w:t>
            </w:r>
          </w:p>
        </w:tc>
        <w:tc>
          <w:tcPr>
            <w:tcW w:w="2226" w:type="dxa"/>
          </w:tcPr>
          <w:p w14:paraId="0353CB78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47</w:t>
            </w:r>
          </w:p>
        </w:tc>
        <w:tc>
          <w:tcPr>
            <w:tcW w:w="2226" w:type="dxa"/>
          </w:tcPr>
          <w:p w14:paraId="40B16813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95</w:t>
            </w:r>
          </w:p>
        </w:tc>
      </w:tr>
      <w:tr w:rsidR="00946D52" w:rsidRPr="00AB605F" w14:paraId="2A55A201" w14:textId="77777777" w:rsidTr="007F1D11">
        <w:trPr>
          <w:trHeight w:val="586"/>
        </w:trPr>
        <w:tc>
          <w:tcPr>
            <w:tcW w:w="3510" w:type="dxa"/>
          </w:tcPr>
          <w:p w14:paraId="22D442C2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Revenu moyen par client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42"/>
            </w:r>
            <w:r w:rsidRPr="00AB605F">
              <w:rPr>
                <w:rFonts w:cs="Calibri"/>
                <w:lang w:val="fr-FR"/>
              </w:rPr>
              <w:t xml:space="preserve"> TTC/mois</w:t>
            </w:r>
          </w:p>
        </w:tc>
        <w:tc>
          <w:tcPr>
            <w:tcW w:w="2225" w:type="dxa"/>
          </w:tcPr>
          <w:p w14:paraId="4411DA07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~116 €</w:t>
            </w:r>
          </w:p>
        </w:tc>
        <w:tc>
          <w:tcPr>
            <w:tcW w:w="2226" w:type="dxa"/>
          </w:tcPr>
          <w:p w14:paraId="7BE6184E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~137 €</w:t>
            </w:r>
          </w:p>
        </w:tc>
        <w:tc>
          <w:tcPr>
            <w:tcW w:w="2226" w:type="dxa"/>
          </w:tcPr>
          <w:p w14:paraId="453F5967" w14:textId="1F20562F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~14</w:t>
            </w:r>
            <w:r w:rsidR="002E2E2E" w:rsidRPr="00AB605F">
              <w:rPr>
                <w:rFonts w:cs="Calibri"/>
                <w:lang w:val="fr-FR"/>
              </w:rPr>
              <w:t>7</w:t>
            </w:r>
            <w:r w:rsidRPr="00AB605F">
              <w:rPr>
                <w:rFonts w:cs="Calibri"/>
                <w:lang w:val="fr-FR"/>
              </w:rPr>
              <w:t xml:space="preserve"> €</w:t>
            </w:r>
          </w:p>
        </w:tc>
      </w:tr>
      <w:tr w:rsidR="00946D52" w:rsidRPr="00AB605F" w14:paraId="65AD016D" w14:textId="77777777" w:rsidTr="007F1D11">
        <w:trPr>
          <w:trHeight w:val="586"/>
        </w:trPr>
        <w:tc>
          <w:tcPr>
            <w:tcW w:w="3510" w:type="dxa"/>
          </w:tcPr>
          <w:p w14:paraId="3234D52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Trésorerie cumulée</w:t>
            </w:r>
          </w:p>
        </w:tc>
        <w:tc>
          <w:tcPr>
            <w:tcW w:w="2225" w:type="dxa"/>
          </w:tcPr>
          <w:p w14:paraId="2FE3373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~6 500 €</w:t>
            </w:r>
          </w:p>
        </w:tc>
        <w:tc>
          <w:tcPr>
            <w:tcW w:w="2226" w:type="dxa"/>
          </w:tcPr>
          <w:p w14:paraId="3ACA8D07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~−11 000 €</w:t>
            </w:r>
          </w:p>
        </w:tc>
        <w:tc>
          <w:tcPr>
            <w:tcW w:w="2226" w:type="dxa"/>
          </w:tcPr>
          <w:p w14:paraId="07912109" w14:textId="6906521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~3</w:t>
            </w:r>
            <w:r w:rsidR="002E2E2E" w:rsidRPr="00AB605F">
              <w:rPr>
                <w:rFonts w:cs="Calibri"/>
                <w:lang w:val="fr-FR"/>
              </w:rPr>
              <w:t>7 6</w:t>
            </w:r>
            <w:r w:rsidRPr="00AB605F">
              <w:rPr>
                <w:rFonts w:cs="Calibri"/>
                <w:lang w:val="fr-FR"/>
              </w:rPr>
              <w:t>00 €</w:t>
            </w:r>
          </w:p>
        </w:tc>
      </w:tr>
    </w:tbl>
    <w:p w14:paraId="391CA46A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29" w:name="lecture-stratégique"/>
      <w:bookmarkEnd w:id="28"/>
      <w:r w:rsidRPr="00AB605F">
        <w:rPr>
          <w:rFonts w:cs="Calibri"/>
          <w:lang w:val="fr-FR"/>
        </w:rPr>
        <w:t>7.4 Lecture stratégique</w:t>
      </w:r>
    </w:p>
    <w:p w14:paraId="1ADC4CFA" w14:textId="77777777" w:rsidR="00946D52" w:rsidRPr="00AB605F" w:rsidRDefault="00000000">
      <w:pPr>
        <w:pStyle w:val="Compact"/>
        <w:numPr>
          <w:ilvl w:val="0"/>
          <w:numId w:val="8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Prudent</w:t>
      </w:r>
      <w:r w:rsidRPr="00AB605F">
        <w:rPr>
          <w:rFonts w:cs="Calibri"/>
          <w:lang w:val="fr-FR"/>
        </w:rPr>
        <w:t xml:space="preserve"> : croissance lente, pas de développeur externalisé → trésorerie confortable (~88 k€) mais montée en charge</w:t>
      </w:r>
      <w:r w:rsidRPr="00AB605F">
        <w:rPr>
          <w:rStyle w:val="Appelnotedebasdep"/>
          <w:rFonts w:cs="Calibri"/>
          <w:lang w:val="fr-FR"/>
        </w:rPr>
        <w:footnoteReference w:id="43"/>
      </w:r>
      <w:r w:rsidRPr="00AB605F">
        <w:rPr>
          <w:rFonts w:cs="Calibri"/>
          <w:lang w:val="fr-FR"/>
        </w:rPr>
        <w:t xml:space="preserve"> limitée.</w:t>
      </w:r>
    </w:p>
    <w:p w14:paraId="1081DDD4" w14:textId="2FF59466" w:rsidR="00946D52" w:rsidRPr="00AB605F" w:rsidRDefault="00000000">
      <w:pPr>
        <w:pStyle w:val="Compact"/>
        <w:numPr>
          <w:ilvl w:val="0"/>
          <w:numId w:val="8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lastRenderedPageBreak/>
        <w:t>Référence</w:t>
      </w:r>
      <w:r w:rsidRPr="00AB605F">
        <w:rPr>
          <w:rFonts w:cs="Calibri"/>
          <w:lang w:val="fr-FR"/>
        </w:rPr>
        <w:t xml:space="preserve"> : équilibre produit / trésorerie — 1 développeur en A2, léger creux en A2, remontée en A3</w:t>
      </w:r>
      <w:r w:rsidR="002E2E2E" w:rsidRPr="00AB605F">
        <w:rPr>
          <w:rFonts w:cs="Calibri"/>
          <w:lang w:val="fr-FR"/>
        </w:rPr>
        <w:t xml:space="preserve"> (~38 k€ de trésorerie)</w:t>
      </w:r>
      <w:r w:rsidRPr="00AB605F">
        <w:rPr>
          <w:rFonts w:cs="Calibri"/>
          <w:lang w:val="fr-FR"/>
        </w:rPr>
        <w:t>.</w:t>
      </w:r>
    </w:p>
    <w:p w14:paraId="6127BAAC" w14:textId="77777777" w:rsidR="00946D52" w:rsidRPr="00AB605F" w:rsidRDefault="00000000">
      <w:pPr>
        <w:pStyle w:val="Compact"/>
        <w:numPr>
          <w:ilvl w:val="0"/>
          <w:numId w:val="8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Ambitieux</w:t>
      </w:r>
      <w:r w:rsidRPr="00AB605F">
        <w:rPr>
          <w:rFonts w:cs="Calibri"/>
          <w:lang w:val="fr-FR"/>
        </w:rPr>
        <w:t xml:space="preserve"> : 5 développeurs, +30 % clients → </w:t>
      </w:r>
      <w:r w:rsidRPr="00AB605F">
        <w:rPr>
          <w:rFonts w:cs="Calibri"/>
          <w:b/>
          <w:bCs/>
          <w:lang w:val="fr-FR"/>
        </w:rPr>
        <w:t>consommation de trésorerie</w:t>
      </w:r>
      <w:r w:rsidRPr="00AB605F">
        <w:rPr>
          <w:rStyle w:val="Appelnotedebasdep"/>
          <w:rFonts w:cs="Calibri"/>
          <w:lang w:val="fr-FR"/>
        </w:rPr>
        <w:footnoteReference w:id="44"/>
      </w:r>
      <w:r w:rsidRPr="00AB605F">
        <w:rPr>
          <w:rFonts w:cs="Calibri"/>
          <w:lang w:val="fr-FR"/>
        </w:rPr>
        <w:t xml:space="preserve"> importante → levée de fonds ~500 k€ recommandée pour tenir 24 mois.</w:t>
      </w:r>
    </w:p>
    <w:p w14:paraId="4C313C37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pict w14:anchorId="13C3E66F">
          <v:rect id="_x0000_i1513" style="width:0;height:1.5pt" o:hralign="center" o:hrstd="t" o:hr="t"/>
        </w:pict>
      </w:r>
    </w:p>
    <w:p w14:paraId="17DFDAC2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30" w:name="économie-unitaire-et-attrition"/>
      <w:bookmarkEnd w:id="25"/>
      <w:bookmarkEnd w:id="29"/>
      <w:r w:rsidRPr="00AB605F">
        <w:rPr>
          <w:rFonts w:cs="Calibri"/>
          <w:lang w:val="fr-FR"/>
        </w:rPr>
        <w:t>8. Économie unitaire et attrition</w:t>
      </w:r>
    </w:p>
    <w:p w14:paraId="01D7F09D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31" w:name="X830b126fc4b2daf0dba5d6cea3d5f7e4c38e3d2"/>
      <w:r w:rsidRPr="00AB605F">
        <w:rPr>
          <w:rFonts w:cs="Calibri"/>
          <w:lang w:val="fr-FR"/>
        </w:rPr>
        <w:t>Valeur vie client</w:t>
      </w:r>
      <w:r w:rsidRPr="00AB605F">
        <w:rPr>
          <w:rStyle w:val="Appelnotedebasdep"/>
          <w:rFonts w:cs="Calibri"/>
          <w:lang w:val="fr-FR"/>
        </w:rPr>
        <w:footnoteReference w:id="45"/>
      </w:r>
      <w:r w:rsidRPr="00AB605F">
        <w:rPr>
          <w:rFonts w:cs="Calibri"/>
          <w:lang w:val="fr-FR"/>
        </w:rPr>
        <w:t xml:space="preserve"> estimée (ordre de grandeur)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1909"/>
        <w:gridCol w:w="2362"/>
        <w:gridCol w:w="3063"/>
        <w:gridCol w:w="2627"/>
      </w:tblGrid>
      <w:tr w:rsidR="00946D52" w:rsidRPr="00AB605F" w14:paraId="2F871180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51" w:type="dxa"/>
          </w:tcPr>
          <w:p w14:paraId="543669FC" w14:textId="7EE8389E" w:rsidR="00946D52" w:rsidRPr="00AB605F" w:rsidRDefault="00316409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Abonnement</w:t>
            </w:r>
          </w:p>
        </w:tc>
        <w:tc>
          <w:tcPr>
            <w:tcW w:w="2415" w:type="dxa"/>
            <w:vAlign w:val="center"/>
          </w:tcPr>
          <w:p w14:paraId="468CD62B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Revenu moyen/client TTC/mois</w:t>
            </w:r>
          </w:p>
        </w:tc>
        <w:tc>
          <w:tcPr>
            <w:tcW w:w="3134" w:type="dxa"/>
            <w:vAlign w:val="center"/>
          </w:tcPr>
          <w:p w14:paraId="24011680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Attrition mensuelle estimée</w:t>
            </w:r>
          </w:p>
        </w:tc>
        <w:tc>
          <w:tcPr>
            <w:tcW w:w="2687" w:type="dxa"/>
            <w:vAlign w:val="center"/>
          </w:tcPr>
          <w:p w14:paraId="58C8EF09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Valeur vie client TTC</w:t>
            </w:r>
          </w:p>
        </w:tc>
      </w:tr>
      <w:tr w:rsidR="00946D52" w:rsidRPr="00AB605F" w14:paraId="33E23078" w14:textId="77777777" w:rsidTr="007F1D11">
        <w:tc>
          <w:tcPr>
            <w:tcW w:w="1951" w:type="dxa"/>
          </w:tcPr>
          <w:p w14:paraId="6BB71E2F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Atelier</w:t>
            </w:r>
          </w:p>
        </w:tc>
        <w:tc>
          <w:tcPr>
            <w:tcW w:w="2415" w:type="dxa"/>
            <w:vAlign w:val="center"/>
          </w:tcPr>
          <w:p w14:paraId="6B0DE43D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59 €</w:t>
            </w:r>
          </w:p>
        </w:tc>
        <w:tc>
          <w:tcPr>
            <w:tcW w:w="3134" w:type="dxa"/>
            <w:vAlign w:val="center"/>
          </w:tcPr>
          <w:p w14:paraId="0EF9D90C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~3 %/mois</w:t>
            </w:r>
          </w:p>
        </w:tc>
        <w:tc>
          <w:tcPr>
            <w:tcW w:w="2687" w:type="dxa"/>
            <w:vAlign w:val="center"/>
          </w:tcPr>
          <w:p w14:paraId="22084F98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~1 900 €</w:t>
            </w:r>
          </w:p>
        </w:tc>
      </w:tr>
      <w:tr w:rsidR="00946D52" w:rsidRPr="00AB605F" w14:paraId="3712A655" w14:textId="77777777" w:rsidTr="007F1D11">
        <w:tc>
          <w:tcPr>
            <w:tcW w:w="1951" w:type="dxa"/>
          </w:tcPr>
          <w:p w14:paraId="076A328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Horizon</w:t>
            </w:r>
          </w:p>
        </w:tc>
        <w:tc>
          <w:tcPr>
            <w:tcW w:w="2415" w:type="dxa"/>
            <w:vAlign w:val="center"/>
          </w:tcPr>
          <w:p w14:paraId="10222597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149 €</w:t>
            </w:r>
          </w:p>
        </w:tc>
        <w:tc>
          <w:tcPr>
            <w:tcW w:w="3134" w:type="dxa"/>
            <w:vAlign w:val="center"/>
          </w:tcPr>
          <w:p w14:paraId="0908C795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~1,5 %/mois</w:t>
            </w:r>
          </w:p>
        </w:tc>
        <w:tc>
          <w:tcPr>
            <w:tcW w:w="2687" w:type="dxa"/>
            <w:vAlign w:val="center"/>
          </w:tcPr>
          <w:p w14:paraId="30DD5BAC" w14:textId="77777777" w:rsidR="00946D52" w:rsidRPr="00AB605F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~9 900 €</w:t>
            </w:r>
          </w:p>
        </w:tc>
      </w:tr>
    </w:tbl>
    <w:p w14:paraId="6183E457" w14:textId="77777777" w:rsidR="00946D52" w:rsidRPr="00AB605F" w:rsidRDefault="00000000">
      <w:pPr>
        <w:pStyle w:val="Corpsdetexte"/>
        <w:rPr>
          <w:rFonts w:ascii="Calibri" w:hAnsi="Calibri" w:cs="Calibri"/>
          <w:sz w:val="22"/>
          <w:szCs w:val="22"/>
          <w:lang w:val="fr-FR"/>
        </w:rPr>
      </w:pPr>
      <w:r w:rsidRPr="00AB605F">
        <w:rPr>
          <w:rFonts w:ascii="Calibri" w:hAnsi="Calibri" w:cs="Calibri"/>
          <w:i/>
          <w:iCs/>
          <w:sz w:val="22"/>
          <w:szCs w:val="22"/>
          <w:lang w:val="fr-FR"/>
        </w:rPr>
        <w:t>Valeur vie client ≈ revenu moyen par client ÷ attrition mensuelle, avec taux décroissant selon hypothèses.</w:t>
      </w:r>
    </w:p>
    <w:p w14:paraId="1BDBD92A" w14:textId="7B4AD642" w:rsidR="00946D52" w:rsidRPr="00AB605F" w:rsidRDefault="00000000">
      <w:pPr>
        <w:pStyle w:val="Titre3"/>
        <w:rPr>
          <w:rFonts w:cs="Calibri"/>
          <w:lang w:val="fr-FR"/>
        </w:rPr>
      </w:pPr>
      <w:bookmarkStart w:id="32" w:name="répartition-des-revenus-a3-référence"/>
      <w:bookmarkEnd w:id="31"/>
      <w:r w:rsidRPr="00AB605F">
        <w:rPr>
          <w:rFonts w:cs="Calibri"/>
          <w:lang w:val="fr-FR"/>
        </w:rPr>
        <w:t>Répartition des revenus A3 (référence)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2124"/>
        <w:gridCol w:w="2449"/>
        <w:gridCol w:w="2450"/>
      </w:tblGrid>
      <w:tr w:rsidR="00946D52" w:rsidRPr="00AB605F" w14:paraId="437E84D1" w14:textId="77777777" w:rsidTr="002E2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</w:tcPr>
          <w:p w14:paraId="5C26E7E3" w14:textId="4763502C" w:rsidR="00946D52" w:rsidRPr="00AB605F" w:rsidRDefault="00316409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Abonnement</w:t>
            </w:r>
          </w:p>
        </w:tc>
        <w:tc>
          <w:tcPr>
            <w:tcW w:w="2449" w:type="dxa"/>
          </w:tcPr>
          <w:p w14:paraId="5B9AE22E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Clients</w:t>
            </w:r>
          </w:p>
        </w:tc>
        <w:tc>
          <w:tcPr>
            <w:tcW w:w="2450" w:type="dxa"/>
          </w:tcPr>
          <w:p w14:paraId="5FE3DC12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Revenu récurrent mensuel TTC estimé</w:t>
            </w:r>
          </w:p>
        </w:tc>
      </w:tr>
      <w:tr w:rsidR="00946D52" w:rsidRPr="00AB605F" w14:paraId="3DEF4425" w14:textId="77777777" w:rsidTr="002E2E2E">
        <w:tc>
          <w:tcPr>
            <w:tcW w:w="0" w:type="auto"/>
          </w:tcPr>
          <w:p w14:paraId="67BA1D7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Atelier (20)</w:t>
            </w:r>
          </w:p>
        </w:tc>
        <w:tc>
          <w:tcPr>
            <w:tcW w:w="2449" w:type="dxa"/>
          </w:tcPr>
          <w:p w14:paraId="6A0857E2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20</w:t>
            </w:r>
          </w:p>
        </w:tc>
        <w:tc>
          <w:tcPr>
            <w:tcW w:w="2450" w:type="dxa"/>
          </w:tcPr>
          <w:p w14:paraId="5D205F27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1 180 €</w:t>
            </w:r>
          </w:p>
        </w:tc>
      </w:tr>
      <w:tr w:rsidR="00946D52" w:rsidRPr="00AB605F" w14:paraId="7B1C53DD" w14:textId="77777777" w:rsidTr="002E2E2E">
        <w:tc>
          <w:tcPr>
            <w:tcW w:w="0" w:type="auto"/>
          </w:tcPr>
          <w:p w14:paraId="1F160547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Horizon (70)</w:t>
            </w:r>
          </w:p>
        </w:tc>
        <w:tc>
          <w:tcPr>
            <w:tcW w:w="2449" w:type="dxa"/>
          </w:tcPr>
          <w:p w14:paraId="2AD5335C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70</w:t>
            </w:r>
          </w:p>
        </w:tc>
        <w:tc>
          <w:tcPr>
            <w:tcW w:w="2450" w:type="dxa"/>
          </w:tcPr>
          <w:p w14:paraId="50201D99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10 430 €</w:t>
            </w:r>
          </w:p>
        </w:tc>
      </w:tr>
      <w:tr w:rsidR="00946D52" w:rsidRPr="00AB605F" w14:paraId="1B341DD9" w14:textId="77777777" w:rsidTr="002E2E2E">
        <w:tc>
          <w:tcPr>
            <w:tcW w:w="0" w:type="auto"/>
          </w:tcPr>
          <w:p w14:paraId="08CA4AF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Rayonnement (5)</w:t>
            </w:r>
          </w:p>
        </w:tc>
        <w:tc>
          <w:tcPr>
            <w:tcW w:w="2449" w:type="dxa"/>
          </w:tcPr>
          <w:p w14:paraId="53AA74A4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5</w:t>
            </w:r>
          </w:p>
        </w:tc>
        <w:tc>
          <w:tcPr>
            <w:tcW w:w="2450" w:type="dxa"/>
          </w:tcPr>
          <w:p w14:paraId="4D499709" w14:textId="0D175517" w:rsidR="00946D52" w:rsidRPr="00AB605F" w:rsidRDefault="002E2E2E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2 745 €</w:t>
            </w:r>
          </w:p>
        </w:tc>
      </w:tr>
      <w:tr w:rsidR="00946D52" w:rsidRPr="00AB605F" w14:paraId="28F1C30C" w14:textId="77777777" w:rsidTr="002E2E2E">
        <w:tc>
          <w:tcPr>
            <w:tcW w:w="0" w:type="auto"/>
          </w:tcPr>
          <w:p w14:paraId="3969BEB0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Options (12 % × 95)</w:t>
            </w:r>
          </w:p>
        </w:tc>
        <w:tc>
          <w:tcPr>
            <w:tcW w:w="2449" w:type="dxa"/>
          </w:tcPr>
          <w:p w14:paraId="28C529E6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—</w:t>
            </w:r>
          </w:p>
        </w:tc>
        <w:tc>
          <w:tcPr>
            <w:tcW w:w="2450" w:type="dxa"/>
          </w:tcPr>
          <w:p w14:paraId="2EE52CBB" w14:textId="77777777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~342 €</w:t>
            </w:r>
          </w:p>
        </w:tc>
      </w:tr>
      <w:tr w:rsidR="00946D52" w:rsidRPr="00AB605F" w14:paraId="3D9FC594" w14:textId="77777777" w:rsidTr="002E2E2E">
        <w:tc>
          <w:tcPr>
            <w:tcW w:w="0" w:type="auto"/>
          </w:tcPr>
          <w:p w14:paraId="5DD47747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Total</w:t>
            </w:r>
          </w:p>
        </w:tc>
        <w:tc>
          <w:tcPr>
            <w:tcW w:w="2449" w:type="dxa"/>
          </w:tcPr>
          <w:p w14:paraId="3AF0C96B" w14:textId="77777777" w:rsidR="00946D52" w:rsidRPr="00AB605F" w:rsidRDefault="00946D52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</w:p>
        </w:tc>
        <w:tc>
          <w:tcPr>
            <w:tcW w:w="2450" w:type="dxa"/>
          </w:tcPr>
          <w:p w14:paraId="426BD38E" w14:textId="5327FE4A" w:rsidR="00946D52" w:rsidRPr="00AB605F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AB605F">
              <w:rPr>
                <w:rFonts w:cs="Calibri"/>
                <w:b/>
                <w:bCs/>
                <w:lang w:val="fr-FR"/>
              </w:rPr>
              <w:t>~13</w:t>
            </w:r>
            <w:r w:rsidR="002E2E2E" w:rsidRPr="00AB605F">
              <w:rPr>
                <w:rFonts w:cs="Calibri"/>
                <w:b/>
                <w:bCs/>
                <w:lang w:val="fr-FR"/>
              </w:rPr>
              <w:t xml:space="preserve"> 980 </w:t>
            </w:r>
            <w:r w:rsidRPr="00AB605F">
              <w:rPr>
                <w:rFonts w:cs="Calibri"/>
                <w:b/>
                <w:bCs/>
                <w:lang w:val="fr-FR"/>
              </w:rPr>
              <w:t>€</w:t>
            </w:r>
          </w:p>
        </w:tc>
      </w:tr>
    </w:tbl>
    <w:p w14:paraId="356B942F" w14:textId="77777777" w:rsidR="00946D52" w:rsidRPr="00AB605F" w:rsidRDefault="00000000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lang w:val="fr-FR"/>
        </w:rPr>
        <w:pict w14:anchorId="5D6BD9AF">
          <v:rect id="_x0000_i1514" style="width:0;height:1.5pt" o:hralign="center" o:hrstd="t" o:hr="t"/>
        </w:pict>
      </w:r>
    </w:p>
    <w:p w14:paraId="7B20AB9B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33" w:name="stratégie-de-mise-sur-le-marchégtm"/>
      <w:bookmarkEnd w:id="30"/>
      <w:bookmarkEnd w:id="32"/>
      <w:r w:rsidRPr="00AB605F">
        <w:rPr>
          <w:rFonts w:cs="Calibri"/>
          <w:lang w:val="fr-FR"/>
        </w:rPr>
        <w:t>9. Stratégie de mise sur le marché</w:t>
      </w:r>
      <w:r w:rsidRPr="00AB605F">
        <w:rPr>
          <w:rStyle w:val="Appelnotedebasdep"/>
          <w:rFonts w:cs="Calibri"/>
          <w:lang w:val="fr-FR"/>
        </w:rPr>
        <w:footnoteReference w:id="46"/>
      </w:r>
    </w:p>
    <w:p w14:paraId="2F646606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34" w:name="phase-1-a1-validation-0-25-clients"/>
      <w:r w:rsidRPr="00AB605F">
        <w:rPr>
          <w:rFonts w:cs="Calibri"/>
          <w:lang w:val="fr-FR"/>
        </w:rPr>
        <w:t>Phase 1 — A1 : Validation (0 → 25 clients)</w:t>
      </w:r>
    </w:p>
    <w:p w14:paraId="39AAD2D1" w14:textId="77777777" w:rsidR="00946D52" w:rsidRPr="00AB605F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 xml:space="preserve">Essai </w:t>
      </w:r>
      <w:r w:rsidRPr="00AB605F">
        <w:rPr>
          <w:rFonts w:cs="Calibri"/>
          <w:b/>
          <w:bCs/>
          <w:lang w:val="fr-FR"/>
        </w:rPr>
        <w:t>Étincelle</w:t>
      </w:r>
      <w:r w:rsidRPr="00AB605F">
        <w:rPr>
          <w:rFonts w:cs="Calibri"/>
          <w:lang w:val="fr-FR"/>
        </w:rPr>
        <w:t xml:space="preserve"> gratuit (30 j, 10 œuvres) comme </w:t>
      </w:r>
      <w:r w:rsidRPr="00AB605F">
        <w:rPr>
          <w:rFonts w:cs="Calibri"/>
          <w:b/>
          <w:bCs/>
          <w:lang w:val="fr-FR"/>
        </w:rPr>
        <w:t>entonnoir d’acquisition</w:t>
      </w:r>
      <w:r w:rsidRPr="00AB605F">
        <w:rPr>
          <w:rStyle w:val="Appelnotedebasdep"/>
          <w:rFonts w:cs="Calibri"/>
          <w:lang w:val="fr-FR"/>
        </w:rPr>
        <w:footnoteReference w:id="47"/>
      </w:r>
    </w:p>
    <w:p w14:paraId="69665F36" w14:textId="77777777" w:rsidR="00946D52" w:rsidRPr="00AB605F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 xml:space="preserve">Ciblage </w:t>
      </w:r>
      <w:r w:rsidRPr="00AB605F">
        <w:rPr>
          <w:rFonts w:cs="Calibri"/>
          <w:b/>
          <w:bCs/>
          <w:lang w:val="fr-FR"/>
        </w:rPr>
        <w:t>centres d’art DCA</w:t>
      </w:r>
      <w:r w:rsidRPr="00AB605F">
        <w:rPr>
          <w:rFonts w:cs="Calibri"/>
          <w:lang w:val="fr-FR"/>
        </w:rPr>
        <w:t xml:space="preserve"> et </w:t>
      </w:r>
      <w:r w:rsidRPr="00AB605F">
        <w:rPr>
          <w:rFonts w:cs="Calibri"/>
          <w:b/>
          <w:bCs/>
          <w:lang w:val="fr-FR"/>
        </w:rPr>
        <w:t>musées territoriaux</w:t>
      </w:r>
      <w:r w:rsidRPr="00AB605F">
        <w:rPr>
          <w:rFonts w:cs="Calibri"/>
          <w:lang w:val="fr-FR"/>
        </w:rPr>
        <w:t xml:space="preserve"> (format M, 60 œuvres/expo)</w:t>
      </w:r>
    </w:p>
    <w:p w14:paraId="175F78CE" w14:textId="77777777" w:rsidR="00946D52" w:rsidRPr="00AB605F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Démonstrations curatorales, 5 Atelier + 10 Horizon fin A1</w:t>
      </w:r>
    </w:p>
    <w:p w14:paraId="44AA36AD" w14:textId="77777777" w:rsidR="00946D52" w:rsidRPr="00AB605F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Objectif : prouver la rétention après l’attrition à partir de M9</w:t>
      </w:r>
    </w:p>
    <w:p w14:paraId="51005B65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35" w:name="phase-2-a2-accélération-25-68-clients"/>
      <w:bookmarkEnd w:id="34"/>
      <w:r w:rsidRPr="00AB605F">
        <w:rPr>
          <w:rFonts w:cs="Calibri"/>
          <w:lang w:val="fr-FR"/>
        </w:rPr>
        <w:t>Phase 2 — A2 : Accélération (25 → 68 clients)</w:t>
      </w:r>
    </w:p>
    <w:p w14:paraId="15BF15A6" w14:textId="77777777" w:rsidR="00946D52" w:rsidRPr="00AB605F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 xml:space="preserve">Montée en charge </w:t>
      </w:r>
      <w:r w:rsidRPr="00AB605F">
        <w:rPr>
          <w:rFonts w:cs="Calibri"/>
          <w:b/>
          <w:bCs/>
          <w:lang w:val="fr-FR"/>
        </w:rPr>
        <w:t>Horizon</w:t>
      </w:r>
      <w:r w:rsidRPr="00AB605F">
        <w:rPr>
          <w:rFonts w:cs="Calibri"/>
          <w:lang w:val="fr-FR"/>
        </w:rPr>
        <w:t xml:space="preserve"> (35 clients) — cœur de marge</w:t>
      </w:r>
    </w:p>
    <w:p w14:paraId="5EAE409E" w14:textId="77777777" w:rsidR="00946D52" w:rsidRPr="00AB605F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 xml:space="preserve">Premiers </w:t>
      </w:r>
      <w:r w:rsidRPr="00AB605F">
        <w:rPr>
          <w:rFonts w:cs="Calibri"/>
          <w:b/>
          <w:bCs/>
          <w:lang w:val="fr-FR"/>
        </w:rPr>
        <w:t>Rayonnement</w:t>
      </w:r>
      <w:r w:rsidRPr="00AB605F">
        <w:rPr>
          <w:rFonts w:cs="Calibri"/>
          <w:lang w:val="fr-FR"/>
        </w:rPr>
        <w:t xml:space="preserve"> (2) et </w:t>
      </w:r>
      <w:r w:rsidRPr="00AB605F">
        <w:rPr>
          <w:rFonts w:cs="Calibri"/>
          <w:b/>
          <w:bCs/>
          <w:lang w:val="fr-FR"/>
        </w:rPr>
        <w:t>Zénith</w:t>
      </w:r>
      <w:r w:rsidRPr="00AB605F">
        <w:rPr>
          <w:rFonts w:cs="Calibri"/>
          <w:lang w:val="fr-FR"/>
        </w:rPr>
        <w:t xml:space="preserve"> (1 × 15 k€)</w:t>
      </w:r>
    </w:p>
    <w:p w14:paraId="5DF1D9E5" w14:textId="77777777" w:rsidR="00946D52" w:rsidRPr="00AB605F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1 développeur</w:t>
      </w:r>
      <w:r w:rsidRPr="00AB605F">
        <w:rPr>
          <w:rFonts w:cs="Calibri"/>
          <w:lang w:val="fr-FR"/>
        </w:rPr>
        <w:t xml:space="preserve"> sous-traité pour paiement en ligne et facturation</w:t>
      </w:r>
    </w:p>
    <w:p w14:paraId="224100A2" w14:textId="77777777" w:rsidR="00946D52" w:rsidRPr="00AB605F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Activation réseaux (DCA, festivals photo Arles / Perpignan)</w:t>
      </w:r>
    </w:p>
    <w:p w14:paraId="32C2038B" w14:textId="77777777" w:rsidR="00946D52" w:rsidRPr="00AB605F" w:rsidRDefault="00000000">
      <w:pPr>
        <w:pStyle w:val="Titre3"/>
        <w:rPr>
          <w:rFonts w:cs="Calibri"/>
          <w:lang w:val="fr-FR"/>
        </w:rPr>
      </w:pPr>
      <w:bookmarkStart w:id="36" w:name="X83d4a8d15908a5fe7db8103344ddea395b5d12b"/>
      <w:bookmarkEnd w:id="35"/>
      <w:r w:rsidRPr="00AB605F">
        <w:rPr>
          <w:rFonts w:cs="Calibri"/>
          <w:lang w:val="fr-FR"/>
        </w:rPr>
        <w:t>Phase 3 — A3 : Déploiement régional (68 → 128 clients)</w:t>
      </w:r>
    </w:p>
    <w:p w14:paraId="580ECA47" w14:textId="77777777" w:rsidR="00946D52" w:rsidRPr="00AB605F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t>70 Horizon</w:t>
      </w:r>
      <w:r w:rsidRPr="00AB605F">
        <w:rPr>
          <w:rFonts w:cs="Calibri"/>
          <w:lang w:val="fr-FR"/>
        </w:rPr>
        <w:t xml:space="preserve"> — ancrage musées de province</w:t>
      </w:r>
    </w:p>
    <w:p w14:paraId="4A72FD61" w14:textId="77777777" w:rsidR="00946D52" w:rsidRPr="00AB605F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AB605F">
        <w:rPr>
          <w:rFonts w:cs="Calibri"/>
          <w:b/>
          <w:bCs/>
          <w:lang w:val="fr-FR"/>
        </w:rPr>
        <w:lastRenderedPageBreak/>
        <w:t>5 Rayonnement</w:t>
      </w:r>
      <w:r w:rsidRPr="00AB605F">
        <w:rPr>
          <w:rFonts w:cs="Calibri"/>
          <w:lang w:val="fr-FR"/>
        </w:rPr>
        <w:t xml:space="preserve"> + </w:t>
      </w:r>
      <w:r w:rsidRPr="00AB605F">
        <w:rPr>
          <w:rFonts w:cs="Calibri"/>
          <w:b/>
          <w:bCs/>
          <w:lang w:val="fr-FR"/>
        </w:rPr>
        <w:t>3 Zénith</w:t>
      </w:r>
      <w:r w:rsidRPr="00AB605F">
        <w:rPr>
          <w:rFonts w:cs="Calibri"/>
          <w:lang w:val="fr-FR"/>
        </w:rPr>
        <w:t xml:space="preserve"> — grands comptes</w:t>
      </w:r>
    </w:p>
    <w:p w14:paraId="386F482F" w14:textId="77777777" w:rsidR="00946D52" w:rsidRPr="00AB605F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 xml:space="preserve">Dépassements à 12 % — </w:t>
      </w:r>
      <w:r w:rsidRPr="00AB605F">
        <w:rPr>
          <w:rFonts w:cs="Calibri"/>
          <w:b/>
          <w:bCs/>
          <w:lang w:val="fr-FR"/>
        </w:rPr>
        <w:t>montée en gamme</w:t>
      </w:r>
      <w:r w:rsidRPr="00AB605F">
        <w:rPr>
          <w:rStyle w:val="Appelnotedebasdep"/>
          <w:rFonts w:cs="Calibri"/>
          <w:lang w:val="fr-FR"/>
        </w:rPr>
        <w:footnoteReference w:id="48"/>
      </w:r>
      <w:r w:rsidRPr="00AB605F">
        <w:rPr>
          <w:rFonts w:cs="Calibri"/>
          <w:lang w:val="fr-FR"/>
        </w:rPr>
        <w:t xml:space="preserve"> naturelle via quotas</w:t>
      </w:r>
    </w:p>
    <w:p w14:paraId="2030F3AA" w14:textId="77777777" w:rsidR="00946D52" w:rsidRPr="00AB605F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AB605F">
        <w:rPr>
          <w:rFonts w:cs="Calibri"/>
          <w:lang w:val="fr-FR"/>
        </w:rPr>
        <w:t>Extension géographique hors Île-de-France</w:t>
      </w:r>
    </w:p>
    <w:p w14:paraId="11008A44" w14:textId="0E82A30B" w:rsidR="00946D52" w:rsidRDefault="00AB605F">
      <w:pPr>
        <w:rPr>
          <w:rFonts w:ascii="Calibri" w:hAnsi="Calibri" w:cs="Calibri"/>
          <w:lang w:val="fr-FR"/>
        </w:rPr>
      </w:pPr>
      <w:r w:rsidRPr="00AB605F">
        <w:rPr>
          <w:rFonts w:ascii="Calibri" w:hAnsi="Calibri" w:cs="Calibri"/>
          <w:noProof/>
          <w:lang w:val="fr-FR"/>
        </w:rPr>
        <w:drawing>
          <wp:inline distT="0" distB="0" distL="0" distR="0" wp14:anchorId="6CAD1355" wp14:editId="12675EE8">
            <wp:extent cx="6124089" cy="3391432"/>
            <wp:effectExtent l="0" t="0" r="0" b="0"/>
            <wp:docPr id="4216937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22" b="209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9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F12E2E" w14:textId="4C11C20F" w:rsidR="00AB605F" w:rsidRPr="00AB605F" w:rsidRDefault="00AB605F" w:rsidP="00AB605F">
      <w:pPr>
        <w:pStyle w:val="ImageCaption"/>
        <w:jc w:val="center"/>
        <w:rPr>
          <w:lang w:val="fr-FR"/>
        </w:rPr>
      </w:pPr>
      <w:r>
        <w:rPr>
          <w:lang w:val="fr-FR"/>
        </w:rPr>
        <w:t xml:space="preserve">Entonnoir d’acquisition – objectif conversion </w:t>
      </w:r>
      <w:r>
        <w:rPr>
          <w:rFonts w:cs="Calibri"/>
          <w:lang w:val="fr-FR"/>
        </w:rPr>
        <w:t>É</w:t>
      </w:r>
      <w:r>
        <w:rPr>
          <w:lang w:val="fr-FR"/>
        </w:rPr>
        <w:t>tincelle 50%</w:t>
      </w:r>
    </w:p>
    <w:p w14:paraId="5CC50D72" w14:textId="243F7BF4" w:rsidR="00946D52" w:rsidRPr="00AB605F" w:rsidRDefault="00000000">
      <w:pPr>
        <w:pStyle w:val="Titre2"/>
        <w:rPr>
          <w:rFonts w:cs="Calibri"/>
          <w:lang w:val="fr-FR"/>
        </w:rPr>
      </w:pPr>
      <w:bookmarkStart w:id="37" w:name="X95ff957d15d893d9b19d41a9b10d309819d5b25"/>
      <w:bookmarkEnd w:id="33"/>
      <w:bookmarkEnd w:id="36"/>
      <w:r w:rsidRPr="00AB605F">
        <w:rPr>
          <w:rFonts w:cs="Calibri"/>
          <w:lang w:val="fr-FR"/>
        </w:rPr>
        <w:t>10. Feuille de route produit (alignée sur le code source)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1081"/>
        <w:gridCol w:w="4440"/>
        <w:gridCol w:w="4440"/>
      </w:tblGrid>
      <w:tr w:rsidR="00946D52" w:rsidRPr="00AB605F" w14:paraId="525C771F" w14:textId="77777777" w:rsidTr="00DE54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0EA1B7D7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Période</w:t>
            </w:r>
          </w:p>
        </w:tc>
        <w:tc>
          <w:tcPr>
            <w:tcW w:w="4543" w:type="dxa"/>
          </w:tcPr>
          <w:p w14:paraId="6D167C62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Fonctionnalité</w:t>
            </w:r>
          </w:p>
        </w:tc>
        <w:tc>
          <w:tcPr>
            <w:tcW w:w="4543" w:type="dxa"/>
          </w:tcPr>
          <w:p w14:paraId="12AEAE2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Statut</w:t>
            </w:r>
          </w:p>
        </w:tc>
      </w:tr>
      <w:tr w:rsidR="00946D52" w:rsidRPr="00AB605F" w14:paraId="7CFC611C" w14:textId="77777777" w:rsidTr="00DE5497">
        <w:trPr>
          <w:trHeight w:val="586"/>
        </w:trPr>
        <w:tc>
          <w:tcPr>
            <w:tcW w:w="1101" w:type="dxa"/>
          </w:tcPr>
          <w:p w14:paraId="4052AF63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A1</w:t>
            </w:r>
          </w:p>
        </w:tc>
        <w:tc>
          <w:tcPr>
            <w:tcW w:w="4543" w:type="dxa"/>
          </w:tcPr>
          <w:p w14:paraId="3F1F3B9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Parcours guidé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49"/>
            </w:r>
            <w:r w:rsidRPr="00AB605F">
              <w:rPr>
                <w:rFonts w:cs="Calibri"/>
                <w:lang w:val="fr-FR"/>
              </w:rPr>
              <w:t xml:space="preserve"> de création d’œuvre</w:t>
            </w:r>
          </w:p>
        </w:tc>
        <w:tc>
          <w:tcPr>
            <w:tcW w:w="4543" w:type="dxa"/>
          </w:tcPr>
          <w:p w14:paraId="2C3EB6E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ascii="Segoe UI Emoji" w:hAnsi="Segoe UI Emoji" w:cs="Segoe UI Emoji"/>
                <w:lang w:val="fr-FR"/>
              </w:rPr>
              <w:t>✅</w:t>
            </w:r>
            <w:r w:rsidRPr="00AB605F">
              <w:rPr>
                <w:rFonts w:cs="Calibri"/>
                <w:lang w:val="fr-FR"/>
              </w:rPr>
              <w:t xml:space="preserve"> En production</w:t>
            </w:r>
          </w:p>
        </w:tc>
      </w:tr>
      <w:tr w:rsidR="00946D52" w:rsidRPr="00AB605F" w14:paraId="7168BF67" w14:textId="77777777" w:rsidTr="00DE5497">
        <w:trPr>
          <w:trHeight w:val="586"/>
        </w:trPr>
        <w:tc>
          <w:tcPr>
            <w:tcW w:w="1101" w:type="dxa"/>
          </w:tcPr>
          <w:p w14:paraId="7926662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A1</w:t>
            </w:r>
          </w:p>
        </w:tc>
        <w:tc>
          <w:tcPr>
            <w:tcW w:w="4543" w:type="dxa"/>
          </w:tcPr>
          <w:p w14:paraId="5129F77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Abonnements en libre-service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50"/>
            </w:r>
            <w:r w:rsidRPr="00AB605F">
              <w:rPr>
                <w:rFonts w:cs="Calibri"/>
                <w:lang w:val="fr-FR"/>
              </w:rPr>
              <w:t xml:space="preserve"> (Étincelle → Horizon)</w:t>
            </w:r>
          </w:p>
        </w:tc>
        <w:tc>
          <w:tcPr>
            <w:tcW w:w="4543" w:type="dxa"/>
          </w:tcPr>
          <w:p w14:paraId="5206FEC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ascii="Segoe UI Emoji" w:hAnsi="Segoe UI Emoji" w:cs="Segoe UI Emoji"/>
                <w:lang w:val="fr-FR"/>
              </w:rPr>
              <w:t>✅</w:t>
            </w:r>
            <w:r w:rsidRPr="00AB605F">
              <w:rPr>
                <w:rFonts w:cs="Calibri"/>
                <w:lang w:val="fr-FR"/>
              </w:rPr>
              <w:t xml:space="preserve"> Procédure </w:t>
            </w:r>
            <w:r w:rsidRPr="00AB605F">
              <w:rPr>
                <w:rStyle w:val="VerbatimChar"/>
                <w:rFonts w:ascii="Calibri" w:hAnsi="Calibri" w:cs="Calibri"/>
                <w:lang w:val="fr-FR"/>
              </w:rPr>
              <w:t>subscribe_organisation_plan</w:t>
            </w:r>
          </w:p>
        </w:tc>
      </w:tr>
      <w:tr w:rsidR="00946D52" w:rsidRPr="00AB605F" w14:paraId="5C9A8789" w14:textId="77777777" w:rsidTr="00DE5497">
        <w:trPr>
          <w:trHeight w:val="586"/>
        </w:trPr>
        <w:tc>
          <w:tcPr>
            <w:tcW w:w="1101" w:type="dxa"/>
          </w:tcPr>
          <w:p w14:paraId="5A83CB93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A1</w:t>
            </w:r>
          </w:p>
        </w:tc>
        <w:tc>
          <w:tcPr>
            <w:tcW w:w="4543" w:type="dxa"/>
          </w:tcPr>
          <w:p w14:paraId="0D25BBA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Statistiques émotion + carte géographique</w:t>
            </w:r>
          </w:p>
        </w:tc>
        <w:tc>
          <w:tcPr>
            <w:tcW w:w="4543" w:type="dxa"/>
          </w:tcPr>
          <w:p w14:paraId="7B9D4CD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ascii="Segoe UI Emoji" w:hAnsi="Segoe UI Emoji" w:cs="Segoe UI Emoji"/>
                <w:lang w:val="fr-FR"/>
              </w:rPr>
              <w:t>✅</w:t>
            </w:r>
          </w:p>
        </w:tc>
      </w:tr>
      <w:tr w:rsidR="00946D52" w:rsidRPr="00AB605F" w14:paraId="29DF171C" w14:textId="77777777" w:rsidTr="00DE5497">
        <w:trPr>
          <w:trHeight w:val="586"/>
        </w:trPr>
        <w:tc>
          <w:tcPr>
            <w:tcW w:w="1101" w:type="dxa"/>
          </w:tcPr>
          <w:p w14:paraId="2F4E771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A2</w:t>
            </w:r>
          </w:p>
        </w:tc>
        <w:tc>
          <w:tcPr>
            <w:tcW w:w="4543" w:type="dxa"/>
          </w:tcPr>
          <w:p w14:paraId="703BDC3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Paiement en ligne (Stripe)</w:t>
            </w:r>
          </w:p>
        </w:tc>
        <w:tc>
          <w:tcPr>
            <w:tcW w:w="4543" w:type="dxa"/>
          </w:tcPr>
          <w:p w14:paraId="437CE80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ascii="Segoe UI Emoji" w:hAnsi="Segoe UI Emoji" w:cs="Segoe UI Emoji"/>
                <w:lang w:val="fr-FR"/>
              </w:rPr>
              <w:t>🔜</w:t>
            </w:r>
            <w:r w:rsidRPr="00AB605F">
              <w:rPr>
                <w:rFonts w:cs="Calibri"/>
                <w:lang w:val="fr-FR"/>
              </w:rPr>
              <w:t xml:space="preserve"> Prévu</w:t>
            </w:r>
          </w:p>
        </w:tc>
      </w:tr>
      <w:tr w:rsidR="00946D52" w:rsidRPr="00AB605F" w14:paraId="4C1982AD" w14:textId="77777777" w:rsidTr="00DE5497">
        <w:trPr>
          <w:trHeight w:val="586"/>
        </w:trPr>
        <w:tc>
          <w:tcPr>
            <w:tcW w:w="1101" w:type="dxa"/>
          </w:tcPr>
          <w:p w14:paraId="6E866596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A2</w:t>
            </w:r>
          </w:p>
        </w:tc>
        <w:tc>
          <w:tcPr>
            <w:tcW w:w="4543" w:type="dxa"/>
          </w:tcPr>
          <w:p w14:paraId="34F4123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Facturation automatique des dépassements</w:t>
            </w:r>
          </w:p>
        </w:tc>
        <w:tc>
          <w:tcPr>
            <w:tcW w:w="4543" w:type="dxa"/>
          </w:tcPr>
          <w:p w14:paraId="126BC962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ascii="Segoe UI Emoji" w:hAnsi="Segoe UI Emoji" w:cs="Segoe UI Emoji"/>
                <w:lang w:val="fr-FR"/>
              </w:rPr>
              <w:t>✅</w:t>
            </w:r>
            <w:r w:rsidRPr="00AB605F">
              <w:rPr>
                <w:rFonts w:cs="Calibri"/>
                <w:lang w:val="fr-FR"/>
              </w:rPr>
              <w:t xml:space="preserve"> Schéma </w:t>
            </w:r>
            <w:r w:rsidRPr="00AB605F">
              <w:rPr>
                <w:rStyle w:val="VerbatimChar"/>
                <w:rFonts w:ascii="Calibri" w:hAnsi="Calibri" w:cs="Calibri"/>
                <w:lang w:val="fr-FR"/>
              </w:rPr>
              <w:t>pricing_overage_rules</w:t>
            </w:r>
          </w:p>
        </w:tc>
      </w:tr>
      <w:tr w:rsidR="00946D52" w:rsidRPr="00AB605F" w14:paraId="177CFB06" w14:textId="77777777" w:rsidTr="00DE5497">
        <w:trPr>
          <w:trHeight w:val="586"/>
        </w:trPr>
        <w:tc>
          <w:tcPr>
            <w:tcW w:w="1101" w:type="dxa"/>
          </w:tcPr>
          <w:p w14:paraId="09B70B0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A3</w:t>
            </w:r>
          </w:p>
        </w:tc>
        <w:tc>
          <w:tcPr>
            <w:tcW w:w="4543" w:type="dxa"/>
          </w:tcPr>
          <w:p w14:paraId="4E2EDFC3" w14:textId="3CECEE7D" w:rsidR="00946D52" w:rsidRPr="00AB605F" w:rsidRDefault="002E2E2E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Rayonnement (549 €) / Zénith — contrats sur devis</w:t>
            </w:r>
          </w:p>
        </w:tc>
        <w:tc>
          <w:tcPr>
            <w:tcW w:w="4543" w:type="dxa"/>
          </w:tcPr>
          <w:p w14:paraId="774B1BF8" w14:textId="137AB778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ascii="Segoe UI Emoji" w:hAnsi="Segoe UI Emoji" w:cs="Segoe UI Emoji"/>
                <w:lang w:val="fr-FR"/>
              </w:rPr>
              <w:t>🔜</w:t>
            </w:r>
            <w:r w:rsidRPr="00AB605F">
              <w:rPr>
                <w:rFonts w:cs="Calibri"/>
                <w:lang w:val="fr-FR"/>
              </w:rPr>
              <w:t xml:space="preserve"> Processus </w:t>
            </w:r>
            <w:r w:rsidR="00992498" w:rsidRPr="00AB605F">
              <w:rPr>
                <w:rFonts w:cs="Calibri"/>
                <w:lang w:val="fr-FR"/>
              </w:rPr>
              <w:t>"</w:t>
            </w:r>
            <w:r w:rsidRPr="00AB605F">
              <w:rPr>
                <w:rFonts w:cs="Calibri"/>
                <w:lang w:val="fr-FR"/>
              </w:rPr>
              <w:t>manuel</w:t>
            </w:r>
            <w:r w:rsidR="00992498" w:rsidRPr="00AB605F">
              <w:rPr>
                <w:rFonts w:cs="Calibri"/>
                <w:lang w:val="fr-FR"/>
              </w:rPr>
              <w:t>"</w:t>
            </w:r>
          </w:p>
        </w:tc>
      </w:tr>
      <w:tr w:rsidR="00946D52" w:rsidRPr="00AB605F" w14:paraId="243563B7" w14:textId="77777777" w:rsidTr="00DE5497">
        <w:trPr>
          <w:trHeight w:val="586"/>
        </w:trPr>
        <w:tc>
          <w:tcPr>
            <w:tcW w:w="1101" w:type="dxa"/>
          </w:tcPr>
          <w:p w14:paraId="30B6C77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A3</w:t>
            </w:r>
          </w:p>
        </w:tc>
        <w:tc>
          <w:tcPr>
            <w:tcW w:w="4543" w:type="dxa"/>
          </w:tcPr>
          <w:p w14:paraId="6F0EA8C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Expansion Union européenne (5 langues déjà supportées)</w:t>
            </w:r>
          </w:p>
        </w:tc>
        <w:tc>
          <w:tcPr>
            <w:tcW w:w="4543" w:type="dxa"/>
          </w:tcPr>
          <w:p w14:paraId="206D8288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ascii="Segoe UI Emoji" w:hAnsi="Segoe UI Emoji" w:cs="Segoe UI Emoji"/>
                <w:lang w:val="fr-FR"/>
              </w:rPr>
              <w:t>🔜</w:t>
            </w:r>
            <w:r w:rsidRPr="00AB605F">
              <w:rPr>
                <w:rFonts w:cs="Calibri"/>
                <w:lang w:val="fr-FR"/>
              </w:rPr>
              <w:t xml:space="preserve"> Commercial</w:t>
            </w:r>
          </w:p>
        </w:tc>
      </w:tr>
    </w:tbl>
    <w:p w14:paraId="240153ED" w14:textId="77777777" w:rsidR="00946D52" w:rsidRPr="00AB605F" w:rsidRDefault="00000000">
      <w:pPr>
        <w:pStyle w:val="Titre2"/>
        <w:rPr>
          <w:rFonts w:cs="Calibri"/>
          <w:lang w:val="fr-FR"/>
        </w:rPr>
      </w:pPr>
      <w:bookmarkStart w:id="38" w:name="risques-et-mesures-correctives"/>
      <w:bookmarkEnd w:id="37"/>
      <w:r w:rsidRPr="00AB605F">
        <w:rPr>
          <w:rFonts w:cs="Calibri"/>
          <w:lang w:val="fr-FR"/>
        </w:rPr>
        <w:lastRenderedPageBreak/>
        <w:t>11. Risques et mesures correctives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2279"/>
        <w:gridCol w:w="2543"/>
        <w:gridCol w:w="5139"/>
      </w:tblGrid>
      <w:tr w:rsidR="00946D52" w:rsidRPr="00AB605F" w14:paraId="41120741" w14:textId="77777777" w:rsidTr="00DE54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29" w:type="dxa"/>
          </w:tcPr>
          <w:p w14:paraId="61FD6E62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Risque</w:t>
            </w:r>
          </w:p>
        </w:tc>
        <w:tc>
          <w:tcPr>
            <w:tcW w:w="2599" w:type="dxa"/>
          </w:tcPr>
          <w:p w14:paraId="528083C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Impact</w:t>
            </w:r>
          </w:p>
        </w:tc>
        <w:tc>
          <w:tcPr>
            <w:tcW w:w="5259" w:type="dxa"/>
          </w:tcPr>
          <w:p w14:paraId="274C9C3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Mesure corrective</w:t>
            </w:r>
          </w:p>
        </w:tc>
      </w:tr>
      <w:tr w:rsidR="00946D52" w:rsidRPr="00AB605F" w14:paraId="4656B32F" w14:textId="77777777" w:rsidTr="00DE5497">
        <w:trPr>
          <w:trHeight w:val="586"/>
        </w:trPr>
        <w:tc>
          <w:tcPr>
            <w:tcW w:w="2329" w:type="dxa"/>
          </w:tcPr>
          <w:p w14:paraId="6BAD2C91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Attrition élevée après M9</w:t>
            </w:r>
          </w:p>
        </w:tc>
        <w:tc>
          <w:tcPr>
            <w:tcW w:w="2599" w:type="dxa"/>
          </w:tcPr>
          <w:p w14:paraId="6D939C5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Retard de croissance</w:t>
            </w:r>
          </w:p>
        </w:tc>
        <w:tc>
          <w:tcPr>
            <w:tcW w:w="5259" w:type="dxa"/>
          </w:tcPr>
          <w:p w14:paraId="52E21544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Accueil renforcé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51"/>
            </w:r>
            <w:r w:rsidRPr="00AB605F">
              <w:rPr>
                <w:rFonts w:cs="Calibri"/>
                <w:lang w:val="fr-FR"/>
              </w:rPr>
              <w:t>, plan veille hors saison</w:t>
            </w:r>
          </w:p>
        </w:tc>
      </w:tr>
      <w:tr w:rsidR="00946D52" w:rsidRPr="00AB605F" w14:paraId="4F1117D1" w14:textId="77777777" w:rsidTr="00DE5497">
        <w:trPr>
          <w:trHeight w:val="586"/>
        </w:trPr>
        <w:tc>
          <w:tcPr>
            <w:tcW w:w="2329" w:type="dxa"/>
          </w:tcPr>
          <w:p w14:paraId="0724F7F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Coût IA non maîtrisé</w:t>
            </w:r>
          </w:p>
        </w:tc>
        <w:tc>
          <w:tcPr>
            <w:tcW w:w="2599" w:type="dxa"/>
          </w:tcPr>
          <w:p w14:paraId="304A0CDC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Érosion de marge</w:t>
            </w:r>
          </w:p>
        </w:tc>
        <w:tc>
          <w:tcPr>
            <w:tcW w:w="5259" w:type="dxa"/>
          </w:tcPr>
          <w:p w14:paraId="23DC2200" w14:textId="1038DA26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 xml:space="preserve">Quotas par </w:t>
            </w:r>
            <w:r w:rsidR="00316409" w:rsidRPr="00AB605F">
              <w:rPr>
                <w:rFonts w:cs="Calibri"/>
                <w:lang w:val="fr-FR"/>
              </w:rPr>
              <w:t>Abonnement</w:t>
            </w:r>
            <w:r w:rsidRPr="00AB605F">
              <w:rPr>
                <w:rFonts w:cs="Calibri"/>
                <w:lang w:val="fr-FR"/>
              </w:rPr>
              <w:t xml:space="preserve">, suivi </w:t>
            </w:r>
            <w:r w:rsidRPr="00AB605F">
              <w:rPr>
                <w:rStyle w:val="VerbatimChar"/>
                <w:rFonts w:ascii="Calibri" w:hAnsi="Calibri" w:cs="Calibri"/>
                <w:lang w:val="fr-FR"/>
              </w:rPr>
              <w:t>ai_usage_logs</w:t>
            </w:r>
            <w:r w:rsidRPr="00AB605F">
              <w:rPr>
                <w:rFonts w:cs="Calibri"/>
                <w:lang w:val="fr-FR"/>
              </w:rPr>
              <w:t xml:space="preserve">, passage automatique </w:t>
            </w:r>
            <w:r w:rsidR="00DE5497" w:rsidRPr="00AB605F">
              <w:rPr>
                <w:rFonts w:cs="Calibri"/>
                <w:lang w:val="fr-FR"/>
              </w:rPr>
              <w:t>à</w:t>
            </w:r>
            <w:r w:rsidRPr="00AB605F">
              <w:rPr>
                <w:rFonts w:cs="Calibri"/>
                <w:lang w:val="fr-FR"/>
              </w:rPr>
              <w:t xml:space="preserve"> </w:t>
            </w:r>
            <w:r w:rsidR="00DE5497" w:rsidRPr="00AB605F">
              <w:rPr>
                <w:rFonts w:cs="Calibri"/>
                <w:lang w:val="fr-FR"/>
              </w:rPr>
              <w:t>l’</w:t>
            </w:r>
            <w:r w:rsidR="00316409" w:rsidRPr="00AB605F">
              <w:rPr>
                <w:rFonts w:cs="Calibri"/>
                <w:lang w:val="fr-FR"/>
              </w:rPr>
              <w:t>Abonnement</w:t>
            </w:r>
            <w:r w:rsidRPr="00AB605F">
              <w:rPr>
                <w:rFonts w:cs="Calibri"/>
                <w:lang w:val="fr-FR"/>
              </w:rPr>
              <w:t xml:space="preserve"> supérieur</w:t>
            </w:r>
            <w:r w:rsidRPr="00AB605F">
              <w:rPr>
                <w:rStyle w:val="Appelnotedebasdep"/>
                <w:rFonts w:cs="Calibri"/>
                <w:lang w:val="fr-FR"/>
              </w:rPr>
              <w:footnoteReference w:id="52"/>
            </w:r>
          </w:p>
        </w:tc>
      </w:tr>
      <w:tr w:rsidR="00946D52" w:rsidRPr="00AB605F" w14:paraId="22A10E41" w14:textId="77777777" w:rsidTr="00DE5497">
        <w:trPr>
          <w:trHeight w:val="586"/>
        </w:trPr>
        <w:tc>
          <w:tcPr>
            <w:tcW w:w="2329" w:type="dxa"/>
          </w:tcPr>
          <w:p w14:paraId="4017180A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Saisonnalité des expositions</w:t>
            </w:r>
          </w:p>
        </w:tc>
        <w:tc>
          <w:tcPr>
            <w:tcW w:w="2599" w:type="dxa"/>
          </w:tcPr>
          <w:p w14:paraId="51020E7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Revenu récurrent instable</w:t>
            </w:r>
          </w:p>
        </w:tc>
        <w:tc>
          <w:tcPr>
            <w:tcW w:w="5259" w:type="dxa"/>
          </w:tcPr>
          <w:p w14:paraId="56F225C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Plan veille (19–49 €/mois), contrats annuels</w:t>
            </w:r>
          </w:p>
        </w:tc>
      </w:tr>
      <w:tr w:rsidR="00946D52" w:rsidRPr="00AB605F" w14:paraId="07D806E3" w14:textId="77777777" w:rsidTr="00DE5497">
        <w:trPr>
          <w:trHeight w:val="586"/>
        </w:trPr>
        <w:tc>
          <w:tcPr>
            <w:tcW w:w="2329" w:type="dxa"/>
          </w:tcPr>
          <w:p w14:paraId="17AC92DB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Sous-traitance (référence)</w:t>
            </w:r>
          </w:p>
        </w:tc>
        <w:tc>
          <w:tcPr>
            <w:tcW w:w="2599" w:type="dxa"/>
          </w:tcPr>
          <w:p w14:paraId="528A9AB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Creux de trésorerie en A2</w:t>
            </w:r>
          </w:p>
        </w:tc>
        <w:tc>
          <w:tcPr>
            <w:tcW w:w="5259" w:type="dxa"/>
          </w:tcPr>
          <w:p w14:paraId="2A5E89C5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Décalage du recrutement ou levée préventive</w:t>
            </w:r>
          </w:p>
        </w:tc>
      </w:tr>
      <w:tr w:rsidR="00946D52" w:rsidRPr="00AB605F" w14:paraId="4BE46838" w14:textId="77777777" w:rsidTr="00DE5497">
        <w:trPr>
          <w:trHeight w:val="586"/>
        </w:trPr>
        <w:tc>
          <w:tcPr>
            <w:tcW w:w="2329" w:type="dxa"/>
          </w:tcPr>
          <w:p w14:paraId="058CEE69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Scénario ambitieux</w:t>
            </w:r>
          </w:p>
        </w:tc>
        <w:tc>
          <w:tcPr>
            <w:tcW w:w="2599" w:type="dxa"/>
          </w:tcPr>
          <w:p w14:paraId="0AA2F19D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Consommation &gt; 465 k€</w:t>
            </w:r>
          </w:p>
        </w:tc>
        <w:tc>
          <w:tcPr>
            <w:tcW w:w="5259" w:type="dxa"/>
          </w:tcPr>
          <w:p w14:paraId="281BC1BE" w14:textId="77777777" w:rsidR="00946D52" w:rsidRPr="00AB605F" w:rsidRDefault="00000000">
            <w:pPr>
              <w:pStyle w:val="Compact"/>
              <w:rPr>
                <w:rFonts w:cs="Calibri"/>
                <w:lang w:val="fr-FR"/>
              </w:rPr>
            </w:pPr>
            <w:r w:rsidRPr="00AB605F">
              <w:rPr>
                <w:rFonts w:cs="Calibri"/>
                <w:lang w:val="fr-FR"/>
              </w:rPr>
              <w:t>Financement avant M7</w:t>
            </w:r>
          </w:p>
        </w:tc>
      </w:tr>
    </w:tbl>
    <w:p w14:paraId="0D315C97" w14:textId="4742799F" w:rsidR="00946D52" w:rsidRPr="0082668A" w:rsidRDefault="00000000">
      <w:pPr>
        <w:pStyle w:val="Titre2"/>
        <w:rPr>
          <w:rFonts w:cs="Calibri"/>
          <w:b/>
          <w:bCs/>
          <w:lang w:val="fr-FR"/>
        </w:rPr>
      </w:pPr>
      <w:bookmarkStart w:id="39" w:name="annexe-a-méthodologie-de-calcul"/>
      <w:bookmarkEnd w:id="38"/>
      <w:r w:rsidRPr="0082668A">
        <w:rPr>
          <w:rFonts w:cs="Calibri"/>
          <w:b/>
          <w:bCs/>
          <w:lang w:val="fr-FR"/>
        </w:rPr>
        <w:t>Annexe</w:t>
      </w:r>
      <w:r w:rsidR="00F94D24" w:rsidRPr="0082668A">
        <w:rPr>
          <w:rFonts w:cs="Calibri"/>
          <w:b/>
          <w:bCs/>
          <w:lang w:val="fr-FR"/>
        </w:rPr>
        <w:t>s</w:t>
      </w:r>
      <w:r w:rsidRPr="0082668A">
        <w:rPr>
          <w:rFonts w:cs="Calibri"/>
          <w:b/>
          <w:bCs/>
          <w:lang w:val="fr-FR"/>
        </w:rPr>
        <w:t xml:space="preserve"> </w:t>
      </w:r>
    </w:p>
    <w:p w14:paraId="4D807D16" w14:textId="25C91E71" w:rsidR="00F94D24" w:rsidRPr="0082668A" w:rsidRDefault="00F94D24" w:rsidP="0082668A">
      <w:pPr>
        <w:pStyle w:val="Compact"/>
        <w:numPr>
          <w:ilvl w:val="0"/>
          <w:numId w:val="17"/>
        </w:numPr>
        <w:spacing w:before="120" w:after="120"/>
        <w:ind w:left="1559" w:hanging="1202"/>
        <w:rPr>
          <w:rFonts w:cs="Calibri"/>
          <w:lang w:val="fr-FR"/>
        </w:rPr>
      </w:pPr>
      <w:r w:rsidRPr="0082668A">
        <w:rPr>
          <w:rFonts w:cs="Calibri"/>
          <w:lang w:val="fr-FR"/>
        </w:rPr>
        <w:t>Aides pour Projets Numériques en Arts Visuels</w:t>
      </w:r>
    </w:p>
    <w:p w14:paraId="2BC93EAD" w14:textId="5672BE26" w:rsidR="003861F8" w:rsidRPr="0082668A" w:rsidRDefault="003861F8" w:rsidP="0082668A">
      <w:pPr>
        <w:pStyle w:val="Compact"/>
        <w:numPr>
          <w:ilvl w:val="0"/>
          <w:numId w:val="17"/>
        </w:numPr>
        <w:spacing w:before="120" w:after="120"/>
        <w:ind w:left="1559" w:hanging="1202"/>
        <w:rPr>
          <w:rFonts w:cs="Calibri"/>
          <w:lang w:val="fr-FR"/>
        </w:rPr>
      </w:pPr>
      <w:r w:rsidRPr="0082668A">
        <w:rPr>
          <w:rFonts w:cs="Calibri"/>
          <w:lang w:val="fr-FR"/>
        </w:rPr>
        <w:t>Cartographie</w:t>
      </w:r>
      <w:r w:rsidR="0082668A" w:rsidRPr="0082668A">
        <w:rPr>
          <w:rFonts w:cs="Calibri"/>
          <w:lang w:val="fr-FR"/>
        </w:rPr>
        <w:t xml:space="preserve"> </w:t>
      </w:r>
      <w:r w:rsidR="0082668A" w:rsidRPr="0082668A">
        <w:rPr>
          <w:rFonts w:cs="Calibri"/>
          <w:lang w:val="fr-FR"/>
        </w:rPr>
        <w:t>du marché français</w:t>
      </w:r>
    </w:p>
    <w:p w14:paraId="39B9C26E" w14:textId="391312E9" w:rsidR="00946D52" w:rsidRPr="0082668A" w:rsidRDefault="00F94D24" w:rsidP="0082668A">
      <w:pPr>
        <w:pStyle w:val="Compact"/>
        <w:numPr>
          <w:ilvl w:val="0"/>
          <w:numId w:val="17"/>
        </w:numPr>
        <w:spacing w:before="120" w:after="120"/>
        <w:ind w:left="1559" w:hanging="1202"/>
        <w:rPr>
          <w:rFonts w:cs="Calibri"/>
          <w:lang w:val="fr-FR"/>
        </w:rPr>
      </w:pPr>
      <w:r w:rsidRPr="0082668A">
        <w:rPr>
          <w:rFonts w:cs="Calibri"/>
          <w:lang w:val="fr-FR"/>
        </w:rPr>
        <w:t>Méthodologie de calcul - Montée progressive linéaire</w:t>
      </w:r>
      <w:r w:rsidRPr="0082668A">
        <w:rPr>
          <w:rStyle w:val="Appelnotedebasdep"/>
          <w:rFonts w:cs="Calibri"/>
          <w:lang w:val="fr-FR"/>
        </w:rPr>
        <w:footnoteReference w:id="53"/>
      </w:r>
      <w:r w:rsidRPr="0082668A">
        <w:rPr>
          <w:rFonts w:cs="Calibri"/>
          <w:lang w:val="fr-FR"/>
        </w:rPr>
        <w:t xml:space="preserve"> des effectifs payants sur chaque année, ajustement</w:t>
      </w:r>
      <w:r w:rsidRPr="0082668A">
        <w:rPr>
          <w:rStyle w:val="Appelnotedebasdep"/>
          <w:rFonts w:cs="Calibri"/>
          <w:lang w:val="fr-FR"/>
        </w:rPr>
        <w:footnoteReference w:id="54"/>
      </w:r>
      <w:r w:rsidRPr="0082668A">
        <w:rPr>
          <w:rFonts w:cs="Calibri"/>
          <w:lang w:val="fr-FR"/>
        </w:rPr>
        <w:t xml:space="preserve"> en fin d’année aux cibles du tableau d’hypothèses</w:t>
      </w:r>
    </w:p>
    <w:bookmarkEnd w:id="0"/>
    <w:bookmarkEnd w:id="39"/>
    <w:p w14:paraId="16E597D8" w14:textId="63B89C29" w:rsidR="00946D52" w:rsidRPr="00AB605F" w:rsidRDefault="00946D52">
      <w:pPr>
        <w:pStyle w:val="FirstParagraph"/>
        <w:rPr>
          <w:rFonts w:ascii="Calibri" w:hAnsi="Calibri" w:cs="Calibri"/>
          <w:lang w:val="fr-FR"/>
        </w:rPr>
      </w:pPr>
    </w:p>
    <w:p w14:paraId="6CF4BC16" w14:textId="77777777" w:rsidR="00225E37" w:rsidRPr="00AB605F" w:rsidRDefault="00225E37" w:rsidP="00225E37">
      <w:pPr>
        <w:pStyle w:val="Corpsdetexte"/>
        <w:rPr>
          <w:lang w:val="fr-FR"/>
        </w:rPr>
      </w:pPr>
    </w:p>
    <w:sectPr w:rsidR="00225E37" w:rsidRPr="00AB605F" w:rsidSect="00677500">
      <w:headerReference w:type="default" r:id="rId18"/>
      <w:footerReference w:type="default" r:id="rId19"/>
      <w:footnotePr>
        <w:numRestart w:val="eachSect"/>
      </w:footnotePr>
      <w:pgSz w:w="12240" w:h="15840"/>
      <w:pgMar w:top="1418" w:right="851" w:bottom="1418" w:left="1418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D0B46" w14:textId="77777777" w:rsidR="00A963E4" w:rsidRDefault="00A963E4">
      <w:pPr>
        <w:spacing w:after="0"/>
      </w:pPr>
      <w:r>
        <w:separator/>
      </w:r>
    </w:p>
  </w:endnote>
  <w:endnote w:type="continuationSeparator" w:id="0">
    <w:p w14:paraId="5CBA287E" w14:textId="77777777" w:rsidR="00A963E4" w:rsidRDefault="00A963E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D126" w14:textId="66C585B6" w:rsidR="00677500" w:rsidRPr="001D2931" w:rsidRDefault="00677500" w:rsidP="00677500">
    <w:pPr>
      <w:pStyle w:val="Pieddepage"/>
      <w:pBdr>
        <w:top w:val="single" w:sz="4" w:space="1" w:color="156082" w:themeColor="accent1"/>
      </w:pBdr>
      <w:tabs>
        <w:tab w:val="clear" w:pos="9072"/>
        <w:tab w:val="right" w:pos="9498"/>
      </w:tabs>
    </w:pPr>
    <w:r w:rsidRPr="001D2931">
      <w:t xml:space="preserve">Fabien DUPONT - </w:t>
    </w:r>
    <w:r w:rsidR="00D33874">
      <w:t>J</w:t>
    </w:r>
    <w:r w:rsidRPr="001D2931">
      <w:t xml:space="preserve">uin 2026 </w:t>
    </w:r>
    <w:r w:rsidRPr="001D2931">
      <w:tab/>
    </w:r>
    <w:r w:rsidRPr="001D2931">
      <w:tab/>
    </w:r>
    <w:r>
      <w:t>Business Plan</w:t>
    </w:r>
  </w:p>
  <w:p w14:paraId="47B6A7D2" w14:textId="77777777" w:rsidR="00677500" w:rsidRDefault="0067750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F2C26" w14:textId="77777777" w:rsidR="00A963E4" w:rsidRDefault="00A963E4">
      <w:pPr>
        <w:spacing w:after="0"/>
      </w:pPr>
      <w:r>
        <w:separator/>
      </w:r>
    </w:p>
  </w:footnote>
  <w:footnote w:type="continuationSeparator" w:id="0">
    <w:p w14:paraId="0D2D3342" w14:textId="77777777" w:rsidR="00A963E4" w:rsidRDefault="00A963E4">
      <w:pPr>
        <w:spacing w:after="0"/>
      </w:pPr>
      <w:r>
        <w:continuationSeparator/>
      </w:r>
    </w:p>
  </w:footnote>
  <w:footnote w:id="1">
    <w:p w14:paraId="56934661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Baseline</w:t>
      </w:r>
      <w:r>
        <w:t xml:space="preserve"> (angl.) — signature ou slogan de marque ; ici : </w:t>
      </w:r>
      <w:r>
        <w:rPr>
          <w:i/>
          <w:iCs/>
        </w:rPr>
        <w:t>Art-mediation with AI</w:t>
      </w:r>
      <w:r>
        <w:t xml:space="preserve"> (« médiation artistique avec IA »).</w:t>
      </w:r>
    </w:p>
  </w:footnote>
  <w:footnote w:id="2">
    <w:p w14:paraId="6AFFD1A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Plan d’affaires</w:t>
      </w:r>
      <w:r>
        <w:t xml:space="preserve"> (</w:t>
      </w:r>
      <w:r>
        <w:rPr>
          <w:i/>
          <w:iCs/>
        </w:rPr>
        <w:t>business plan</w:t>
      </w:r>
      <w:r>
        <w:t>) — document de synthèse stratégique, commerciale et financière.</w:t>
      </w:r>
    </w:p>
  </w:footnote>
  <w:footnote w:id="3">
    <w:p w14:paraId="731BBCE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Logiciel en ligne</w:t>
      </w:r>
      <w:r>
        <w:t xml:space="preserve"> (</w:t>
      </w:r>
      <w:r>
        <w:rPr>
          <w:i/>
          <w:iCs/>
        </w:rPr>
        <w:t>Software as a Service</w:t>
      </w:r>
      <w:r>
        <w:t>, SaaS) — application hébergée, accessible par abonnement sans installation.</w:t>
      </w:r>
    </w:p>
  </w:footnote>
  <w:footnote w:id="4">
    <w:p w14:paraId="0A2AC8DB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Professionnel à professionnel</w:t>
      </w:r>
      <w:r>
        <w:t xml:space="preserve"> (</w:t>
      </w:r>
      <w:r>
        <w:rPr>
          <w:i/>
          <w:iCs/>
        </w:rPr>
        <w:t>Business to Business</w:t>
      </w:r>
      <w:r>
        <w:t>, B2B) — vente à des institutions ou entreprises, non au grand public.</w:t>
      </w:r>
    </w:p>
  </w:footnote>
  <w:footnote w:id="5">
    <w:p w14:paraId="2668326E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Synthèse exécutive</w:t>
      </w:r>
      <w:r>
        <w:t xml:space="preserve"> (</w:t>
      </w:r>
      <w:r>
        <w:rPr>
          <w:i/>
          <w:iCs/>
        </w:rPr>
        <w:t>executive summary</w:t>
      </w:r>
      <w:r>
        <w:t>) — résumé en tête de document pour les décideurs.</w:t>
      </w:r>
    </w:p>
  </w:footnote>
  <w:footnote w:id="6">
    <w:p w14:paraId="06637AA2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Logiciel en ligne</w:t>
      </w:r>
      <w:r>
        <w:t xml:space="preserve"> (</w:t>
      </w:r>
      <w:r>
        <w:rPr>
          <w:i/>
          <w:iCs/>
        </w:rPr>
        <w:t>Software as a Service</w:t>
      </w:r>
      <w:r>
        <w:t>, SaaS) — application hébergée, accessible par abonnement sans installation.</w:t>
      </w:r>
    </w:p>
  </w:footnote>
  <w:footnote w:id="7">
    <w:p w14:paraId="31645612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Code QR</w:t>
      </w:r>
      <w:r>
        <w:t xml:space="preserve"> — code-barres bidimensionnel scanné par le visiteur pour accéder à la médiation numérique.</w:t>
      </w:r>
    </w:p>
  </w:footnote>
  <w:footnote w:id="8">
    <w:p w14:paraId="7146B35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DCA</w:t>
      </w:r>
      <w:r>
        <w:t xml:space="preserve"> — Association pour la Documentation et la Recherche en Centres d’Art ; 51 centres d’art contemporain en France (~1,6 M visiteurs/an).</w:t>
      </w:r>
    </w:p>
  </w:footnote>
  <w:footnote w:id="9">
    <w:p w14:paraId="405C449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Revenu récurrent mensuel</w:t>
      </w:r>
      <w:r>
        <w:t xml:space="preserve"> (</w:t>
      </w:r>
      <w:r>
        <w:rPr>
          <w:i/>
          <w:iCs/>
        </w:rPr>
        <w:t>Monthly Recurring Revenue</w:t>
      </w:r>
      <w:r>
        <w:t>, MRR) — somme des abonnements et options facturés chaque mois.</w:t>
      </w:r>
    </w:p>
  </w:footnote>
  <w:footnote w:id="10">
    <w:p w14:paraId="2EC113A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Excédent brut d’exploitation</w:t>
      </w:r>
      <w:r>
        <w:t xml:space="preserve"> (</w:t>
      </w:r>
      <w:r>
        <w:rPr>
          <w:i/>
          <w:iCs/>
        </w:rPr>
        <w:t>EBITDA</w:t>
      </w:r>
      <w:r>
        <w:t>) — résultat avant intérêts, impôts, dépréciations et amortissements ; indicateur de performance opérationnelle.</w:t>
      </w:r>
    </w:p>
  </w:footnote>
  <w:footnote w:id="11">
    <w:p w14:paraId="401CA91E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Opérationnel</w:t>
      </w:r>
      <w:r>
        <w:t xml:space="preserve"> (</w:t>
      </w:r>
      <w:r>
        <w:rPr>
          <w:i/>
          <w:iCs/>
        </w:rPr>
        <w:t>live</w:t>
      </w:r>
      <w:r>
        <w:t>) — produit déployé et utilisable en conditions réelles.</w:t>
      </w:r>
    </w:p>
  </w:footnote>
  <w:footnote w:id="12">
    <w:p w14:paraId="2690B28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Synthèse vocale</w:t>
      </w:r>
      <w:r>
        <w:t xml:space="preserve"> (</w:t>
      </w:r>
      <w:r>
        <w:rPr>
          <w:i/>
          <w:iCs/>
        </w:rPr>
        <w:t>Text-to-Speech</w:t>
      </w:r>
      <w:r>
        <w:t>, TTS) — conversion automatique des textes en audioguides.</w:t>
      </w:r>
    </w:p>
  </w:footnote>
  <w:footnote w:id="13">
    <w:p w14:paraId="181CA0B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Application</w:t>
      </w:r>
      <w:r>
        <w:t xml:space="preserve"> (</w:t>
      </w:r>
      <w:r>
        <w:rPr>
          <w:i/>
          <w:iCs/>
        </w:rPr>
        <w:t>app</w:t>
      </w:r>
      <w:r>
        <w:t xml:space="preserve">, abrév. de </w:t>
      </w:r>
      <w:r>
        <w:rPr>
          <w:i/>
          <w:iCs/>
        </w:rPr>
        <w:t>application</w:t>
      </w:r>
      <w:r>
        <w:t>) — logiciel sur téléphone ; ici volontairement non requis pour le visiteur.</w:t>
      </w:r>
    </w:p>
  </w:footnote>
  <w:footnote w:id="14">
    <w:p w14:paraId="1D4F03A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Suivi GPS</w:t>
      </w:r>
      <w:r>
        <w:t xml:space="preserve"> (</w:t>
      </w:r>
      <w:r>
        <w:rPr>
          <w:i/>
          <w:iCs/>
        </w:rPr>
        <w:t>tracking</w:t>
      </w:r>
      <w:r>
        <w:t>) — géolocalisation continue du téléphone ; AIMEDIArt s’en dispense (adresse postale ou adresse IP uniquement).</w:t>
      </w:r>
    </w:p>
  </w:footnote>
  <w:footnote w:id="15">
    <w:p w14:paraId="7B4C99E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DCA</w:t>
      </w:r>
      <w:r>
        <w:t xml:space="preserve"> — Association pour la Documentation et la Recherche en Centres d’Art ; 51 centres d’art contemporain en France (~1,6 M visiteurs/an).</w:t>
      </w:r>
    </w:p>
  </w:footnote>
  <w:footnote w:id="16">
    <w:p w14:paraId="44B80FA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ACCR</w:t>
      </w:r>
      <w:r>
        <w:t xml:space="preserve"> — Association des Centres Culturels de Rencontre ; 43 centres dans 15 pays.</w:t>
      </w:r>
    </w:p>
  </w:footnote>
  <w:footnote w:id="17">
    <w:p w14:paraId="643D351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Expositions à fort succès</w:t>
      </w:r>
      <w:r>
        <w:t xml:space="preserve"> (</w:t>
      </w:r>
      <w:r>
        <w:rPr>
          <w:i/>
          <w:iCs/>
        </w:rPr>
        <w:t>blockbusters</w:t>
      </w:r>
      <w:r>
        <w:t>) — rétrospectives à très forte affluence, format « L » (~180 œuvres).</w:t>
      </w:r>
    </w:p>
  </w:footnote>
  <w:footnote w:id="18">
    <w:p w14:paraId="1B2A6868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Marché total</w:t>
      </w:r>
      <w:r>
        <w:t xml:space="preserve"> (</w:t>
      </w:r>
      <w:r>
        <w:rPr>
          <w:i/>
          <w:iCs/>
        </w:rPr>
        <w:t>Total Addressable Market</w:t>
      </w:r>
      <w:r>
        <w:t>, TAM) — potentiel théorique maximal (~27 000 expositions/an en France).</w:t>
      </w:r>
    </w:p>
  </w:footnote>
  <w:footnote w:id="19">
    <w:p w14:paraId="44F4285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Marché adressable</w:t>
      </w:r>
      <w:r>
        <w:t xml:space="preserve"> (</w:t>
      </w:r>
      <w:r>
        <w:rPr>
          <w:i/>
          <w:iCs/>
        </w:rPr>
        <w:t>Serviceable Addressable Market</w:t>
      </w:r>
      <w:r>
        <w:t>, SAM) — segment réalistement ciblable (~3 500–4 000 structures).</w:t>
      </w:r>
    </w:p>
  </w:footnote>
  <w:footnote w:id="20">
    <w:p w14:paraId="65BC3AD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Haut de gamme</w:t>
      </w:r>
      <w:r>
        <w:t xml:space="preserve"> (</w:t>
      </w:r>
      <w:r>
        <w:rPr>
          <w:i/>
          <w:iCs/>
        </w:rPr>
        <w:t>premium</w:t>
      </w:r>
      <w:r>
        <w:t>) — structures à fort potentiel de revenu ou de visibilité.</w:t>
      </w:r>
    </w:p>
  </w:footnote>
  <w:footnote w:id="21">
    <w:p w14:paraId="01293A0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FRAC</w:t>
      </w:r>
      <w:r>
        <w:t xml:space="preserve"> — Fonds régionaux d’art contemporain ; 28 collections publiques en France.</w:t>
      </w:r>
    </w:p>
  </w:footnote>
  <w:footnote w:id="22">
    <w:p w14:paraId="25A3A058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Part de marché capturable</w:t>
      </w:r>
      <w:r>
        <w:t xml:space="preserve"> (</w:t>
      </w:r>
      <w:r>
        <w:rPr>
          <w:i/>
          <w:iCs/>
        </w:rPr>
        <w:t>Serviceable Obtainable Market</w:t>
      </w:r>
      <w:r>
        <w:t>, SOM) — objectif atteignable à 3 ans (95 clients payants en scénario de référence).</w:t>
      </w:r>
    </w:p>
  </w:footnote>
  <w:footnote w:id="23">
    <w:p w14:paraId="114B113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Île-de-France</w:t>
      </w:r>
      <w:r>
        <w:t xml:space="preserve"> — région concentrant ~47 % de l’offre d’expositions.</w:t>
      </w:r>
    </w:p>
  </w:footnote>
  <w:footnote w:id="24">
    <w:p w14:paraId="07E0F1C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Canevas du modèle économique</w:t>
      </w:r>
      <w:r>
        <w:t xml:space="preserve"> (</w:t>
      </w:r>
      <w:r>
        <w:rPr>
          <w:i/>
          <w:iCs/>
        </w:rPr>
        <w:t>Business Model Canvas</w:t>
      </w:r>
      <w:r>
        <w:t>) — schéma en 9 blocs : segments, offre, canaux, revenus, coûts, etc.</w:t>
      </w:r>
    </w:p>
  </w:footnote>
  <w:footnote w:id="25">
    <w:p w14:paraId="5BA8C369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DCA</w:t>
      </w:r>
      <w:r>
        <w:t xml:space="preserve"> — Association pour la Documentation et la Recherche en Centres d’Art ; 51 centres d’art contemporain en France (~1,6 M visiteurs/an).</w:t>
      </w:r>
    </w:p>
  </w:footnote>
  <w:footnote w:id="26">
    <w:p w14:paraId="745D805A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ICOM</w:t>
      </w:r>
      <w:r>
        <w:t xml:space="preserve"> — Conseil international des musées (</w:t>
      </w:r>
      <w:r>
        <w:rPr>
          <w:i/>
          <w:iCs/>
        </w:rPr>
        <w:t>International Council of Museums</w:t>
      </w:r>
      <w:r>
        <w:t>) ; siège à Paris.</w:t>
      </w:r>
    </w:p>
  </w:footnote>
  <w:footnote w:id="27">
    <w:p w14:paraId="4211DFC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NEMO</w:t>
      </w:r>
      <w:r>
        <w:t xml:space="preserve"> — Réseau des organisations européennes de musées (</w:t>
      </w:r>
      <w:r>
        <w:rPr>
          <w:i/>
          <w:iCs/>
        </w:rPr>
        <w:t>Network of European Museum Organisations</w:t>
      </w:r>
      <w:r>
        <w:t>) ; siège à Berlin.</w:t>
      </w:r>
    </w:p>
  </w:footnote>
  <w:footnote w:id="28">
    <w:p w14:paraId="42C1A7A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ACCR</w:t>
      </w:r>
      <w:r>
        <w:t xml:space="preserve"> — Association des Centres Culturels de Rencontre ; 43 centres dans 15 pays.</w:t>
      </w:r>
    </w:p>
  </w:footnote>
  <w:footnote w:id="29">
    <w:p w14:paraId="1A4AC3B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Supabase</w:t>
      </w:r>
      <w:r>
        <w:t xml:space="preserve"> — plateforme d’infrastructure cloud (base PostgreSQL, authentification, stockage).</w:t>
      </w:r>
    </w:p>
  </w:footnote>
  <w:footnote w:id="30">
    <w:p w14:paraId="4143D0F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Fonctions serveur</w:t>
      </w:r>
      <w:r>
        <w:t xml:space="preserve"> (</w:t>
      </w:r>
      <w:r>
        <w:rPr>
          <w:i/>
          <w:iCs/>
        </w:rPr>
        <w:t>Edge Functions</w:t>
      </w:r>
      <w:r>
        <w:t>) — micro-programmes exécutés côté hébergeur, à la demande.</w:t>
      </w:r>
    </w:p>
  </w:footnote>
  <w:footnote w:id="31">
    <w:p w14:paraId="61B5AE5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Synthèse vocale</w:t>
      </w:r>
      <w:r>
        <w:t xml:space="preserve"> (</w:t>
      </w:r>
      <w:r>
        <w:rPr>
          <w:i/>
          <w:iCs/>
        </w:rPr>
        <w:t>Text-to-Speech</w:t>
      </w:r>
      <w:r>
        <w:t>, TTS) — conversion automatique des textes en audioguides.</w:t>
      </w:r>
    </w:p>
  </w:footnote>
  <w:footnote w:id="32">
    <w:p w14:paraId="11EE0212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Facturation</w:t>
      </w:r>
      <w:r>
        <w:t xml:space="preserve"> (</w:t>
      </w:r>
      <w:r>
        <w:rPr>
          <w:i/>
          <w:iCs/>
        </w:rPr>
        <w:t>billing</w:t>
      </w:r>
      <w:r>
        <w:t>) — ensemble des processus de tarification, encaissement et suivi des abonnements.</w:t>
      </w:r>
    </w:p>
  </w:footnote>
  <w:footnote w:id="33">
    <w:p w14:paraId="72D2246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Coûts directs de service</w:t>
      </w:r>
      <w:r>
        <w:t xml:space="preserve"> (</w:t>
      </w:r>
      <w:r>
        <w:rPr>
          <w:i/>
          <w:iCs/>
        </w:rPr>
        <w:t>Cost of Goods Sold</w:t>
      </w:r>
      <w:r>
        <w:t>, COGS) — dépenses variables liées à la production du service (appels IA, hébergement à l’usage).</w:t>
      </w:r>
    </w:p>
  </w:footnote>
  <w:footnote w:id="34">
    <w:p w14:paraId="02CCA38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TVA</w:t>
      </w:r>
      <w:r>
        <w:t xml:space="preserve"> — taxe sur la valeur ajoutée (20 % en France).</w:t>
      </w:r>
    </w:p>
  </w:footnote>
  <w:footnote w:id="35">
    <w:p w14:paraId="7FA90BA3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Attrition</w:t>
      </w:r>
      <w:r>
        <w:t xml:space="preserve"> (</w:t>
      </w:r>
      <w:r>
        <w:rPr>
          <w:i/>
          <w:iCs/>
        </w:rPr>
        <w:t>churn</w:t>
      </w:r>
      <w:r>
        <w:t>) — proportion de clients qui résilient chaque mois (5 % initial à M9, puis décroissance de 10 %/mois sur le taux).</w:t>
      </w:r>
    </w:p>
  </w:footnote>
  <w:footnote w:id="36">
    <w:p w14:paraId="13305784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Taux journalier moyen</w:t>
      </w:r>
      <w:r>
        <w:t xml:space="preserve"> (</w:t>
      </w:r>
      <w:r>
        <w:rPr>
          <w:i/>
          <w:iCs/>
        </w:rPr>
        <w:t>TJM</w:t>
      </w:r>
      <w:r>
        <w:t>) — prix d’une journée de prestation ; ici 450 € HT × 10 j/mois = 4 500 € HT/mois.</w:t>
      </w:r>
    </w:p>
  </w:footnote>
  <w:footnote w:id="37">
    <w:p w14:paraId="409A31B4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Taux journalier moyen</w:t>
      </w:r>
      <w:r>
        <w:t xml:space="preserve"> (</w:t>
      </w:r>
      <w:r>
        <w:rPr>
          <w:i/>
          <w:iCs/>
        </w:rPr>
        <w:t>TJM</w:t>
      </w:r>
      <w:r>
        <w:t>) — prix d’une journée de prestation ; ici 450 € HT × 10 j/mois = 4 500 € HT/mois.</w:t>
      </w:r>
    </w:p>
  </w:footnote>
  <w:footnote w:id="38">
    <w:p w14:paraId="76719C8E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Excédent brut d’exploitation</w:t>
      </w:r>
      <w:r>
        <w:t xml:space="preserve"> (</w:t>
      </w:r>
      <w:r>
        <w:rPr>
          <w:i/>
          <w:iCs/>
        </w:rPr>
        <w:t>EBITDA</w:t>
      </w:r>
      <w:r>
        <w:t>) — résultat avant intérêts, impôts, dépréciations et amortissements ; indicateur de performance opérationnelle.</w:t>
      </w:r>
    </w:p>
  </w:footnote>
  <w:footnote w:id="39">
    <w:p w14:paraId="7F8FEF7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Indicateur clé de performance</w:t>
      </w:r>
      <w:r>
        <w:t xml:space="preserve"> (</w:t>
      </w:r>
      <w:r>
        <w:rPr>
          <w:i/>
          <w:iCs/>
        </w:rPr>
        <w:t>Key Performance Indicator</w:t>
      </w:r>
      <w:r>
        <w:t>, KPI).</w:t>
      </w:r>
    </w:p>
  </w:footnote>
  <w:footnote w:id="40">
    <w:p w14:paraId="4FE1A5A1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Revenu récurrent mensuel</w:t>
      </w:r>
      <w:r>
        <w:t xml:space="preserve"> (</w:t>
      </w:r>
      <w:r>
        <w:rPr>
          <w:i/>
          <w:iCs/>
        </w:rPr>
        <w:t>Monthly Recurring Revenue</w:t>
      </w:r>
      <w:r>
        <w:t>, MRR) — somme des abonnements et options facturés chaque mois.</w:t>
      </w:r>
    </w:p>
  </w:footnote>
  <w:footnote w:id="41">
    <w:p w14:paraId="1E9BFAC4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Revenu récurrent annuel</w:t>
      </w:r>
      <w:r>
        <w:t xml:space="preserve"> (</w:t>
      </w:r>
      <w:r>
        <w:rPr>
          <w:i/>
          <w:iCs/>
        </w:rPr>
        <w:t>Annual Recurring Revenue</w:t>
      </w:r>
      <w:r>
        <w:t>, ARR) — revenu récurrent mensuel × 12.</w:t>
      </w:r>
    </w:p>
  </w:footnote>
  <w:footnote w:id="42">
    <w:p w14:paraId="60EFEC8B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Revenu moyen par client</w:t>
      </w:r>
      <w:r>
        <w:t xml:space="preserve"> (</w:t>
      </w:r>
      <w:r>
        <w:rPr>
          <w:i/>
          <w:iCs/>
        </w:rPr>
        <w:t>Average Revenue Per User</w:t>
      </w:r>
      <w:r>
        <w:t>, ARPU) — chiffre d’affaires récurrent divisé par le nombre de clients payants.</w:t>
      </w:r>
    </w:p>
  </w:footnote>
  <w:footnote w:id="43">
    <w:p w14:paraId="6F528B4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Montée en charge</w:t>
      </w:r>
      <w:r>
        <w:t xml:space="preserve"> (</w:t>
      </w:r>
      <w:r>
        <w:rPr>
          <w:i/>
          <w:iCs/>
        </w:rPr>
        <w:t>scale</w:t>
      </w:r>
      <w:r>
        <w:t>) — passage à plus grande échelle (clients, revenus, équipe).</w:t>
      </w:r>
    </w:p>
  </w:footnote>
  <w:footnote w:id="44">
    <w:p w14:paraId="4CB6FE03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Consommation de trésorerie</w:t>
      </w:r>
      <w:r>
        <w:t xml:space="preserve"> (</w:t>
      </w:r>
      <w:r>
        <w:rPr>
          <w:i/>
          <w:iCs/>
        </w:rPr>
        <w:t>burn rate</w:t>
      </w:r>
      <w:r>
        <w:t xml:space="preserve">, </w:t>
      </w:r>
      <w:r>
        <w:rPr>
          <w:i/>
          <w:iCs/>
        </w:rPr>
        <w:t>cash burn</w:t>
      </w:r>
      <w:r>
        <w:t>) — perte nette de cash par mois lorsque les charges dépassent les encaissements.</w:t>
      </w:r>
    </w:p>
  </w:footnote>
  <w:footnote w:id="45">
    <w:p w14:paraId="233B8871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Valeur vie client</w:t>
      </w:r>
      <w:r>
        <w:t xml:space="preserve"> (</w:t>
      </w:r>
      <w:r>
        <w:rPr>
          <w:i/>
          <w:iCs/>
        </w:rPr>
        <w:t>Lifetime Value</w:t>
      </w:r>
      <w:r>
        <w:t>, LTV) — revenu total estimé sur toute la durée de relation avec un client.</w:t>
      </w:r>
    </w:p>
  </w:footnote>
  <w:footnote w:id="46">
    <w:p w14:paraId="3DEE183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Mise sur le marché</w:t>
      </w:r>
      <w:r>
        <w:t xml:space="preserve"> (</w:t>
      </w:r>
      <w:r>
        <w:rPr>
          <w:i/>
          <w:iCs/>
        </w:rPr>
        <w:t>go-to-market</w:t>
      </w:r>
      <w:r>
        <w:t>, GTM) — stratégie commerciale et opérationnelle de lancement et de croissance.</w:t>
      </w:r>
    </w:p>
  </w:footnote>
  <w:footnote w:id="47">
    <w:p w14:paraId="7224B70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Entonnoir d’acquisition</w:t>
      </w:r>
      <w:r>
        <w:t xml:space="preserve"> (</w:t>
      </w:r>
      <w:r>
        <w:rPr>
          <w:i/>
          <w:iCs/>
        </w:rPr>
        <w:t>funnel</w:t>
      </w:r>
      <w:r>
        <w:t>) — parcours de conversion des prospects (essai gratuit → client payant).</w:t>
      </w:r>
    </w:p>
  </w:footnote>
  <w:footnote w:id="48">
    <w:p w14:paraId="058F2DDD" w14:textId="75B728BF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Montée en gamme</w:t>
      </w:r>
      <w:r>
        <w:t xml:space="preserve"> (</w:t>
      </w:r>
      <w:r>
        <w:rPr>
          <w:i/>
          <w:iCs/>
        </w:rPr>
        <w:t>upsell</w:t>
      </w:r>
      <w:r>
        <w:t xml:space="preserve">) — vente d’un </w:t>
      </w:r>
      <w:r w:rsidR="00316409">
        <w:t>Abonnement</w:t>
      </w:r>
      <w:r>
        <w:t xml:space="preserve"> supérieur ou d’options additionnelles.</w:t>
      </w:r>
    </w:p>
  </w:footnote>
  <w:footnote w:id="49">
    <w:p w14:paraId="60DF3D57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Parcours guidé</w:t>
      </w:r>
      <w:r>
        <w:t xml:space="preserve"> (</w:t>
      </w:r>
      <w:r>
        <w:rPr>
          <w:i/>
          <w:iCs/>
        </w:rPr>
        <w:t>workflow</w:t>
      </w:r>
      <w:r>
        <w:t>) — enchaînement d’étapes dans l’interface (identité → analyse → médiation → audio → QR).</w:t>
      </w:r>
    </w:p>
  </w:footnote>
  <w:footnote w:id="50">
    <w:p w14:paraId="6F412C7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Libre-service</w:t>
      </w:r>
      <w:r>
        <w:t xml:space="preserve"> (</w:t>
      </w:r>
      <w:r>
        <w:rPr>
          <w:i/>
          <w:iCs/>
        </w:rPr>
        <w:t>self-service</w:t>
      </w:r>
      <w:r>
        <w:t>) — souscription et gestion sans intervention manuelle de l’éditeur.</w:t>
      </w:r>
    </w:p>
  </w:footnote>
  <w:footnote w:id="51">
    <w:p w14:paraId="3252ABD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Accueil et prise en main</w:t>
      </w:r>
      <w:r>
        <w:t xml:space="preserve"> (</w:t>
      </w:r>
      <w:r>
        <w:rPr>
          <w:i/>
          <w:iCs/>
        </w:rPr>
        <w:t>onboarding</w:t>
      </w:r>
      <w:r>
        <w:t>) — accompagnement des nouveaux clients à l’adoption du produit.</w:t>
      </w:r>
    </w:p>
  </w:footnote>
  <w:footnote w:id="52">
    <w:p w14:paraId="28981BC6" w14:textId="23412878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 xml:space="preserve">Passage au </w:t>
      </w:r>
      <w:r w:rsidR="00316409">
        <w:rPr>
          <w:b/>
          <w:bCs/>
        </w:rPr>
        <w:t>Abonnement</w:t>
      </w:r>
      <w:r>
        <w:rPr>
          <w:b/>
          <w:bCs/>
        </w:rPr>
        <w:t xml:space="preserve"> supérieur</w:t>
      </w:r>
      <w:r>
        <w:t xml:space="preserve"> (</w:t>
      </w:r>
      <w:r>
        <w:rPr>
          <w:i/>
          <w:iCs/>
        </w:rPr>
        <w:t>upgrade</w:t>
      </w:r>
      <w:r>
        <w:t>) — migration automatique ou recommandée vers un plan plus complet.</w:t>
      </w:r>
    </w:p>
  </w:footnote>
  <w:footnote w:id="53">
    <w:p w14:paraId="6E6E3047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Montée progressive linéaire</w:t>
      </w:r>
      <w:r>
        <w:t xml:space="preserve"> (</w:t>
      </w:r>
      <w:r>
        <w:rPr>
          <w:i/>
          <w:iCs/>
        </w:rPr>
        <w:t>ramp-up</w:t>
      </w:r>
      <w:r>
        <w:t>) — augmentation régulière des effectifs clients mois par mois jusqu’à la cible annuelle.</w:t>
      </w:r>
    </w:p>
  </w:footnote>
  <w:footnote w:id="54">
    <w:p w14:paraId="143EFA39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Ajustement</w:t>
      </w:r>
      <w:r>
        <w:t xml:space="preserve"> (</w:t>
      </w:r>
      <w:r>
        <w:rPr>
          <w:i/>
          <w:iCs/>
        </w:rPr>
        <w:t>snap</w:t>
      </w:r>
      <w:r>
        <w:t>) — recalage des chiffres en fin de période sur la cible fixée.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62303" w14:textId="070B120A" w:rsidR="00677500" w:rsidRPr="00677500" w:rsidRDefault="00677500" w:rsidP="00677500">
    <w:pPr>
      <w:pStyle w:val="En-tte"/>
      <w:pBdr>
        <w:bottom w:val="single" w:sz="4" w:space="1" w:color="auto"/>
      </w:pBdr>
      <w:tabs>
        <w:tab w:val="clear" w:pos="9072"/>
        <w:tab w:val="right" w:pos="9781"/>
      </w:tabs>
      <w:ind w:left="-709" w:right="-709"/>
    </w:pPr>
    <w:r w:rsidRPr="001D2931">
      <w:rPr>
        <w:noProof/>
      </w:rPr>
      <w:drawing>
        <wp:inline distT="0" distB="0" distL="0" distR="0" wp14:anchorId="0D0D6888" wp14:editId="566FD22B">
          <wp:extent cx="1052258" cy="252000"/>
          <wp:effectExtent l="0" t="0" r="0" b="0"/>
          <wp:docPr id="22183662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258" cy="25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1D2931">
      <w:tab/>
    </w:r>
    <w:r w:rsidRPr="001D2931">
      <w:tab/>
    </w:r>
    <w:sdt>
      <w:sdtPr>
        <w:id w:val="-2021538226"/>
        <w:docPartObj>
          <w:docPartGallery w:val="Page Numbers (Top of Page)"/>
          <w:docPartUnique/>
        </w:docPartObj>
      </w:sdtPr>
      <w:sdtContent>
        <w:r w:rsidRPr="001D2931">
          <w:fldChar w:fldCharType="begin"/>
        </w:r>
        <w:r w:rsidRPr="001D2931">
          <w:instrText>PAGE   \* MERGEFORMAT</w:instrText>
        </w:r>
        <w:r w:rsidRPr="001D2931">
          <w:fldChar w:fldCharType="separate"/>
        </w:r>
        <w:r>
          <w:t>2</w:t>
        </w:r>
        <w:r w:rsidRPr="001D2931">
          <w:fldChar w:fldCharType="end"/>
        </w:r>
        <w:r w:rsidRPr="001D2931">
          <w:t xml:space="preserve"> / </w:t>
        </w:r>
        <w:fldSimple w:instr=" NUMPAGES   \* MERGEFORMAT ">
          <w:r>
            <w:t>22</w:t>
          </w:r>
        </w:fldSimple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966F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16AEA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C18685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2274078C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D318F472"/>
    <w:lvl w:ilvl="0">
      <w:start w:val="1"/>
      <w:numFmt w:val="decimal"/>
      <w:lvlText w:val="Annexe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3F6F525A"/>
    <w:multiLevelType w:val="hybridMultilevel"/>
    <w:tmpl w:val="C242E7F8"/>
    <w:lvl w:ilvl="0" w:tplc="FE8A9F7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B34EBD"/>
    <w:multiLevelType w:val="hybridMultilevel"/>
    <w:tmpl w:val="DDAA75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9854864">
    <w:abstractNumId w:val="0"/>
  </w:num>
  <w:num w:numId="2" w16cid:durableId="1172376092">
    <w:abstractNumId w:val="1"/>
  </w:num>
  <w:num w:numId="3" w16cid:durableId="21464656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5913349">
    <w:abstractNumId w:val="1"/>
  </w:num>
  <w:num w:numId="5" w16cid:durableId="1173833834">
    <w:abstractNumId w:val="1"/>
  </w:num>
  <w:num w:numId="6" w16cid:durableId="1690834914">
    <w:abstractNumId w:val="1"/>
  </w:num>
  <w:num w:numId="7" w16cid:durableId="1801992982">
    <w:abstractNumId w:val="1"/>
  </w:num>
  <w:num w:numId="8" w16cid:durableId="417142207">
    <w:abstractNumId w:val="1"/>
  </w:num>
  <w:num w:numId="9" w16cid:durableId="1475175494">
    <w:abstractNumId w:val="1"/>
  </w:num>
  <w:num w:numId="10" w16cid:durableId="797912791">
    <w:abstractNumId w:val="1"/>
  </w:num>
  <w:num w:numId="11" w16cid:durableId="947809711">
    <w:abstractNumId w:val="1"/>
  </w:num>
  <w:num w:numId="12" w16cid:durableId="207768814">
    <w:abstractNumId w:val="3"/>
  </w:num>
  <w:num w:numId="13" w16cid:durableId="826213847">
    <w:abstractNumId w:val="3"/>
  </w:num>
  <w:num w:numId="14" w16cid:durableId="2017994637">
    <w:abstractNumId w:val="3"/>
  </w:num>
  <w:num w:numId="15" w16cid:durableId="265119952">
    <w:abstractNumId w:val="2"/>
  </w:num>
  <w:num w:numId="16" w16cid:durableId="10490659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10039341">
    <w:abstractNumId w:val="4"/>
  </w:num>
  <w:num w:numId="18" w16cid:durableId="736124765">
    <w:abstractNumId w:val="6"/>
  </w:num>
  <w:num w:numId="19" w16cid:durableId="15328382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D52"/>
    <w:rsid w:val="001249DD"/>
    <w:rsid w:val="00166312"/>
    <w:rsid w:val="00225E37"/>
    <w:rsid w:val="002E2E2E"/>
    <w:rsid w:val="00307CA3"/>
    <w:rsid w:val="00316409"/>
    <w:rsid w:val="003861F8"/>
    <w:rsid w:val="00497D70"/>
    <w:rsid w:val="005F5216"/>
    <w:rsid w:val="00677500"/>
    <w:rsid w:val="007D6DEC"/>
    <w:rsid w:val="007F1D11"/>
    <w:rsid w:val="0082668A"/>
    <w:rsid w:val="00946D52"/>
    <w:rsid w:val="00992498"/>
    <w:rsid w:val="00A63B3F"/>
    <w:rsid w:val="00A963E4"/>
    <w:rsid w:val="00AB605F"/>
    <w:rsid w:val="00D33874"/>
    <w:rsid w:val="00DB1298"/>
    <w:rsid w:val="00DE5497"/>
    <w:rsid w:val="00E60864"/>
    <w:rsid w:val="00ED02C5"/>
    <w:rsid w:val="00F94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F7BB8"/>
  <w15:docId w15:val="{45BCE945-ABCD-4109-8CB9-A586F2C5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63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52"/>
      <w:szCs w:val="40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2E2E2E"/>
    <w:pPr>
      <w:keepNext/>
      <w:keepLines/>
      <w:spacing w:before="120" w:after="0"/>
      <w:outlineLvl w:val="1"/>
    </w:pPr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2E2E2E"/>
    <w:pPr>
      <w:keepNext/>
      <w:keepLines/>
      <w:spacing w:before="120" w:after="0"/>
      <w:outlineLvl w:val="2"/>
    </w:pPr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rsid w:val="007F1D11"/>
    <w:pPr>
      <w:spacing w:before="60" w:after="60"/>
    </w:pPr>
  </w:style>
  <w:style w:type="paragraph" w:customStyle="1" w:styleId="FirstParagraph">
    <w:name w:val="First Paragraph"/>
    <w:basedOn w:val="Corpsdetexte"/>
    <w:next w:val="Corpsdetexte"/>
    <w:qFormat/>
    <w:rsid w:val="00316409"/>
    <w:pPr>
      <w:spacing w:before="120" w:after="120"/>
    </w:pPr>
  </w:style>
  <w:style w:type="paragraph" w:customStyle="1" w:styleId="Compact">
    <w:name w:val="Compact"/>
    <w:basedOn w:val="Corpsdetexte"/>
    <w:qFormat/>
    <w:rsid w:val="007F1D11"/>
    <w:pPr>
      <w:spacing w:before="0" w:after="0"/>
    </w:pPr>
    <w:rPr>
      <w:rFonts w:ascii="Calibri" w:hAnsi="Calibri"/>
    </w:r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63B3F"/>
    <w:rPr>
      <w:rFonts w:asciiTheme="majorHAnsi" w:eastAsiaTheme="majorEastAsia" w:hAnsiTheme="majorHAnsi" w:cstheme="majorBidi"/>
      <w:color w:val="0F4761" w:themeColor="accent1" w:themeShade="BF"/>
      <w:sz w:val="5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E2E2E"/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E2E2E"/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  <w:rsid w:val="00307CA3"/>
    <w:pPr>
      <w:spacing w:after="0"/>
    </w:pPr>
    <w:rPr>
      <w:rFonts w:ascii="Calibri" w:hAnsi="Calibri"/>
      <w:sz w:val="18"/>
      <w:lang w:val="fr-FR"/>
    </w:rPr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  <w:rsid w:val="00AB605F"/>
    <w:rPr>
      <w:rFonts w:ascii="Calibri" w:hAnsi="Calibri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auGrille1Clair">
    <w:name w:val="Grid Table 1 Light"/>
    <w:basedOn w:val="TableauNormal"/>
    <w:rsid w:val="0031640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">
    <w:name w:val="header"/>
    <w:basedOn w:val="Normal"/>
    <w:link w:val="En-tteCar"/>
    <w:uiPriority w:val="99"/>
    <w:rsid w:val="00677500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677500"/>
  </w:style>
  <w:style w:type="paragraph" w:styleId="Pieddepage">
    <w:name w:val="footer"/>
    <w:basedOn w:val="Normal"/>
    <w:link w:val="PieddepageCar"/>
    <w:uiPriority w:val="99"/>
    <w:rsid w:val="00677500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677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F6D9D1-7C42-470E-86AE-8D6A20A0E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14</Pages>
  <Words>1983</Words>
  <Characters>10912</Characters>
  <Application>Microsoft Office Word</Application>
  <DocSecurity>0</DocSecurity>
  <Lines>90</Lines>
  <Paragraphs>25</Paragraphs>
  <ScaleCrop>false</ScaleCrop>
  <Company/>
  <LinksUpToDate>false</LinksUpToDate>
  <CharactersWithSpaces>12870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Fabien DUPONT</dc:creator>
  <cp:keywords/>
  <cp:lastModifiedBy>Fabien DUPONT</cp:lastModifiedBy>
  <cp:revision>9</cp:revision>
  <dcterms:created xsi:type="dcterms:W3CDTF">2026-06-23T08:34:00Z</dcterms:created>
  <dcterms:modified xsi:type="dcterms:W3CDTF">2026-06-23T10:18:00Z</dcterms:modified>
</cp:coreProperties>
</file>