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89.png" ContentType="image/png"/>
  <Override PartName="/word/media/rId95.png" ContentType="image/png"/>
  <Override PartName="/word/media/rId73.png" ContentType="image/png"/>
  <Override PartName="/word/media/rId23.png" ContentType="image/png"/>
  <Override PartName="/word/media/rId51.png" ContentType="image/png"/>
  <Override PartName="/word/media/rId92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  <w:r>
        <w:rPr>
          <w:rStyle w:val="FootnoteReference"/>
        </w:rPr>
        <w:footnoteReference w:id="12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Dénomination</w:t>
            </w:r>
          </w:p>
        </w:tc>
        <w:tc>
          <w:tcPr/>
          <w:p>
            <w:pPr>
              <w:pStyle w:val="Compact"/>
            </w:pPr>
            <w:r>
              <w:t xml:space="preserve">AIMEDIArt (AIMEDIArt.com)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Plan d’affaires</w:t>
            </w:r>
            <w:r>
              <w:rPr>
                <w:rStyle w:val="FootnoteReference"/>
              </w:rPr>
              <w:footnoteReference w:id="13"/>
            </w:r>
            <w:r>
              <w:t xml:space="preserve"> </w:t>
            </w:r>
            <w:r>
              <w:t xml:space="preserve">— synthèse stratégique et financière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 distinctif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aimediart-logo-block</w:t>
            </w:r>
            <w:r>
              <w:t xml:space="preserve"> </w:t>
            </w:r>
            <w:r>
              <w:t xml:space="preserve">— pictogramme cœur (#E63946) · logotype AIMEDIArt.com · baseline</w:t>
            </w:r>
            <w:r>
              <w:t xml:space="preserve"> </w:t>
            </w:r>
            <w:r>
              <w:rPr>
                <w:i/>
                <w:iCs/>
              </w:rPr>
              <w:t xml:space="preserve">Art-mediation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Rédaction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6" w:name="plan-daffaires-aimediart"/>
    <w:p>
      <w:pPr>
        <w:pStyle w:val="Heading1"/>
      </w:pPr>
      <w:r>
        <w:t xml:space="preserve">Plan d’affaires AIMEDIArt</w:t>
      </w:r>
    </w:p>
    <w:p>
      <w:pPr>
        <w:pStyle w:val="FirstParagraph"/>
      </w:pPr>
      <w:r>
        <w:rPr>
          <w:b/>
          <w:bCs/>
        </w:rPr>
        <w:t xml:space="preserve">Document de synthèse — juin 2026</w:t>
      </w:r>
      <w:r>
        <w:br/>
      </w:r>
      <w:r>
        <w:rPr>
          <w:i/>
          <w:iCs/>
        </w:rPr>
        <w:t xml:space="preserve">Art-mediation with AI — logiciel en ligne</w:t>
      </w:r>
      <w:r>
        <w:rPr>
          <w:rStyle w:val="FootnoteReference"/>
        </w:rPr>
        <w:footnoteReference w:id="14"/>
      </w:r>
      <w:r>
        <w:rPr>
          <w:i/>
          <w:iCs/>
        </w:rPr>
        <w:t xml:space="preserve"> </w:t>
      </w:r>
      <w:r>
        <w:rPr>
          <w:i/>
          <w:iCs/>
        </w:rPr>
        <w:t xml:space="preserve">pour professionnels</w:t>
      </w:r>
      <w:r>
        <w:rPr>
          <w:rStyle w:val="FootnoteReference"/>
        </w:rPr>
        <w:footnoteReference w:id="15"/>
      </w:r>
      <w:r>
        <w:rPr>
          <w:i/>
          <w:iCs/>
        </w:rPr>
        <w:t xml:space="preserve"> </w:t>
      </w:r>
      <w:r>
        <w:rPr>
          <w:i/>
          <w:iCs/>
        </w:rPr>
        <w:t xml:space="preserve">de la médiation culturelle</w:t>
      </w:r>
    </w:p>
    <w:p>
      <w:pPr>
        <w:pStyle w:val="BlockText"/>
      </w:pPr>
      <w:r>
        <w:rPr>
          <w:b/>
          <w:bCs/>
        </w:rPr>
        <w:t xml:space="preserve">Légende :</w:t>
      </w:r>
      <w:r>
        <w:t xml:space="preserve"> </w:t>
      </w:r>
      <w:r>
        <w:t xml:space="preserve">🟨 = modifications liées au tarif</w:t>
      </w:r>
      <w:r>
        <w:t xml:space="preserve"> </w:t>
      </w:r>
      <w:r>
        <w:rPr>
          <w:b/>
          <w:bCs/>
        </w:rPr>
        <w:t xml:space="preserve">Rayonnement 549 € TTC/mois</w:t>
      </w:r>
      <w:r>
        <w:t xml:space="preserve"> </w:t>
      </w:r>
      <w:r>
        <w:t xml:space="preserve">(6 039 € TTC/an), en remplacement de « sur devis » / hypothèse 399 €.</w:t>
      </w:r>
    </w:p>
    <w:p>
      <w:r>
        <w:pict>
          <v:rect style="width:0;height:1.5pt" o:hralign="center" o:hrstd="t" o:hr="t"/>
        </w:pict>
      </w:r>
    </w:p>
    <w:bookmarkStart w:id="26" w:name="synthèse-exécutiveexecutive-summary"/>
    <w:p>
      <w:pPr>
        <w:pStyle w:val="Heading2"/>
      </w:pPr>
      <w:r>
        <w:t xml:space="preserve">1. Synthèse exécutive</w:t>
      </w:r>
      <w:r>
        <w:rPr>
          <w:rStyle w:val="FootnoteReference"/>
        </w:rPr>
        <w:footnoteReference w:id="16"/>
      </w:r>
    </w:p>
    <w:p>
      <w:pPr>
        <w:pStyle w:val="FirstParagraph"/>
      </w:pPr>
      <w:r>
        <w:t xml:space="preserve">AIMEDIArt est une plateforme en ligne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qui permet aux institutions culturelles de produire, diffuser et mesurer une médiation numérique multilingue (textes IA, audioguides, codes QR</w:t>
      </w:r>
      <w:r>
        <w:rPr>
          <w:rStyle w:val="FootnoteReference"/>
        </w:rPr>
        <w:footnoteReference w:id="18"/>
      </w:r>
      <w:r>
        <w:t xml:space="preserve">, statistiques d’émotion et cartographie des visiteurs) à partir d’une simple photographie d’œuvre.</w:t>
      </w:r>
    </w:p>
    <w:p>
      <w:pPr>
        <w:pStyle w:val="BodyText"/>
      </w:pPr>
      <w:r>
        <w:rPr>
          <w:b/>
          <w:bCs/>
        </w:rPr>
        <w:t xml:space="preserve">Modèle économique :</w:t>
      </w:r>
      <w:r>
        <w:t xml:space="preserve"> </w:t>
      </w:r>
      <w:r>
        <w:t xml:space="preserve">abonnements récurrents (Atelier, Horizon, 🟨 Rayonnement), essai gratuit (Étincelle), 🟨 grands événements sur devis (Zénith), complété par options, dépassements et plan veille.</w:t>
      </w:r>
    </w:p>
    <w:p>
      <w:pPr>
        <w:pStyle w:val="BodyText"/>
      </w:pPr>
      <w:r>
        <w:rPr>
          <w:b/>
          <w:bCs/>
        </w:rPr>
        <w:t xml:space="preserve">Marché adressable (France) :</w:t>
      </w:r>
      <w:r>
        <w:t xml:space="preserve"> </w:t>
      </w:r>
      <w:r>
        <w:t xml:space="preserve">25 000 à 30 000 expositions/an, portées par ~1 220 Musées de France, ~2 200 galeries et ~51 centres d’art contemporain (réseau DCA</w:t>
      </w:r>
      <w:r>
        <w:rPr>
          <w:rStyle w:val="FootnoteReference"/>
        </w:rPr>
        <w:footnoteReference w:id="19"/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Objectif 3 ans — scénario de référence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Fin A1</w:t>
            </w:r>
          </w:p>
        </w:tc>
        <w:tc>
          <w:tcPr/>
          <w:p>
            <w:pPr>
              <w:pStyle w:val="Compact"/>
            </w:pPr>
            <w:r>
              <w:t xml:space="preserve">Fin A2</w:t>
            </w:r>
          </w:p>
        </w:tc>
        <w:tc>
          <w:tcPr/>
          <w:p>
            <w:pPr>
              <w:pStyle w:val="Compact"/>
            </w:pPr>
            <w:r>
              <w:t xml:space="preserve">Fin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totaux (tous abonnements)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payants (hors Étincelle)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mensuel</w:t>
            </w:r>
            <w:r>
              <w:rPr>
                <w:rStyle w:val="FootnoteReference"/>
              </w:rPr>
              <w:footnoteReference w:id="20"/>
            </w:r>
            <w:r>
              <w:t xml:space="preserve"> </w:t>
            </w:r>
            <w:r>
              <w:t xml:space="preserve">TTC</w:t>
            </w:r>
          </w:p>
        </w:tc>
        <w:tc>
          <w:tcPr/>
          <w:p>
            <w:pPr>
              <w:pStyle w:val="Compact"/>
            </w:pPr>
            <w:r>
              <w:t xml:space="preserve">~1 740 €</w:t>
            </w:r>
          </w:p>
        </w:tc>
        <w:tc>
          <w:tcPr/>
          <w:p>
            <w:pPr>
              <w:pStyle w:val="Compact"/>
            </w:pPr>
            <w:r>
              <w:t xml:space="preserve">~6 445 €</w:t>
            </w:r>
          </w:p>
        </w:tc>
        <w:tc>
          <w:tcPr/>
          <w:p>
            <w:pPr>
              <w:pStyle w:val="Compact"/>
            </w:pPr>
            <w:r>
              <w:t xml:space="preserve">🟨 ~13 980 €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 d’affaires HT annuel</w:t>
            </w:r>
          </w:p>
        </w:tc>
        <w:tc>
          <w:tcPr/>
          <w:p>
            <w:pPr>
              <w:pStyle w:val="Compact"/>
            </w:pPr>
            <w:r>
              <w:t xml:space="preserve">~7 600 €</w:t>
            </w:r>
          </w:p>
        </w:tc>
        <w:tc>
          <w:tcPr/>
          <w:p>
            <w:pPr>
              <w:pStyle w:val="Compact"/>
            </w:pPr>
            <w:r>
              <w:t xml:space="preserve">~50 100 €</w:t>
            </w:r>
          </w:p>
        </w:tc>
        <w:tc>
          <w:tcPr/>
          <w:p>
            <w:pPr>
              <w:pStyle w:val="Compact"/>
            </w:pPr>
            <w:r>
              <w:t xml:space="preserve">🟨 ~127 100 €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Excédent brut d’exploitation</w:t>
            </w:r>
            <w:r>
              <w:rPr>
                <w:rStyle w:val="FootnoteReference"/>
              </w:rPr>
              <w:footnoteReference w:id="21"/>
            </w:r>
            <w:r>
              <w:t xml:space="preserve"> </w:t>
            </w:r>
            <w:r>
              <w:t xml:space="preserve">(1 développeur dès A2)</w:t>
            </w:r>
          </w:p>
        </w:tc>
        <w:tc>
          <w:tcPr/>
          <w:p>
            <w:pPr>
              <w:pStyle w:val="Compact"/>
            </w:pPr>
            <w:r>
              <w:t xml:space="preserve">~0 €</w:t>
            </w:r>
          </w:p>
        </w:tc>
        <w:tc>
          <w:tcPr/>
          <w:p>
            <w:pPr>
              <w:pStyle w:val="Compact"/>
            </w:pPr>
            <w:r>
              <w:t xml:space="preserve">~−17 500 €</w:t>
            </w:r>
          </w:p>
        </w:tc>
        <w:tc>
          <w:tcPr/>
          <w:p>
            <w:pPr>
              <w:pStyle w:val="Compact"/>
            </w:pPr>
            <w:r>
              <w:t xml:space="preserve">🟨 ~48 900 €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Trésorerie cumulée</w:t>
            </w:r>
          </w:p>
        </w:tc>
        <w:tc>
          <w:tcPr/>
          <w:p>
            <w:pPr>
              <w:pStyle w:val="Compact"/>
            </w:pPr>
            <w:r>
              <w:t xml:space="preserve">~6 500 €</w:t>
            </w:r>
          </w:p>
        </w:tc>
        <w:tc>
          <w:tcPr/>
          <w:p>
            <w:pPr>
              <w:pStyle w:val="Compact"/>
            </w:pPr>
            <w:r>
              <w:t xml:space="preserve">~−11 000 €</w:t>
            </w:r>
          </w:p>
        </w:tc>
        <w:tc>
          <w:tcPr/>
          <w:p>
            <w:pPr>
              <w:pStyle w:val="Compact"/>
            </w:pPr>
            <w:r>
              <w:t xml:space="preserve">🟨 ~37 600 €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produit</w:t>
      </w:r>
      <w:r>
        <w:t xml:space="preserve"> </w:t>
      </w:r>
      <w:r>
        <w:rPr>
          <w:b/>
          <w:bCs/>
        </w:rPr>
        <w:t xml:space="preserve">opérationnel</w:t>
      </w:r>
      <w:r>
        <w:rPr>
          <w:rStyle w:val="FootnoteReference"/>
        </w:rPr>
        <w:footnoteReference w:id="22"/>
      </w:r>
      <w:r>
        <w:t xml:space="preserve">, propriété intellectuelle déposée (e-Soleau), trois scénarios modélisés sur 36 mois (voir tableur Excel). Le scénario</w:t>
      </w:r>
      <w:r>
        <w:t xml:space="preserve"> </w:t>
      </w:r>
      <w:r>
        <w:rPr>
          <w:b/>
          <w:bCs/>
        </w:rPr>
        <w:t xml:space="preserve">ambitieux</w:t>
      </w:r>
      <w:r>
        <w:t xml:space="preserve"> </w:t>
      </w:r>
      <w:r>
        <w:t xml:space="preserve">(+30 % clients, 5 développeurs) nécessite un financement ; le scénario</w:t>
      </w:r>
      <w:r>
        <w:t xml:space="preserve"> </w:t>
      </w:r>
      <w:r>
        <w:rPr>
          <w:b/>
          <w:bCs/>
        </w:rPr>
        <w:t xml:space="preserve">prudent</w:t>
      </w:r>
      <w:r>
        <w:t xml:space="preserve"> </w:t>
      </w:r>
      <w:r>
        <w:t xml:space="preserve">reste autofinançable sans sous-traitance.</w:t>
      </w:r>
    </w:p>
    <w:p>
      <w:pPr>
        <w:pStyle w:val="CaptionedFigure"/>
      </w:pPr>
      <w:r>
        <w:drawing>
          <wp:inline>
            <wp:extent cx="5334000" cy="3134925"/>
            <wp:effectExtent b="0" l="0" r="0" t="0"/>
            <wp:docPr descr="Croissance MRR et clients payants — scénario de référence" title="" id="24" name="Picture"/>
            <a:graphic>
              <a:graphicData uri="http://schemas.openxmlformats.org/drawingml/2006/picture">
                <pic:pic>
                  <pic:nvPicPr>
                    <pic:cNvPr descr="assets/bp/bp-mrr-croissa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Croissance MRR et clients payants — scénario de référence</w:t>
      </w:r>
    </w:p>
    <w:p>
      <w:r>
        <w:pict>
          <v:rect style="width:0;height:1.5pt" o:hralign="center" o:hrstd="t" o:hr="t"/>
        </w:pict>
      </w:r>
    </w:p>
    <w:bookmarkEnd w:id="26"/>
    <w:bookmarkStart w:id="35" w:name="problème-et-solution"/>
    <w:p>
      <w:pPr>
        <w:pStyle w:val="Heading2"/>
      </w:pPr>
      <w:r>
        <w:t xml:space="preserve">2. Problème et solution</w:t>
      </w:r>
    </w:p>
    <w:bookmarkStart w:id="27" w:name="problème"/>
    <w:p>
      <w:pPr>
        <w:pStyle w:val="Heading3"/>
      </w:pPr>
      <w:r>
        <w:t xml:space="preserve">Problème</w:t>
      </w:r>
    </w:p>
    <w:p>
      <w:pPr>
        <w:pStyle w:val="FirstParagraph"/>
      </w:pPr>
      <w:r>
        <w:t xml:space="preserve">Les institutions culturelles produisent leur médiation avec des outils fragmentés : rédaction manuelle, studio audio, traductions coûteuses, QR vers pages statiques, compteurs de passages sans dimension émotionnelle ni origine géographique du public.</w:t>
      </w:r>
      <w:r>
        <w:t xml:space="preserve"> </w:t>
      </w:r>
      <w:r>
        <w:rPr>
          <w:b/>
          <w:bCs/>
        </w:rPr>
        <w:t xml:space="preserve">Semaines de préparation, un discours unique, peu de retour qualitatif.</w:t>
      </w:r>
    </w:p>
    <w:bookmarkEnd w:id="27"/>
    <w:bookmarkStart w:id="34" w:name="solution-aimediart"/>
    <w:p>
      <w:pPr>
        <w:pStyle w:val="Heading3"/>
      </w:pPr>
      <w:r>
        <w:t xml:space="preserve">Solution AIMEDIArt</w:t>
      </w:r>
    </w:p>
    <w:p>
      <w:pPr>
        <w:pStyle w:val="FirstParagraph"/>
      </w:pPr>
      <w:r>
        <w:t xml:space="preserve">Une chaîne unifiée : photo → 8 registres de discours × jusqu’à 5 langues × voix audio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→ cartels QR → expérience visiteur sur mobile sans application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→ émotion et cœurs à chaud → statistiques et carte géographique.</w:t>
      </w:r>
    </w:p>
    <w:p>
      <w:pPr>
        <w:pStyle w:val="BodyText"/>
      </w:pPr>
      <w:r>
        <w:rPr>
          <w:b/>
          <w:bCs/>
        </w:rPr>
        <w:t xml:space="preserve">Différenciation :</w:t>
      </w:r>
      <w:r>
        <w:t xml:space="preserve"> </w:t>
      </w:r>
      <w:r>
        <w:t xml:space="preserve">production IA accélérée + contrôle éditorial humain + mesure qualitative + cartographie visiteurs/organisateurs sans suivi GPS</w:t>
      </w:r>
      <w:r>
        <w:rPr>
          <w:rStyle w:val="FootnoteReference"/>
        </w:rPr>
        <w:footnoteReference w:id="30"/>
      </w:r>
      <w:r>
        <w:t xml:space="preserve">.</w:t>
      </w:r>
    </w:p>
    <w:p>
      <w:pPr>
        <w:pStyle w:val="CaptionedFigure"/>
      </w:pPr>
      <w:r>
        <w:drawing>
          <wp:inline>
            <wp:extent cx="5334000" cy="2109107"/>
            <wp:effectExtent b="0" l="0" r="0" t="0"/>
            <wp:docPr descr="Chaîne de valeur AIMEDIArt" title="" id="32" name="Picture"/>
            <a:graphic>
              <a:graphicData uri="http://schemas.openxmlformats.org/drawingml/2006/picture">
                <pic:pic>
                  <pic:nvPicPr>
                    <pic:cNvPr descr="assets/bp/bp-workflow-chai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Chaîne de valeur AIMEDIArt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5" w:name="analyse-de-marché"/>
    <w:p>
      <w:pPr>
        <w:pStyle w:val="Heading2"/>
      </w:pPr>
      <w:r>
        <w:t xml:space="preserve">3. Analyse de marché</w:t>
      </w:r>
    </w:p>
    <w:p>
      <w:pPr>
        <w:pStyle w:val="FirstParagraph"/>
      </w:pPr>
      <w:r>
        <w:rPr>
          <w:i/>
          <w:iCs/>
        </w:rPr>
        <w:t xml:space="preserve">Source : étude « Marché des arts visuels » (hypothèses du plan d’affaires)</w:t>
      </w:r>
    </w:p>
    <w:bookmarkStart w:id="38" w:name="volume-dexpositions-en-france"/>
    <w:p>
      <w:pPr>
        <w:pStyle w:val="Heading3"/>
      </w:pPr>
      <w:r>
        <w:t xml:space="preserve">3.1 Volume d’expositions en France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Expositions /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Peinture, dessin, arts graphiques</w:t>
            </w:r>
          </w:p>
        </w:tc>
        <w:tc>
          <w:tcPr/>
          <w:p>
            <w:pPr>
              <w:pStyle w:val="Compact"/>
            </w:pPr>
            <w:r>
              <w:t xml:space="preserve">12 000 – 15 000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Photographie</w:t>
            </w:r>
          </w:p>
        </w:tc>
        <w:tc>
          <w:tcPr/>
          <w:p>
            <w:pPr>
              <w:pStyle w:val="Compact"/>
            </w:pPr>
            <w:r>
              <w:t xml:space="preserve">5 000 – 7 000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Sculpture et installations</w:t>
            </w:r>
          </w:p>
        </w:tc>
        <w:tc>
          <w:tcPr/>
          <w:p>
            <w:pPr>
              <w:pStyle w:val="Compact"/>
            </w:pPr>
            <w:r>
              <w:t xml:space="preserve">2 500 – 3 500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numérique et nouveaux médias</w:t>
            </w:r>
          </w:p>
        </w:tc>
        <w:tc>
          <w:tcPr/>
          <w:p>
            <w:pPr>
              <w:pStyle w:val="Compact"/>
            </w:pPr>
            <w:r>
              <w:t xml:space="preserve">1 000 – 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et arts décoratifs</w:t>
            </w:r>
          </w:p>
        </w:tc>
        <w:tc>
          <w:tcPr/>
          <w:p>
            <w:pPr>
              <w:pStyle w:val="Compact"/>
            </w:pPr>
            <w:r>
              <w:t xml:space="preserve">800 – 1 200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~25 000 – 30 000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Structures clés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1 220</w:t>
      </w:r>
      <w:r>
        <w:t xml:space="preserve"> </w:t>
      </w:r>
      <w:r>
        <w:t xml:space="preserve">Musées de France (3 à 5 expositions temporaires/an chacun)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~2 200</w:t>
      </w:r>
      <w:r>
        <w:t xml:space="preserve"> </w:t>
      </w:r>
      <w:r>
        <w:t xml:space="preserve">galeries privées (renouvellement toutes les 6–8 semaines)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51</w:t>
      </w:r>
      <w:r>
        <w:t xml:space="preserve"> </w:t>
      </w:r>
      <w:r>
        <w:t xml:space="preserve">centres d’art contemporain (réseau DCA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— ~1,6 M visiteurs/an)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43</w:t>
      </w:r>
      <w:r>
        <w:t xml:space="preserve"> </w:t>
      </w:r>
      <w:r>
        <w:t xml:space="preserve">centres culturels de rencontre (ACCR</w:t>
      </w:r>
      <w:r>
        <w:rPr>
          <w:rStyle w:val="FootnoteReference"/>
        </w:rPr>
        <w:footnoteReference w:id="37"/>
      </w:r>
      <w:r>
        <w:t xml:space="preserve">, 15 pays)</w:t>
      </w:r>
    </w:p>
    <w:bookmarkEnd w:id="38"/>
    <w:bookmarkStart w:id="40" w:name="segmentation-par-taille-dexposition"/>
    <w:p>
      <w:pPr>
        <w:pStyle w:val="Heading3"/>
      </w:pPr>
      <w:r>
        <w:t xml:space="preserve">3.2 Segmentation par taille d’exposition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942"/>
        <w:gridCol w:w="2390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Œuvres moy.</w:t>
            </w:r>
          </w:p>
        </w:tc>
        <w:tc>
          <w:tcPr/>
          <w:p>
            <w:pPr>
              <w:pStyle w:val="Compact"/>
            </w:pPr>
            <w:r>
              <w:t xml:space="preserve">Part du volume</w:t>
            </w:r>
          </w:p>
        </w:tc>
        <w:tc>
          <w:tcPr/>
          <w:p>
            <w:pPr>
              <w:pStyle w:val="Compact"/>
            </w:pPr>
            <w:r>
              <w:t xml:space="preserve">Part du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— Galeries / jeune création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70 %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— Musées territoriaux / centres d’art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 </w:t>
            </w:r>
            <w:r>
              <w:t xml:space="preserve">— Expositions à fort succès</w:t>
            </w:r>
            <w:r>
              <w:rPr>
                <w:rStyle w:val="FootnoteReference"/>
              </w:rPr>
              <w:footnoteReference w:id="39"/>
            </w:r>
            <w:r>
              <w:t xml:space="preserve"> </w:t>
            </w:r>
            <w:r>
              <w:t xml:space="preserve">/ musées nationaux</w:t>
            </w:r>
          </w:p>
        </w:tc>
        <w:tc>
          <w:tcPr/>
          <w:p>
            <w:pPr>
              <w:pStyle w:val="Compact"/>
            </w:pPr>
            <w:r>
              <w:t xml:space="preserve">~180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 produit :</w:t>
      </w:r>
      <w:r>
        <w:t xml:space="preserve"> </w:t>
      </w:r>
      <w:r>
        <w:t xml:space="preserve">l’abonnement</w:t>
      </w:r>
      <w:r>
        <w:t xml:space="preserve"> </w:t>
      </w:r>
      <w:r>
        <w:rPr>
          <w:b/>
          <w:bCs/>
        </w:rPr>
        <w:t xml:space="preserve">Atelier</w:t>
      </w:r>
      <w:r>
        <w:t xml:space="preserve"> </w:t>
      </w:r>
      <w:r>
        <w:t xml:space="preserve">(100 œuvres) cible le format S–M ;</w:t>
      </w:r>
      <w:r>
        <w:t xml:space="preserve"> </w:t>
      </w:r>
      <w:r>
        <w:rPr>
          <w:b/>
          <w:bCs/>
        </w:rPr>
        <w:t xml:space="preserve">Horizon</w:t>
      </w:r>
      <w:r>
        <w:t xml:space="preserve"> </w:t>
      </w:r>
      <w:r>
        <w:t xml:space="preserve">(500 œuvres) le format M–L ;</w:t>
      </w:r>
      <w:r>
        <w:t xml:space="preserve"> </w:t>
      </w:r>
      <w:r>
        <w:rPr>
          <w:b/>
          <w:bCs/>
        </w:rPr>
        <w:t xml:space="preserve">Rayonnement / Zénith</w:t>
      </w:r>
      <w:r>
        <w:t xml:space="preserve"> </w:t>
      </w:r>
      <w:r>
        <w:t xml:space="preserve">les grands comptes et événements exceptionnels.</w:t>
      </w:r>
    </w:p>
    <w:bookmarkEnd w:id="40"/>
    <w:bookmarkStart w:id="41" w:name="saisonnalité"/>
    <w:p>
      <w:pPr>
        <w:pStyle w:val="Heading3"/>
      </w:pPr>
      <w:r>
        <w:t xml:space="preserve">3.3 Saisonnalité</w:t>
      </w:r>
    </w:p>
    <w:p>
      <w:pPr>
        <w:pStyle w:val="FirstParagraph"/>
      </w:pPr>
      <w:r>
        <w:t xml:space="preserve">~40 % des expositions entre</w:t>
      </w:r>
      <w:r>
        <w:t xml:space="preserve"> </w:t>
      </w:r>
      <w:r>
        <w:rPr>
          <w:b/>
          <w:bCs/>
        </w:rPr>
        <w:t xml:space="preserve">avril et juillet</w:t>
      </w:r>
      <w:r>
        <w:t xml:space="preserve"> </w:t>
      </w:r>
      <w:r>
        <w:t xml:space="preserve">(festivals, foires). Conséquence : pic d’acquisition au printemps, intérêt du</w:t>
      </w:r>
      <w:r>
        <w:t xml:space="preserve"> </w:t>
      </w:r>
      <w:r>
        <w:rPr>
          <w:b/>
          <w:bCs/>
        </w:rPr>
        <w:t xml:space="preserve">plan veille</w:t>
      </w:r>
      <w:r>
        <w:t xml:space="preserve"> </w:t>
      </w:r>
      <w:r>
        <w:t xml:space="preserve">hors saison.</w:t>
      </w:r>
    </w:p>
    <w:bookmarkEnd w:id="41"/>
    <w:bookmarkStart w:id="54" w:name="marché-total-adressable-et-capturable"/>
    <w:p>
      <w:pPr>
        <w:pStyle w:val="Heading3"/>
      </w:pPr>
      <w:r>
        <w:t xml:space="preserve">3.4 Marché total, adressable et capturable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20"/>
        <w:gridCol w:w="17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Marché total</w:t>
            </w:r>
            <w:r>
              <w:rPr>
                <w:rStyle w:val="FootnoteReference"/>
              </w:rPr>
              <w:footnoteReference w:id="42"/>
            </w:r>
          </w:p>
        </w:tc>
        <w:tc>
          <w:tcPr/>
          <w:p>
            <w:pPr>
              <w:pStyle w:val="Compact"/>
            </w:pPr>
            <w:r>
              <w:t xml:space="preserve">Toutes expositions France pouvant utiliser une médiation QR</w:t>
            </w:r>
          </w:p>
        </w:tc>
        <w:tc>
          <w:tcPr/>
          <w:p>
            <w:pPr>
              <w:pStyle w:val="Compact"/>
            </w:pPr>
            <w:r>
              <w:t xml:space="preserve">~27 000 expos/an</w:t>
            </w:r>
          </w:p>
        </w:tc>
        <w:tc>
          <w:tcPr/>
          <w:p>
            <w:pPr>
              <w:pStyle w:val="Compact"/>
            </w:pPr>
            <w:r>
              <w:t xml:space="preserve">Potentiel théorique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Marché adressable</w:t>
            </w:r>
            <w:r>
              <w:rPr>
                <w:rStyle w:val="FootnoteReference"/>
              </w:rPr>
              <w:footnoteReference w:id="43"/>
            </w:r>
          </w:p>
        </w:tc>
        <w:tc>
          <w:tcPr/>
          <w:p>
            <w:pPr>
              <w:pStyle w:val="Compact"/>
            </w:pPr>
            <w:r>
              <w:t xml:space="preserve">Structures récurrentes abonnables (musées, centres d’art, galeries haut de gamme</w:t>
            </w:r>
            <w:r>
              <w:rPr>
                <w:rStyle w:val="FootnoteReference"/>
              </w:rPr>
              <w:footnoteReference w:id="44"/>
            </w:r>
            <w:r>
              <w:t xml:space="preserve">, FRAC</w:t>
            </w:r>
            <w:r>
              <w:rPr>
                <w:rStyle w:val="FootnoteReference"/>
              </w:rPr>
              <w:footnoteReference w:id="45"/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~3 500 – 4 000 structures</w:t>
            </w:r>
          </w:p>
        </w:tc>
        <w:tc>
          <w:tcPr/>
          <w:p>
            <w:pPr>
              <w:pStyle w:val="Compact"/>
            </w:pPr>
            <w:r>
              <w:t xml:space="preserve">Cible professionnelle récurrente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capturable</w:t>
            </w:r>
            <w:r>
              <w:rPr>
                <w:rStyle w:val="FootnoteReference"/>
              </w:rPr>
              <w:footnoteReference w:id="46"/>
            </w:r>
            <w:r>
              <w:t xml:space="preserve"> </w:t>
            </w: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Clients payants AIMEDIArt fin année 3 (référence)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 abonnés</w:t>
            </w:r>
            <w:r>
              <w:t xml:space="preserve"> </w:t>
            </w:r>
            <w:r>
              <w:t xml:space="preserve">+ 3 Zénith</w:t>
            </w:r>
          </w:p>
        </w:tc>
        <w:tc>
          <w:tcPr/>
          <w:p>
            <w:pPr>
              <w:pStyle w:val="Compact"/>
            </w:pPr>
            <w:r>
              <w:t xml:space="preserve">~2,5 – 3 % du marché adressable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Priorité géographique :</w:t>
      </w:r>
      <w:r>
        <w:t xml:space="preserve"> </w:t>
      </w:r>
      <w:r>
        <w:t xml:space="preserve">Île-de-France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(~47 % de l’offre), puis axes photo (Occitanie, PACA) et pôles design (Auvergne-Rhône-Alpes).</w:t>
      </w:r>
    </w:p>
    <w:p>
      <w:pPr>
        <w:pStyle w:val="CaptionedFigure"/>
      </w:pPr>
      <w:r>
        <w:drawing>
          <wp:inline>
            <wp:extent cx="5334000" cy="5235526"/>
            <wp:effectExtent b="0" l="0" r="0" t="0"/>
            <wp:docPr descr="Carte des volumes par région" title="" id="49" name="Picture"/>
            <a:graphic>
              <a:graphicData uri="http://schemas.openxmlformats.org/drawingml/2006/picture">
                <pic:pic>
                  <pic:nvPicPr>
                    <pic:cNvPr descr="assets/bp/carte-volumes-reg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des volumes par région</w:t>
      </w:r>
    </w:p>
    <w:p>
      <w:pPr>
        <w:pStyle w:val="CaptionedFigure"/>
      </w:pPr>
      <w:r>
        <w:drawing>
          <wp:inline>
            <wp:extent cx="5334000" cy="4796619"/>
            <wp:effectExtent b="0" l="0" r="0" t="0"/>
            <wp:docPr descr="Marché TAM → SAM → SOM" title="" id="52" name="Picture"/>
            <a:graphic>
              <a:graphicData uri="http://schemas.openxmlformats.org/drawingml/2006/picture">
                <pic:pic>
                  <pic:nvPicPr>
                    <pic:cNvPr descr="assets/bp/bp-tam-sam-so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Marché TAM → SAM → SOM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2" w:name="canevas-du-modèle-économiquebmc"/>
    <w:p>
      <w:pPr>
        <w:pStyle w:val="Heading2"/>
      </w:pPr>
      <w:r>
        <w:t xml:space="preserve">4. Canevas du modèle économique</w:t>
      </w:r>
      <w:r>
        <w:rPr>
          <w:rStyle w:val="FootnoteReference"/>
        </w:rPr>
        <w:footnoteReference w:id="56"/>
      </w:r>
    </w:p>
    <w:bookmarkStart w:id="57" w:name="segments-de-clientèle"/>
    <w:p>
      <w:pPr>
        <w:pStyle w:val="Heading3"/>
      </w:pPr>
      <w:r>
        <w:t xml:space="preserve">Segments de clientèle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0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Abonnement typique</w:t>
            </w:r>
          </w:p>
        </w:tc>
        <w:tc>
          <w:tcPr/>
          <w:p>
            <w:pPr>
              <w:pStyle w:val="Compact"/>
            </w:pPr>
            <w:r>
              <w:t xml:space="preserve">Besoin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Galeries et petites structures</w:t>
            </w:r>
          </w:p>
        </w:tc>
        <w:tc>
          <w:tcPr/>
          <w:p>
            <w:pPr>
              <w:pStyle w:val="Compact"/>
            </w:pPr>
            <w:r>
              <w:t xml:space="preserve">Étincelle → Atelier</w:t>
            </w:r>
          </w:p>
        </w:tc>
        <w:tc>
          <w:tcPr/>
          <w:p>
            <w:pPr>
              <w:pStyle w:val="Compact"/>
            </w:pPr>
            <w:r>
              <w:t xml:space="preserve">Coût maîtrisé, rapidité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Musées territoriaux, centres d’art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Volume d’œuvres, multilingue, statistiques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 nationales, réseaux</w:t>
            </w:r>
          </w:p>
        </w:tc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🟨 Illimité, 549 €/mois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Grands événements (biennale, festival)</w:t>
            </w:r>
          </w:p>
        </w:tc>
        <w:tc>
          <w:tcPr/>
          <w:p>
            <w:pPr>
              <w:pStyle w:val="Compact"/>
            </w:pPr>
            <w: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Projet ponctuel clé en main</w:t>
            </w:r>
          </w:p>
        </w:tc>
      </w:tr>
    </w:tbl>
    <w:bookmarkEnd w:id="57"/>
    <w:bookmarkStart w:id="58" w:name="propositions-de-valeur"/>
    <w:p>
      <w:pPr>
        <w:pStyle w:val="Heading3"/>
      </w:pPr>
      <w:r>
        <w:t xml:space="preserve">Propositions de valeur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Produire dix fois plus vite</w:t>
      </w:r>
      <w:r>
        <w:t xml:space="preserve"> </w:t>
      </w:r>
      <w:r>
        <w:t xml:space="preserve">— médiation complète en heures plutôt qu’en semaines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Personnaliser</w:t>
      </w:r>
      <w:r>
        <w:t xml:space="preserve"> </w:t>
      </w:r>
      <w:r>
        <w:t xml:space="preserve">— 8 registres, 5 langues, voix audio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Mesurer</w:t>
      </w:r>
      <w:r>
        <w:t xml:space="preserve"> </w:t>
      </w:r>
      <w:r>
        <w:t xml:space="preserve">— émotion par œuvre + carte géographique du public</w:t>
      </w:r>
    </w:p>
    <w:bookmarkEnd w:id="58"/>
    <w:bookmarkStart w:id="63" w:name="canaux"/>
    <w:p>
      <w:pPr>
        <w:pStyle w:val="Heading3"/>
      </w:pPr>
      <w:r>
        <w:t xml:space="preserve">Canaux</w:t>
      </w:r>
    </w:p>
    <w:p>
      <w:pPr>
        <w:pStyle w:val="Compact"/>
        <w:numPr>
          <w:ilvl w:val="0"/>
          <w:numId w:val="1003"/>
        </w:numPr>
      </w:pPr>
      <w:r>
        <w:t xml:space="preserve">Vente directe (démonstration, site, essai Étincelle 30 jours)</w:t>
      </w:r>
    </w:p>
    <w:p>
      <w:pPr>
        <w:pStyle w:val="Compact"/>
        <w:numPr>
          <w:ilvl w:val="0"/>
          <w:numId w:val="1003"/>
        </w:numPr>
      </w:pPr>
      <w:r>
        <w:t xml:space="preserve">Réseaux professionnels (DCA</w:t>
      </w:r>
      <w:r>
        <w:rPr>
          <w:rStyle w:val="FootnoteReference"/>
        </w:rPr>
        <w:footnoteReference w:id="59"/>
      </w:r>
      <w:r>
        <w:t xml:space="preserve">, ICOM</w:t>
      </w:r>
      <w:r>
        <w:rPr>
          <w:rStyle w:val="FootnoteReference"/>
        </w:rPr>
        <w:footnoteReference w:id="60"/>
      </w:r>
      <w:r>
        <w:t xml:space="preserve">, NEMO</w:t>
      </w:r>
      <w:r>
        <w:rPr>
          <w:rStyle w:val="FootnoteReference"/>
        </w:rPr>
        <w:footnoteReference w:id="61"/>
      </w:r>
      <w:r>
        <w:t xml:space="preserve">, ACCR</w:t>
      </w:r>
      <w:r>
        <w:rPr>
          <w:rStyle w:val="FootnoteReference"/>
        </w:rPr>
        <w:footnoteReference w:id="62"/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Partenariats agences / commissaires</w:t>
      </w:r>
    </w:p>
    <w:p>
      <w:pPr>
        <w:pStyle w:val="Compact"/>
        <w:numPr>
          <w:ilvl w:val="0"/>
          <w:numId w:val="1003"/>
        </w:numPr>
      </w:pPr>
      <w:r>
        <w:t xml:space="preserve">Recommandation curatorale</w:t>
      </w:r>
    </w:p>
    <w:bookmarkEnd w:id="63"/>
    <w:bookmarkStart w:id="64" w:name="sources-de-revenus"/>
    <w:p>
      <w:pPr>
        <w:pStyle w:val="Heading3"/>
      </w:pPr>
      <w:r>
        <w:t xml:space="preserve">Sources de revenus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Abonnements</w:t>
            </w:r>
          </w:p>
        </w:tc>
        <w:tc>
          <w:tcPr/>
          <w:p>
            <w:pPr>
              <w:pStyle w:val="Compact"/>
            </w:pPr>
            <w:r>
              <w:t xml:space="preserve">🟨 Atelier 59 €/mois TTC, Horizon 149 €/mois TTC, Rayonnement 549 €/mois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 annuelle</w:t>
            </w:r>
          </w:p>
        </w:tc>
        <w:tc>
          <w:tcPr/>
          <w:p>
            <w:pPr>
              <w:pStyle w:val="Compact"/>
            </w:pPr>
            <w:r>
              <w:t xml:space="preserve">🟨 11 mois pour 12 (≈ −8,3 % par rapport au mensuel) — Rayonnement : 6 039 € TTC/an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Dépassements</w:t>
            </w:r>
          </w:p>
        </w:tc>
        <w:tc>
          <w:tcPr/>
          <w:p>
            <w:pPr>
              <w:pStyle w:val="Compact"/>
            </w:pPr>
            <w:r>
              <w:t xml:space="preserve">Packs œuvres / visiteurs au-delà des quotas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Langues supplémentaires (+5 € Atelier, +15 € Horizon)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veille</w:t>
            </w:r>
          </w:p>
        </w:tc>
        <w:tc>
          <w:tcPr/>
          <w:p>
            <w:pPr>
              <w:pStyle w:val="Compact"/>
            </w:pPr>
            <w:r>
              <w:t xml:space="preserve">19 € (Atelier) / 49 € (Horizon)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 devis</w:t>
            </w:r>
          </w:p>
        </w:tc>
        <w:tc>
          <w:tcPr/>
          <w:p>
            <w:pPr>
              <w:pStyle w:val="Compact"/>
            </w:pPr>
            <w:r>
              <w:t xml:space="preserve">🟨 Zénith (ponctuel 15–17 k€)</w:t>
            </w:r>
          </w:p>
        </w:tc>
      </w:tr>
    </w:tbl>
    <w:bookmarkEnd w:id="64"/>
    <w:bookmarkStart w:id="69" w:name="ressources-clés"/>
    <w:p>
      <w:pPr>
        <w:pStyle w:val="Heading3"/>
      </w:pPr>
      <w:r>
        <w:t xml:space="preserve">Ressources clés</w:t>
      </w:r>
    </w:p>
    <w:p>
      <w:pPr>
        <w:pStyle w:val="Compact"/>
        <w:numPr>
          <w:ilvl w:val="0"/>
          <w:numId w:val="1004"/>
        </w:numPr>
      </w:pPr>
      <w:r>
        <w:t xml:space="preserve">Plateforme en ligne (React, Supabase</w:t>
      </w:r>
      <w:r>
        <w:rPr>
          <w:rStyle w:val="FootnoteReference"/>
        </w:rPr>
        <w:footnoteReference w:id="65"/>
      </w:r>
      <w:r>
        <w:t xml:space="preserve">, fonctions serveur</w:t>
      </w:r>
      <w:r>
        <w:rPr>
          <w:rStyle w:val="FootnoteReference"/>
        </w:rPr>
        <w:footnoteReference w:id="66"/>
      </w:r>
      <w:r>
        <w:t xml:space="preserve">, Groq, synthèse vocale</w:t>
      </w:r>
      <w:r>
        <w:rPr>
          <w:rStyle w:val="FootnoteReference"/>
        </w:rPr>
        <w:footnoteReference w:id="67"/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Grille tarifaire et moteur de facturation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(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organisation_subscriptions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Propriété intellectuelle (dépôt e-Soleau juin 2026)</w:t>
      </w:r>
    </w:p>
    <w:bookmarkEnd w:id="69"/>
    <w:bookmarkStart w:id="71" w:name="coûts"/>
    <w:p>
      <w:pPr>
        <w:pStyle w:val="Heading3"/>
      </w:pPr>
      <w:r>
        <w:t xml:space="preserve">Coûts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Infrastructure fixe :</w:t>
      </w:r>
      <w:r>
        <w:t xml:space="preserve"> </w:t>
      </w:r>
      <w:r>
        <w:t xml:space="preserve">500 €/mois au départ, +15 %/trimestre (hébergement, outils, administration)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Sous-traitance développement :</w:t>
      </w:r>
      <w:r>
        <w:t xml:space="preserve"> </w:t>
      </w:r>
      <w:r>
        <w:t xml:space="preserve">voir § 6.6 (1 développeur en référence, 5 en ambitieux)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Variables :</w:t>
      </w:r>
      <w:r>
        <w:t xml:space="preserve"> </w:t>
      </w:r>
      <w:r>
        <w:t xml:space="preserve">1 % du chiffre d’affaires HT (frais bancaires, commissions)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Coûts directs de service</w:t>
      </w:r>
      <w:r>
        <w:rPr>
          <w:rStyle w:val="FootnoteReference"/>
        </w:rPr>
        <w:footnoteReference w:id="70"/>
      </w:r>
      <w:r>
        <w:t xml:space="preserve"> </w:t>
      </w:r>
      <w:r>
        <w:rPr>
          <w:b/>
          <w:bCs/>
        </w:rPr>
        <w:t xml:space="preserve">IA :</w:t>
      </w:r>
      <w:r>
        <w:t xml:space="preserve"> </w:t>
      </w:r>
      <w:r>
        <w:t xml:space="preserve">Groq + OpenAI TTS — suivi via</w:t>
      </w:r>
      <w:r>
        <w:t xml:space="preserve"> </w:t>
      </w:r>
      <w:r>
        <w:rPr>
          <w:rStyle w:val="VerbatimChar"/>
        </w:rPr>
        <w:t xml:space="preserve">ai_usage_logs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grille-tarifaire-référence-produit"/>
    <w:p>
      <w:pPr>
        <w:pStyle w:val="Heading2"/>
      </w:pPr>
      <w:r>
        <w:t xml:space="preserve">5. Grille tarifaire (référence produit)</w:t>
      </w:r>
    </w:p>
    <w:p>
      <w:pPr>
        <w:pStyle w:val="FirstParagraph"/>
      </w:pPr>
      <w:r>
        <w:rPr>
          <w:i/>
          <w:iCs/>
        </w:rPr>
        <w:t xml:space="preserve">Alignée sur la table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pricing</w:t>
      </w:r>
      <w:r>
        <w:rPr>
          <w:i/>
          <w:iCs/>
        </w:rPr>
        <w:t xml:space="preserve"> </w:t>
      </w:r>
      <w:r>
        <w:rPr>
          <w:i/>
          <w:iCs/>
        </w:rPr>
        <w:t xml:space="preserve">du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605"/>
        <w:gridCol w:w="856"/>
        <w:gridCol w:w="1712"/>
        <w:gridCol w:w="2033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Prix TTC/mois</w:t>
            </w:r>
          </w:p>
        </w:tc>
        <w:tc>
          <w:tcPr/>
          <w:p>
            <w:pPr>
              <w:pStyle w:val="Compact"/>
            </w:pPr>
            <w:r>
              <w:t xml:space="preserve">Œuvres</w:t>
            </w:r>
          </w:p>
        </w:tc>
        <w:tc>
          <w:tcPr/>
          <w:p>
            <w:pPr>
              <w:pStyle w:val="Compact"/>
            </w:pPr>
            <w:r>
              <w:t xml:space="preserve">Visiteurs/mois</w:t>
            </w:r>
          </w:p>
        </w:tc>
        <w:tc>
          <w:tcPr/>
          <w:p>
            <w:pPr>
              <w:pStyle w:val="Compact"/>
            </w:pPr>
            <w:r>
              <w:t xml:space="preserve">Langues médiation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0 € (essai 30 j)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59 €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2 500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🟨 549 € (6 039 €/an)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  <w:tc>
          <w:tcPr/>
          <w:p>
            <w:pPr>
              <w:pStyle w:val="Compact"/>
            </w:pPr>
            <w:r>
              <w:t xml:space="preserve">Sur mesure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Sur devis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Sur mesure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Dépassements (extraits) :</w:t>
      </w:r>
    </w:p>
    <w:p>
      <w:pPr>
        <w:pStyle w:val="Compact"/>
        <w:numPr>
          <w:ilvl w:val="0"/>
          <w:numId w:val="1006"/>
        </w:numPr>
      </w:pPr>
      <w:r>
        <w:t xml:space="preserve">Atelier : +25 œuvres → 15 € ; +500 visiteurs → 5 €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Horizon : +50 œuvres → 20 € ; +500 visiteurs → 5 €</w:t>
      </w:r>
    </w:p>
    <w:p>
      <w:pPr>
        <w:pStyle w:val="CaptionedFigure"/>
      </w:pPr>
      <w:r>
        <w:drawing>
          <wp:inline>
            <wp:extent cx="5334000" cy="3386401"/>
            <wp:effectExtent b="0" l="0" r="0" t="0"/>
            <wp:docPr descr="Grille tarifaire AIMEDIArt" title="" id="74" name="Picture"/>
            <a:graphic>
              <a:graphicData uri="http://schemas.openxmlformats.org/drawingml/2006/picture">
                <pic:pic>
                  <pic:nvPicPr>
                    <pic:cNvPr descr="assets/bp/bp-grille-tarifai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Grille tarifaire AIMEDIArt</w:t>
      </w:r>
    </w:p>
    <w:p>
      <w:r>
        <w:pict>
          <v:rect style="width:0;height:1.5pt" o:hralign="center" o:hrstd="t" o:hr="t"/>
        </w:pict>
      </w:r>
    </w:p>
    <w:bookmarkEnd w:id="76"/>
    <w:bookmarkStart w:id="88" w:name="hypothèses-du-prévisionnel"/>
    <w:p>
      <w:pPr>
        <w:pStyle w:val="Heading2"/>
      </w:pPr>
      <w:r>
        <w:t xml:space="preserve">6. Hypothèses du prévisionnel</w:t>
      </w:r>
    </w:p>
    <w:p>
      <w:pPr>
        <w:pStyle w:val="FirstParagraph"/>
      </w:pPr>
      <w:r>
        <w:rPr>
          <w:i/>
          <w:iCs/>
        </w:rPr>
        <w:t xml:space="preserve">Source : « hypothèses BP.docx »</w:t>
      </w:r>
    </w:p>
    <w:bookmarkStart w:id="78" w:name="paramètres-généraux"/>
    <w:p>
      <w:pPr>
        <w:pStyle w:val="Heading3"/>
      </w:pPr>
      <w:r>
        <w:t xml:space="preserve">6.1 Paramètres généraux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initial</w:t>
            </w:r>
          </w:p>
        </w:tc>
        <w:tc>
          <w:tcPr/>
          <w:p>
            <w:pPr>
              <w:pStyle w:val="Compact"/>
            </w:pPr>
            <w:r>
              <w:t xml:space="preserve">4 900 €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fixes infrastructure au départ</w:t>
            </w:r>
          </w:p>
        </w:tc>
        <w:tc>
          <w:tcPr/>
          <w:p>
            <w:pPr>
              <w:pStyle w:val="Compact"/>
            </w:pPr>
            <w:r>
              <w:t xml:space="preserve">500 €/mois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Hausse frais fixes</w:t>
            </w:r>
          </w:p>
        </w:tc>
        <w:tc>
          <w:tcPr/>
          <w:p>
            <w:pPr>
              <w:pStyle w:val="Compact"/>
            </w:pPr>
            <w:r>
              <w:t xml:space="preserve">+15 % /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variables</w:t>
            </w:r>
          </w:p>
        </w:tc>
        <w:tc>
          <w:tcPr/>
          <w:p>
            <w:pPr>
              <w:pStyle w:val="Compact"/>
            </w:pPr>
            <w:r>
              <w:t xml:space="preserve">1 % du chiffre d’affaires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</w:t>
            </w:r>
            <w:r>
              <w:rPr>
                <w:rStyle w:val="FootnoteReference"/>
              </w:rPr>
              <w:footnoteReference w:id="77"/>
            </w:r>
            <w:r>
              <w:t xml:space="preserve"> </w:t>
            </w:r>
            <w:r>
              <w:t xml:space="preserve">sur ventes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déductible sur charges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</w:tbl>
    <w:bookmarkEnd w:id="78"/>
    <w:bookmarkStart w:id="80" w:name="attrition-clientèlechurn"/>
    <w:p>
      <w:pPr>
        <w:pStyle w:val="Heading3"/>
      </w:pPr>
      <w:r>
        <w:t xml:space="preserve">6.2 Attrition clientèle</w:t>
      </w:r>
      <w:r>
        <w:rPr>
          <w:rStyle w:val="FootnoteReference"/>
        </w:rPr>
        <w:footnoteReference w:id="79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 de l’attrition</w:t>
            </w:r>
          </w:p>
        </w:tc>
        <w:tc>
          <w:tcPr/>
          <w:p>
            <w:pPr>
              <w:pStyle w:val="Compact"/>
            </w:pPr>
            <w:r>
              <w:t xml:space="preserve">Mois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d’attrition mensuel initial</w:t>
            </w:r>
          </w:p>
        </w:tc>
        <w:tc>
          <w:tcPr/>
          <w:p>
            <w:pPr>
              <w:pStyle w:val="Compact"/>
            </w:pPr>
            <w:r>
              <w:t xml:space="preserve">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Baisse mensuelle du taux</w:t>
            </w:r>
          </w:p>
        </w:tc>
        <w:tc>
          <w:tcPr/>
          <w:p>
            <w:pPr>
              <w:pStyle w:val="Compact"/>
            </w:pPr>
            <w:r>
              <w:t xml:space="preserve">−10 % / mois (composée)</w:t>
            </w:r>
          </w:p>
        </w:tc>
      </w:tr>
    </w:tbl>
    <w:p>
      <w:pPr>
        <w:pStyle w:val="BodyText"/>
      </w:pPr>
      <w:r>
        <w:rPr>
          <w:i/>
          <w:iCs/>
        </w:rPr>
        <w:t xml:space="preserve">Exemple : M9 = 5,0 % → M10 = 4,5 % → M11 = 4,05 % …</w:t>
      </w:r>
    </w:p>
    <w:bookmarkEnd w:id="80"/>
    <w:bookmarkStart w:id="81" w:name="Xffcb578a8dacf736cf2fdcdbd560de6809644e1"/>
    <w:p>
      <w:pPr>
        <w:pStyle w:val="Heading3"/>
      </w:pPr>
      <w:r>
        <w:t xml:space="preserve">6.3 Effectifs clients (fin d’année, cumul) — scénario de référence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Fin A1</w:t>
            </w:r>
          </w:p>
        </w:tc>
        <w:tc>
          <w:tcPr/>
          <w:p>
            <w:pPr>
              <w:pStyle w:val="Compact"/>
            </w:pPr>
            <w:r>
              <w:t xml:space="preserve">Fin A2</w:t>
            </w:r>
          </w:p>
        </w:tc>
        <w:tc>
          <w:tcPr/>
          <w:p>
            <w:pPr>
              <w:pStyle w:val="Compact"/>
            </w:pPr>
            <w:r>
              <w:t xml:space="preserve">Fin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Zénith (contrats actifs)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</w:tr>
    </w:tbl>
    <w:p>
      <w:pPr>
        <w:pStyle w:val="BodyText"/>
      </w:pPr>
      <w:r>
        <w:rPr>
          <w:i/>
          <w:iCs/>
        </w:rPr>
        <w:t xml:space="preserve">Scénarios prudent / ambitieux : effectifs × 0,70 / × 1,30.</w:t>
      </w:r>
    </w:p>
    <w:bookmarkEnd w:id="81"/>
    <w:bookmarkStart w:id="83" w:name="paramètres-commerciaux"/>
    <w:p>
      <w:pPr>
        <w:pStyle w:val="Heading3"/>
      </w:pPr>
      <w:r>
        <w:t xml:space="preserve">6.4 Paramètres commerciaux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1320"/>
        <w:gridCol w:w="13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 mensuelle (vs annuelle)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clients avec dépassements/options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Panier moyen options / dépassements (€/mois)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Panier moyen Zénith (€, ponctuel)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15 000</w:t>
            </w:r>
          </w:p>
        </w:tc>
        <w:tc>
          <w:tcPr/>
          <w:p>
            <w:pPr>
              <w:pStyle w:val="Compact"/>
            </w:pPr>
            <w:r>
              <w:t xml:space="preserve">17 000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Étincelle → payant</w:t>
            </w:r>
            <w:r>
              <w:rPr>
                <w:rStyle w:val="FootnoteReference"/>
              </w:rPr>
              <w:footnoteReference w:id="82"/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50 %</w:t>
            </w:r>
          </w:p>
        </w:tc>
      </w:tr>
    </w:tbl>
    <w:p>
      <w:pPr>
        <w:pStyle w:val="BodyText"/>
      </w:pPr>
      <w:r>
        <w:rPr>
          <w:i/>
          <w:iCs/>
        </w:rPr>
        <w:t xml:space="preserve">Cible 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50 %</w:t>
      </w:r>
      <w:r>
        <w:rPr>
          <w:i/>
          <w:iCs/>
        </w:rPr>
        <w:t xml:space="preserve"> </w:t>
      </w:r>
      <w:r>
        <w:rPr>
          <w:i/>
          <w:iCs/>
        </w:rPr>
        <w:t xml:space="preserve">des organisations ayant souscrit à l’essai Étincelle passent à un abonnement payant (Atelier, Horizon ou au-delà) à l’issue ou pendant la période d’essai.</w:t>
      </w:r>
    </w:p>
    <w:bookmarkEnd w:id="83"/>
    <w:bookmarkStart w:id="84" w:name="tarif-rayonnement-validé"/>
    <w:p>
      <w:pPr>
        <w:pStyle w:val="Heading3"/>
      </w:pPr>
      <w:r>
        <w:t xml:space="preserve">🟨 6.5 Tarif Rayonnement (validé)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— abonnement mensuel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549 € TTC</w:t>
            </w:r>
          </w:p>
        </w:tc>
        <w:tc>
          <w:tcPr/>
          <w:p>
            <w:pPr>
              <w:pStyle w:val="Compact"/>
            </w:pPr>
            <w:r>
              <w:t xml:space="preserve">Grands comptes, quotas illimités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— abonnement annuel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6 039 € TTC</w:t>
            </w:r>
          </w:p>
        </w:tc>
        <w:tc>
          <w:tcPr/>
          <w:p>
            <w:pPr>
              <w:pStyle w:val="Compact"/>
            </w:pPr>
            <w:r>
              <w:t xml:space="preserve">🟨 11 mois pour 12 (549 € × 11)</w:t>
            </w:r>
          </w:p>
        </w:tc>
      </w:tr>
    </w:tbl>
    <w:bookmarkEnd w:id="84"/>
    <w:bookmarkStart w:id="87" w:name="sous-traitance-développeurs"/>
    <w:p>
      <w:pPr>
        <w:pStyle w:val="Heading3"/>
      </w:pPr>
      <w:r>
        <w:t xml:space="preserve">6.6 Sous-traitance développeurs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893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Effectif</w:t>
            </w:r>
          </w:p>
        </w:tc>
        <w:tc>
          <w:tcPr/>
          <w:p>
            <w:pPr>
              <w:pStyle w:val="Compact"/>
            </w:pPr>
            <w:r>
              <w:t xml:space="preserve">Démarrage</w:t>
            </w:r>
          </w:p>
        </w:tc>
        <w:tc>
          <w:tcPr/>
          <w:p>
            <w:pPr>
              <w:pStyle w:val="Compact"/>
            </w:pPr>
            <w:r>
              <w:t xml:space="preserve">Coût unitaire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Prudent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1 développeur</w:t>
            </w:r>
          </w:p>
        </w:tc>
        <w:tc>
          <w:tcPr/>
          <w:p>
            <w:pPr>
              <w:pStyle w:val="Compact"/>
            </w:pPr>
            <w:r>
              <w:t xml:space="preserve">Mois 13 (début A2)</w:t>
            </w:r>
          </w:p>
        </w:tc>
        <w:tc>
          <w:tcPr/>
          <w:p>
            <w:pPr>
              <w:pStyle w:val="Compact"/>
            </w:pPr>
            <w:r>
              <w:t xml:space="preserve">4 500 € HT/mois</w:t>
            </w:r>
            <w:r>
              <w:rPr>
                <w:rStyle w:val="FootnoteReference"/>
              </w:rPr>
              <w:footnoteReference w:id="85"/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</w:p>
        </w:tc>
        <w:tc>
          <w:tcPr/>
          <w:p>
            <w:pPr>
              <w:pStyle w:val="Compact"/>
            </w:pPr>
            <w:r>
              <w:t xml:space="preserve">2 → 5 développeurs</w:t>
            </w:r>
          </w:p>
        </w:tc>
        <w:tc>
          <w:tcPr/>
          <w:p>
            <w:pPr>
              <w:pStyle w:val="Compact"/>
            </w:pPr>
            <w:r>
              <w:t xml:space="preserve">M1 : 2 · M7 : 3 · M13 : 4 · M19+ : 5</w:t>
            </w:r>
          </w:p>
        </w:tc>
        <w:tc>
          <w:tcPr/>
          <w:p>
            <w:pPr>
              <w:pStyle w:val="Compact"/>
            </w:pPr>
            <w:r>
              <w:t xml:space="preserve">4 500 € HT/mois/développeur</w:t>
            </w:r>
          </w:p>
        </w:tc>
      </w:tr>
    </w:tbl>
    <w:p>
      <w:pPr>
        <w:pStyle w:val="BodyText"/>
      </w:pPr>
      <w:r>
        <w:rPr>
          <w:i/>
          <w:iCs/>
        </w:rPr>
        <w:t xml:space="preserve">Hypothèse TJM</w:t>
      </w:r>
      <w:r>
        <w:rPr>
          <w:rStyle w:val="FootnoteReference"/>
        </w:rPr>
        <w:footnoteReference w:id="86"/>
      </w:r>
      <w:r>
        <w:rPr>
          <w:i/>
          <w:iCs/>
        </w:rPr>
        <w:t xml:space="preserve"> </w:t>
      </w:r>
      <w:r>
        <w:rPr>
          <w:i/>
          <w:iCs/>
        </w:rPr>
        <w:t xml:space="preserve">450 € × 10 jours/mois. Le fondateur reste porteur produit ; la sous-traitance couvre l’accélération technique (paiement en ligne, Union européenne, Rayonnement).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9" w:name="prévisionnel-financier-3-scénarios"/>
    <w:p>
      <w:pPr>
        <w:pStyle w:val="Heading2"/>
      </w:pPr>
      <w:r>
        <w:t xml:space="preserve">7. Prévisionnel financier — 3 scénarios</w:t>
      </w:r>
    </w:p>
    <w:p>
      <w:pPr>
        <w:pStyle w:val="FirstParagraph"/>
      </w:pPr>
      <w:r>
        <w:rPr>
          <w:i/>
          <w:iCs/>
        </w:rPr>
        <w:t xml:space="preserve">Détail mensuel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docs/business-plan-previsionnel-36m-new.xlsx</w:t>
      </w:r>
    </w:p>
    <w:p>
      <w:pPr>
        <w:pStyle w:val="CaptionedFigure"/>
      </w:pPr>
      <w:r>
        <w:drawing>
          <wp:inline>
            <wp:extent cx="5334000" cy="3615562"/>
            <wp:effectExtent b="0" l="0" r="0" t="0"/>
            <wp:docPr descr="Chiffre d’affaires — 3 scénarios" title="" id="90" name="Picture"/>
            <a:graphic>
              <a:graphicData uri="http://schemas.openxmlformats.org/drawingml/2006/picture">
                <pic:pic>
                  <pic:nvPicPr>
                    <pic:cNvPr descr="assets/bp/bp-ca-scenario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Chiffre d’affaires — 3 scénarios</w:t>
      </w:r>
    </w:p>
    <w:p>
      <w:pPr>
        <w:pStyle w:val="CaptionedFigure"/>
      </w:pPr>
      <w:r>
        <w:drawing>
          <wp:inline>
            <wp:extent cx="5334000" cy="3314001"/>
            <wp:effectExtent b="0" l="0" r="0" t="0"/>
            <wp:docPr descr="Trésorerie cumulée — 3 scénarios" title="" id="93" name="Picture"/>
            <a:graphic>
              <a:graphicData uri="http://schemas.openxmlformats.org/drawingml/2006/picture">
                <pic:pic>
                  <pic:nvPicPr>
                    <pic:cNvPr descr="assets/bp/bp-tresorerie-scenario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Trésorerie cumulée — 3 scénarios</w:t>
      </w:r>
    </w:p>
    <w:p>
      <w:pPr>
        <w:pStyle w:val="CaptionedFigure"/>
      </w:pPr>
      <w:r>
        <w:drawing>
          <wp:inline>
            <wp:extent cx="5334000" cy="3674162"/>
            <wp:effectExtent b="0" l="0" r="0" t="0"/>
            <wp:docPr descr="Portefeuille clients par plan" title="" id="96" name="Picture"/>
            <a:graphic>
              <a:graphicData uri="http://schemas.openxmlformats.org/drawingml/2006/picture">
                <pic:pic>
                  <pic:nvPicPr>
                    <pic:cNvPr descr="assets/bp/bp-clients-plan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Portefeuille clients par plan</w:t>
      </w:r>
    </w:p>
    <w:bookmarkStart w:id="99" w:name="synthèse-annuelle-ht"/>
    <w:p>
      <w:pPr>
        <w:pStyle w:val="Heading3"/>
      </w:pPr>
      <w:r>
        <w:t xml:space="preserve">7.1 Synthèse annuelle (€ 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2022"/>
        <w:gridCol w:w="2359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Prudent A3</w:t>
            </w:r>
          </w:p>
        </w:tc>
        <w:tc>
          <w:tcPr/>
          <w:p>
            <w:pPr>
              <w:pStyle w:val="Compact"/>
            </w:pPr>
            <w:r>
              <w:t xml:space="preserve">Référence A3</w:t>
            </w:r>
          </w:p>
        </w:tc>
        <w:tc>
          <w:tcPr/>
          <w:p>
            <w:pPr>
              <w:pStyle w:val="Compact"/>
            </w:pPr>
            <w:r>
              <w:t xml:space="preserve">Ambitieux 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 d’affaires HT total</w:t>
            </w:r>
          </w:p>
        </w:tc>
        <w:tc>
          <w:tcPr/>
          <w:p>
            <w:pPr>
              <w:pStyle w:val="Compact"/>
            </w:pPr>
            <w:r>
              <w:t xml:space="preserve">🟨 87 632</w:t>
            </w:r>
          </w:p>
        </w:tc>
        <w:tc>
          <w:tcPr/>
          <w:p>
            <w:pPr>
              <w:pStyle w:val="Compact"/>
            </w:pPr>
            <w:r>
              <w:t xml:space="preserve">🟨 127 111</w:t>
            </w:r>
          </w:p>
        </w:tc>
        <w:tc>
          <w:tcPr/>
          <w:p>
            <w:pPr>
              <w:pStyle w:val="Compact"/>
            </w:pPr>
            <w:r>
              <w:t xml:space="preserve">🟨 157 145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développement (cumul 3 ans)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~81 000</w:t>
            </w:r>
          </w:p>
        </w:tc>
        <w:tc>
          <w:tcPr/>
          <w:p>
            <w:pPr>
              <w:pStyle w:val="Compact"/>
            </w:pPr>
            <w:r>
              <w:t xml:space="preserve">~648 000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Excédent brut cumulé (3 ans)</w:t>
            </w:r>
            <w:r>
              <w:rPr>
                <w:rStyle w:val="FootnoteReference"/>
              </w:rPr>
              <w:footnoteReference w:id="98"/>
            </w:r>
          </w:p>
        </w:tc>
        <w:tc>
          <w:tcPr/>
          <w:p>
            <w:pPr>
              <w:pStyle w:val="Compact"/>
            </w:pPr>
            <w:r>
              <w:t xml:space="preserve">🟨 63 844</w:t>
            </w:r>
          </w:p>
        </w:tc>
        <w:tc>
          <w:tcPr/>
          <w:p>
            <w:pPr>
              <w:pStyle w:val="Compact"/>
            </w:pPr>
            <w:r>
              <w:t xml:space="preserve">🟨 32 685</w:t>
            </w:r>
          </w:p>
        </w:tc>
        <w:tc>
          <w:tcPr/>
          <w:p>
            <w:pPr>
              <w:pStyle w:val="Compact"/>
            </w:pPr>
            <w:r>
              <w:t xml:space="preserve">🟨 −457 943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Trésorerie fin A3</w:t>
            </w:r>
          </w:p>
        </w:tc>
        <w:tc>
          <w:tcPr/>
          <w:p>
            <w:pPr>
              <w:pStyle w:val="Compact"/>
            </w:pPr>
            <w:r>
              <w:t xml:space="preserve">🟨 91 761</w:t>
            </w:r>
          </w:p>
        </w:tc>
        <w:tc>
          <w:tcPr/>
          <w:p>
            <w:pPr>
              <w:pStyle w:val="Compact"/>
            </w:pPr>
            <w:r>
              <w:t xml:space="preserve">🟨 37 584</w:t>
            </w:r>
          </w:p>
        </w:tc>
        <w:tc>
          <w:tcPr/>
          <w:p>
            <w:pPr>
              <w:pStyle w:val="Compact"/>
            </w:pPr>
            <w:r>
              <w:t xml:space="preserve">🟨 −457 943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Développeurs actifs fin A3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99"/>
    <w:bookmarkStart w:id="100" w:name="scénario-de-référence-compte-de-résultat"/>
    <w:p>
      <w:pPr>
        <w:pStyle w:val="Heading3"/>
      </w:pPr>
      <w:r>
        <w:t xml:space="preserve">7.2 Scénario de référence — compte de résultat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Année 1</w:t>
            </w:r>
          </w:p>
        </w:tc>
        <w:tc>
          <w:tcPr/>
          <w:p>
            <w:pPr>
              <w:pStyle w:val="Compact"/>
            </w:pPr>
            <w:r>
              <w:t xml:space="preserve">Année 2</w:t>
            </w:r>
          </w:p>
        </w:tc>
        <w:tc>
          <w:tcPr/>
          <w:p>
            <w:pPr>
              <w:pStyle w:val="Compact"/>
            </w:pPr>
            <w:r>
              <w:t xml:space="preserve">Année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Abonnements récurrents</w:t>
            </w:r>
          </w:p>
        </w:tc>
        <w:tc>
          <w:tcPr/>
          <w:p>
            <w:pPr>
              <w:pStyle w:val="Compact"/>
            </w:pPr>
            <w:r>
              <w:t xml:space="preserve">7 530</w:t>
            </w:r>
          </w:p>
        </w:tc>
        <w:tc>
          <w:tcPr/>
          <w:p>
            <w:pPr>
              <w:pStyle w:val="Compact"/>
            </w:pPr>
            <w:r>
              <w:t xml:space="preserve">🟨 37 125</w:t>
            </w:r>
          </w:p>
        </w:tc>
        <w:tc>
          <w:tcPr/>
          <w:p>
            <w:pPr>
              <w:pStyle w:val="Compact"/>
            </w:pPr>
            <w:r>
              <w:t xml:space="preserve">🟨 95 335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 et dépassements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2 442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Zénith (projets ponctuels)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12 500</w:t>
            </w:r>
          </w:p>
        </w:tc>
        <w:tc>
          <w:tcPr/>
          <w:p>
            <w:pPr>
              <w:pStyle w:val="Compact"/>
            </w:pPr>
            <w:r>
              <w:t xml:space="preserve">28 333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 d’affaires HT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7 596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51 340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127 111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variables (1 %)</w:t>
            </w:r>
          </w:p>
        </w:tc>
        <w:tc>
          <w:tcPr/>
          <w:p>
            <w:pPr>
              <w:pStyle w:val="Compact"/>
            </w:pPr>
            <w:r>
              <w:t xml:space="preserve">−76</w:t>
            </w:r>
          </w:p>
        </w:tc>
        <w:tc>
          <w:tcPr/>
          <w:p>
            <w:pPr>
              <w:pStyle w:val="Compact"/>
            </w:pPr>
            <w:r>
              <w:t xml:space="preserve">−501</w:t>
            </w:r>
          </w:p>
        </w:tc>
        <w:tc>
          <w:tcPr/>
          <w:p>
            <w:pPr>
              <w:pStyle w:val="Compact"/>
            </w:pPr>
            <w:r>
              <w:t xml:space="preserve">−1 224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fixes infrastructure</w:t>
            </w:r>
          </w:p>
        </w:tc>
        <w:tc>
          <w:tcPr/>
          <w:p>
            <w:pPr>
              <w:pStyle w:val="Compact"/>
            </w:pPr>
            <w:r>
              <w:t xml:space="preserve">−7 490</w:t>
            </w:r>
          </w:p>
        </w:tc>
        <w:tc>
          <w:tcPr/>
          <w:p>
            <w:pPr>
              <w:pStyle w:val="Compact"/>
            </w:pPr>
            <w:r>
              <w:t xml:space="preserve">−13 100</w:t>
            </w:r>
          </w:p>
        </w:tc>
        <w:tc>
          <w:tcPr/>
          <w:p>
            <w:pPr>
              <w:pStyle w:val="Compact"/>
            </w:pPr>
            <w:r>
              <w:t xml:space="preserve">−22 912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développement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−54 000</w:t>
            </w:r>
          </w:p>
        </w:tc>
        <w:tc>
          <w:tcPr/>
          <w:p>
            <w:pPr>
              <w:pStyle w:val="Compact"/>
            </w:pPr>
            <w:r>
              <w:t xml:space="preserve">−27 000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Excédent brut d’exploitation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30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≈ −16 273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≈ 48 928</w:t>
            </w:r>
          </w:p>
        </w:tc>
      </w:tr>
    </w:tbl>
    <w:bookmarkEnd w:id="100"/>
    <w:bookmarkStart w:id="105" w:name="X82f66c72ae39b42054da972dc37c69b4ace833f"/>
    <w:p>
      <w:pPr>
        <w:pStyle w:val="Heading3"/>
      </w:pPr>
      <w:r>
        <w:t xml:space="preserve">7.3 Indicateurs récurrents (référence, fin d’année)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8"/>
        <w:gridCol w:w="1021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  <w:r>
              <w:rPr>
                <w:rStyle w:val="FootnoteReference"/>
              </w:rPr>
              <w:footnoteReference w:id="101"/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mensuel</w:t>
            </w:r>
            <w:r>
              <w:rPr>
                <w:rStyle w:val="FootnoteReference"/>
              </w:rPr>
              <w:footnoteReference w:id="102"/>
            </w:r>
            <w:r>
              <w:t xml:space="preserve"> </w:t>
            </w:r>
            <w:r>
              <w:t xml:space="preserve">TTC (abo + options)</w:t>
            </w:r>
          </w:p>
        </w:tc>
        <w:tc>
          <w:tcPr/>
          <w:p>
            <w:pPr>
              <w:pStyle w:val="Compact"/>
            </w:pPr>
            <w:r>
              <w:t xml:space="preserve">1 740 €</w:t>
            </w:r>
          </w:p>
        </w:tc>
        <w:tc>
          <w:tcPr/>
          <w:p>
            <w:pPr>
              <w:pStyle w:val="Compact"/>
            </w:pPr>
            <w:r>
              <w:t xml:space="preserve">6 445 €</w:t>
            </w:r>
          </w:p>
        </w:tc>
        <w:tc>
          <w:tcPr/>
          <w:p>
            <w:pPr>
              <w:pStyle w:val="Compact"/>
            </w:pPr>
            <w:r>
              <w:t xml:space="preserve">🟨 13 980 €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récurrent annuel</w:t>
            </w:r>
            <w:r>
              <w:rPr>
                <w:rStyle w:val="FootnoteReference"/>
              </w:rPr>
              <w:footnoteReference w:id="103"/>
            </w:r>
            <w:r>
              <w:t xml:space="preserve"> </w:t>
            </w:r>
            <w:r>
              <w:t xml:space="preserve">TTC (× 12)</w:t>
            </w:r>
          </w:p>
        </w:tc>
        <w:tc>
          <w:tcPr/>
          <w:p>
            <w:pPr>
              <w:pStyle w:val="Compact"/>
            </w:pPr>
            <w:r>
              <w:t xml:space="preserve">20 880 €</w:t>
            </w:r>
          </w:p>
        </w:tc>
        <w:tc>
          <w:tcPr/>
          <w:p>
            <w:pPr>
              <w:pStyle w:val="Compact"/>
            </w:pPr>
            <w:r>
              <w:t xml:space="preserve">77 340 €</w:t>
            </w:r>
          </w:p>
        </w:tc>
        <w:tc>
          <w:tcPr/>
          <w:p>
            <w:pPr>
              <w:pStyle w:val="Compact"/>
            </w:pPr>
            <w:r>
              <w:t xml:space="preserve">🟨 167 760 €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payants (abonnement)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moyen par client</w:t>
            </w:r>
            <w:r>
              <w:rPr>
                <w:rStyle w:val="FootnoteReference"/>
              </w:rPr>
              <w:footnoteReference w:id="104"/>
            </w:r>
            <w:r>
              <w:t xml:space="preserve"> </w:t>
            </w:r>
            <w:r>
              <w:t xml:space="preserve">TTC/mois</w:t>
            </w:r>
          </w:p>
        </w:tc>
        <w:tc>
          <w:tcPr/>
          <w:p>
            <w:pPr>
              <w:pStyle w:val="Compact"/>
            </w:pPr>
            <w:r>
              <w:t xml:space="preserve">~116 €</w:t>
            </w:r>
          </w:p>
        </w:tc>
        <w:tc>
          <w:tcPr/>
          <w:p>
            <w:pPr>
              <w:pStyle w:val="Compact"/>
            </w:pPr>
            <w:r>
              <w:t xml:space="preserve">~137 €</w:t>
            </w:r>
          </w:p>
        </w:tc>
        <w:tc>
          <w:tcPr/>
          <w:p>
            <w:pPr>
              <w:pStyle w:val="Compact"/>
            </w:pPr>
            <w:r>
              <w:t xml:space="preserve">🟨 ~147 €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Trésorerie cumulée</w:t>
            </w:r>
          </w:p>
        </w:tc>
        <w:tc>
          <w:tcPr/>
          <w:p>
            <w:pPr>
              <w:pStyle w:val="Compact"/>
            </w:pPr>
            <w:r>
              <w:t xml:space="preserve">~6 500 €</w:t>
            </w:r>
          </w:p>
        </w:tc>
        <w:tc>
          <w:tcPr/>
          <w:p>
            <w:pPr>
              <w:pStyle w:val="Compact"/>
            </w:pPr>
            <w:r>
              <w:t xml:space="preserve">~−11 000 €</w:t>
            </w:r>
          </w:p>
        </w:tc>
        <w:tc>
          <w:tcPr/>
          <w:p>
            <w:pPr>
              <w:pStyle w:val="Compact"/>
            </w:pPr>
            <w:r>
              <w:t xml:space="preserve">🟨 ~37 600 €</w:t>
            </w:r>
          </w:p>
        </w:tc>
      </w:tr>
    </w:tbl>
    <w:bookmarkEnd w:id="105"/>
    <w:bookmarkStart w:id="108" w:name="lecture-stratégique"/>
    <w:p>
      <w:pPr>
        <w:pStyle w:val="Heading3"/>
      </w:pPr>
      <w:r>
        <w:t xml:space="preserve">7.4 Lecture stratégique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Prudent</w:t>
      </w:r>
      <w:r>
        <w:t xml:space="preserve"> </w:t>
      </w:r>
      <w:r>
        <w:t xml:space="preserve">: croissance lente, pas de développeur externalisé → trésorerie confortable (~88 k€) mais montée en charge</w:t>
      </w:r>
      <w:r>
        <w:rPr>
          <w:rStyle w:val="FootnoteReference"/>
        </w:rPr>
        <w:footnoteReference w:id="106"/>
      </w:r>
      <w:r>
        <w:t xml:space="preserve"> </w:t>
      </w:r>
      <w:r>
        <w:t xml:space="preserve">limitée.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Référence</w:t>
      </w:r>
      <w:r>
        <w:t xml:space="preserve"> </w:t>
      </w:r>
      <w:r>
        <w:t xml:space="preserve">: équilibre produit / trésorerie — 1 développeur en A2, léger creux en A2, remontée en A3 🟨 (~38 k€ de trésorerie).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Ambitieux</w:t>
      </w:r>
      <w:r>
        <w:t xml:space="preserve"> </w:t>
      </w:r>
      <w:r>
        <w:t xml:space="preserve">: 5 développeurs, +30 % clients →</w:t>
      </w:r>
      <w:r>
        <w:t xml:space="preserve"> </w:t>
      </w:r>
      <w:r>
        <w:rPr>
          <w:b/>
          <w:bCs/>
        </w:rPr>
        <w:t xml:space="preserve">consommation de trésorerie</w:t>
      </w:r>
      <w:r>
        <w:rPr>
          <w:rStyle w:val="FootnoteReference"/>
        </w:rPr>
        <w:footnoteReference w:id="107"/>
      </w:r>
      <w:r>
        <w:t xml:space="preserve"> </w:t>
      </w:r>
      <w:r>
        <w:t xml:space="preserve">importante → levée de fonds ~500 k€ recommandée pour tenir 24 mois.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économie-unitaire-et-attrition"/>
    <w:p>
      <w:pPr>
        <w:pStyle w:val="Heading2"/>
      </w:pPr>
      <w:r>
        <w:t xml:space="preserve">8. Économie unitaire et attrition</w:t>
      </w:r>
    </w:p>
    <w:bookmarkStart w:id="111" w:name="X830b126fc4b2daf0dba5d6cea3d5f7e4c38e3d2"/>
    <w:p>
      <w:pPr>
        <w:pStyle w:val="Heading3"/>
      </w:pPr>
      <w:r>
        <w:t xml:space="preserve">Valeur vie client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estimée (ordre de grandeur)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3"/>
        <w:gridCol w:w="2610"/>
        <w:gridCol w:w="2436"/>
        <w:gridCol w:w="20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Revenu moyen/client TTC/mois</w:t>
            </w:r>
          </w:p>
        </w:tc>
        <w:tc>
          <w:tcPr/>
          <w:p>
            <w:pPr>
              <w:pStyle w:val="Compact"/>
            </w:pPr>
            <w:r>
              <w:t xml:space="preserve">Attrition mensuelle estimée</w:t>
            </w:r>
          </w:p>
        </w:tc>
        <w:tc>
          <w:tcPr/>
          <w:p>
            <w:pPr>
              <w:pStyle w:val="Compact"/>
            </w:pPr>
            <w:r>
              <w:t xml:space="preserve">Valeur vie client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59 €</w:t>
            </w:r>
          </w:p>
        </w:tc>
        <w:tc>
          <w:tcPr/>
          <w:p>
            <w:pPr>
              <w:pStyle w:val="Compact"/>
            </w:pPr>
            <w:r>
              <w:t xml:space="preserve">~3 %/mois</w:t>
            </w:r>
          </w:p>
        </w:tc>
        <w:tc>
          <w:tcPr/>
          <w:p>
            <w:pPr>
              <w:pStyle w:val="Compact"/>
            </w:pPr>
            <w:r>
              <w:t xml:space="preserve">~1 900 €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  <w:tc>
          <w:tcPr/>
          <w:p>
            <w:pPr>
              <w:pStyle w:val="Compact"/>
            </w:pPr>
            <w:r>
              <w:t xml:space="preserve">~1,5 %/mois</w:t>
            </w:r>
          </w:p>
        </w:tc>
        <w:tc>
          <w:tcPr/>
          <w:p>
            <w:pPr>
              <w:pStyle w:val="Compact"/>
            </w:pPr>
            <w:r>
              <w:t xml:space="preserve">~9 900 €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Valeur vie client ≈ revenu moyen par client ÷ attrition mensuelle, avec taux décroissant selon hypothèses.</w:t>
      </w:r>
    </w:p>
    <w:bookmarkEnd w:id="111"/>
    <w:bookmarkStart w:id="112" w:name="répartition-des-revenus-a3-référence"/>
    <w:p>
      <w:pPr>
        <w:pStyle w:val="Heading3"/>
      </w:pPr>
      <w:r>
        <w:t xml:space="preserve">Répartition des revenus A3 (référence)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Revenu récurrent mensuel TTC estimé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 (20)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1 180 €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(70)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10 430 €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 (5)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🟨 2 745 €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(12 % × 95)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~342 €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~13 980 €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1" w:name="stratégie-de-mise-sur-le-marchégtm"/>
    <w:p>
      <w:pPr>
        <w:pStyle w:val="Heading2"/>
      </w:pPr>
      <w:r>
        <w:t xml:space="preserve">9. Stratégie de mise sur le marché</w:t>
      </w:r>
      <w:r>
        <w:rPr>
          <w:rStyle w:val="FootnoteReference"/>
        </w:rPr>
        <w:footnoteReference w:id="114"/>
      </w:r>
    </w:p>
    <w:bookmarkStart w:id="117" w:name="phase-1-a1-validation-0-25-clients"/>
    <w:p>
      <w:pPr>
        <w:pStyle w:val="Heading3"/>
      </w:pPr>
      <w:r>
        <w:t xml:space="preserve">Phase 1 — A1 : Validation (0 → 25 clients)</w:t>
      </w:r>
    </w:p>
    <w:p>
      <w:pPr>
        <w:pStyle w:val="Compact"/>
        <w:numPr>
          <w:ilvl w:val="0"/>
          <w:numId w:val="1008"/>
        </w:numPr>
      </w:pPr>
      <w:r>
        <w:t xml:space="preserve">Essai</w:t>
      </w:r>
      <w:r>
        <w:t xml:space="preserve"> </w:t>
      </w:r>
      <w:r>
        <w:rPr>
          <w:b/>
          <w:bCs/>
        </w:rPr>
        <w:t xml:space="preserve">Étincelle</w:t>
      </w:r>
      <w:r>
        <w:t xml:space="preserve"> </w:t>
      </w:r>
      <w:r>
        <w:t xml:space="preserve">gratuit (30 j, 10 œuvres) comme</w:t>
      </w:r>
      <w:r>
        <w:t xml:space="preserve"> </w:t>
      </w:r>
      <w:r>
        <w:rPr>
          <w:b/>
          <w:bCs/>
        </w:rPr>
        <w:t xml:space="preserve">entonnoir d’acquisition</w:t>
      </w:r>
      <w:r>
        <w:rPr>
          <w:rStyle w:val="FootnoteReference"/>
        </w:rPr>
        <w:footnoteReference w:id="115"/>
      </w:r>
    </w:p>
    <w:p>
      <w:pPr>
        <w:pStyle w:val="Compact"/>
        <w:numPr>
          <w:ilvl w:val="0"/>
          <w:numId w:val="1008"/>
        </w:numPr>
      </w:pPr>
      <w:r>
        <w:t xml:space="preserve">Ciblage</w:t>
      </w:r>
      <w:r>
        <w:t xml:space="preserve"> </w:t>
      </w:r>
      <w:r>
        <w:rPr>
          <w:b/>
          <w:bCs/>
        </w:rPr>
        <w:t xml:space="preserve">centres d’art DCA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musées territoriaux</w:t>
      </w:r>
      <w:r>
        <w:t xml:space="preserve"> </w:t>
      </w:r>
      <w:r>
        <w:t xml:space="preserve">(format M, 60 œuvres/expo)</w:t>
      </w:r>
    </w:p>
    <w:p>
      <w:pPr>
        <w:pStyle w:val="Compact"/>
        <w:numPr>
          <w:ilvl w:val="0"/>
          <w:numId w:val="1008"/>
        </w:numPr>
      </w:pPr>
      <w:r>
        <w:t xml:space="preserve">Démonstrations curatorales, 5 Atelier + 10 Horizon fin A1</w:t>
      </w:r>
    </w:p>
    <w:p>
      <w:pPr>
        <w:pStyle w:val="Compact"/>
        <w:numPr>
          <w:ilvl w:val="0"/>
          <w:numId w:val="1008"/>
        </w:numPr>
      </w:pPr>
      <w:r>
        <w:t xml:space="preserve">Objectif :</w:t>
      </w:r>
      <w:r>
        <w:t xml:space="preserve"> </w:t>
      </w:r>
      <w:r>
        <w:rPr>
          <w:b/>
          <w:bCs/>
        </w:rPr>
        <w:t xml:space="preserve">50 % de conversion</w:t>
      </w:r>
      <w:r>
        <w:t xml:space="preserve"> </w:t>
      </w:r>
      <w:r>
        <w:t xml:space="preserve">Étincelle → payant</w:t>
      </w:r>
      <w:r>
        <w:rPr>
          <w:rStyle w:val="FootnoteReference"/>
        </w:rPr>
        <w:footnoteReference w:id="116"/>
      </w:r>
      <w:r>
        <w:t xml:space="preserve"> </w:t>
      </w:r>
      <w:r>
        <w:t xml:space="preserve">et rétention après l’attrition à partir de M9</w:t>
      </w:r>
    </w:p>
    <w:bookmarkEnd w:id="117"/>
    <w:bookmarkStart w:id="118" w:name="phase-2-a2-accélération-25-68-clients"/>
    <w:p>
      <w:pPr>
        <w:pStyle w:val="Heading3"/>
      </w:pPr>
      <w:r>
        <w:t xml:space="preserve">Phase 2 — A2 : Accélération (25 → 68 clients)</w:t>
      </w:r>
    </w:p>
    <w:p>
      <w:pPr>
        <w:pStyle w:val="Compact"/>
        <w:numPr>
          <w:ilvl w:val="0"/>
          <w:numId w:val="1009"/>
        </w:numPr>
      </w:pPr>
      <w:r>
        <w:t xml:space="preserve">Montée en charge</w:t>
      </w:r>
      <w:r>
        <w:t xml:space="preserve"> </w:t>
      </w:r>
      <w:r>
        <w:rPr>
          <w:b/>
          <w:bCs/>
        </w:rPr>
        <w:t xml:space="preserve">Horizon</w:t>
      </w:r>
      <w:r>
        <w:t xml:space="preserve"> </w:t>
      </w:r>
      <w:r>
        <w:t xml:space="preserve">(35 clients) — cœur de marge</w:t>
      </w:r>
    </w:p>
    <w:p>
      <w:pPr>
        <w:pStyle w:val="Compact"/>
        <w:numPr>
          <w:ilvl w:val="0"/>
          <w:numId w:val="1009"/>
        </w:numPr>
      </w:pPr>
      <w:r>
        <w:t xml:space="preserve">Premiers</w:t>
      </w:r>
      <w:r>
        <w:t xml:space="preserve"> </w:t>
      </w:r>
      <w:r>
        <w:rPr>
          <w:b/>
          <w:bCs/>
        </w:rPr>
        <w:t xml:space="preserve">Rayonnement</w:t>
      </w:r>
      <w:r>
        <w:t xml:space="preserve"> </w:t>
      </w:r>
      <w:r>
        <w:t xml:space="preserve">(2) et</w:t>
      </w:r>
      <w:r>
        <w:t xml:space="preserve"> </w:t>
      </w:r>
      <w:r>
        <w:rPr>
          <w:b/>
          <w:bCs/>
        </w:rPr>
        <w:t xml:space="preserve">Zénith</w:t>
      </w:r>
      <w:r>
        <w:t xml:space="preserve"> </w:t>
      </w:r>
      <w:r>
        <w:t xml:space="preserve">(1 × 15 k€)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développeur</w:t>
      </w:r>
      <w:r>
        <w:t xml:space="preserve"> </w:t>
      </w:r>
      <w:r>
        <w:t xml:space="preserve">sous-traité pour paiement en ligne et facturation</w:t>
      </w:r>
    </w:p>
    <w:p>
      <w:pPr>
        <w:pStyle w:val="Compact"/>
        <w:numPr>
          <w:ilvl w:val="0"/>
          <w:numId w:val="1009"/>
        </w:numPr>
      </w:pPr>
      <w:r>
        <w:t xml:space="preserve">Activation réseaux (DCA, festivals photo Arles / Perpignan)</w:t>
      </w:r>
    </w:p>
    <w:bookmarkEnd w:id="118"/>
    <w:bookmarkStart w:id="120" w:name="X83d4a8d15908a5fe7db8103344ddea395b5d12b"/>
    <w:p>
      <w:pPr>
        <w:pStyle w:val="Heading3"/>
      </w:pPr>
      <w:r>
        <w:t xml:space="preserve">Phase 3 — A3 : Déploiement régional (68 → 128 clients)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70 Horizon</w:t>
      </w:r>
      <w:r>
        <w:t xml:space="preserve"> </w:t>
      </w:r>
      <w:r>
        <w:t xml:space="preserve">— ancrage musées de province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 Rayonnement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 Zénith</w:t>
      </w:r>
      <w:r>
        <w:t xml:space="preserve"> </w:t>
      </w:r>
      <w:r>
        <w:t xml:space="preserve">— grands comptes</w:t>
      </w:r>
    </w:p>
    <w:p>
      <w:pPr>
        <w:pStyle w:val="Compact"/>
        <w:numPr>
          <w:ilvl w:val="0"/>
          <w:numId w:val="1010"/>
        </w:numPr>
      </w:pPr>
      <w:r>
        <w:t xml:space="preserve">Dépassements à 12 % —</w:t>
      </w:r>
      <w:r>
        <w:t xml:space="preserve"> </w:t>
      </w:r>
      <w:r>
        <w:rPr>
          <w:b/>
          <w:bCs/>
        </w:rPr>
        <w:t xml:space="preserve">montée en gamme</w:t>
      </w:r>
      <w:r>
        <w:rPr>
          <w:rStyle w:val="FootnoteReference"/>
        </w:rPr>
        <w:footnoteReference w:id="119"/>
      </w:r>
      <w:r>
        <w:t xml:space="preserve"> </w:t>
      </w:r>
      <w:r>
        <w:t xml:space="preserve">naturelle via quotas</w:t>
      </w:r>
    </w:p>
    <w:p>
      <w:pPr>
        <w:pStyle w:val="Compact"/>
        <w:numPr>
          <w:ilvl w:val="0"/>
          <w:numId w:val="1010"/>
        </w:numPr>
      </w:pPr>
      <w:r>
        <w:t xml:space="preserve">Extension géographique hors Île-de-France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X95ff957d15d893d9b19d41a9b10d309819d5b25"/>
    <w:p>
      <w:pPr>
        <w:pStyle w:val="Heading2"/>
      </w:pPr>
      <w:r>
        <w:t xml:space="preserve">10. Feuille de route produit (alignée sur le code 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Parcours guidé</w:t>
            </w:r>
            <w:r>
              <w:rPr>
                <w:rStyle w:val="FootnoteReference"/>
              </w:rPr>
              <w:footnoteReference w:id="122"/>
            </w:r>
            <w:r>
              <w:t xml:space="preserve"> </w:t>
            </w:r>
            <w:r>
              <w:t xml:space="preserve">de création d’œuvre</w:t>
            </w:r>
          </w:p>
        </w:tc>
        <w:tc>
          <w:tcPr/>
          <w:p>
            <w:pPr>
              <w:pStyle w:val="Compact"/>
            </w:pPr>
            <w:r>
              <w:t xml:space="preserve">✅ En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Abonnements en libre-service</w:t>
            </w:r>
            <w:r>
              <w:rPr>
                <w:rStyle w:val="FootnoteReference"/>
              </w:rPr>
              <w:footnoteReference w:id="123"/>
            </w:r>
            <w:r>
              <w:t xml:space="preserve"> </w:t>
            </w:r>
            <w:r>
              <w:t xml:space="preserve">(Étincelle → Horizon)</w:t>
            </w:r>
          </w:p>
        </w:tc>
        <w:tc>
          <w:tcPr/>
          <w:p>
            <w:pPr>
              <w:pStyle w:val="Compact"/>
            </w:pPr>
            <w:r>
              <w:t xml:space="preserve">✅ Procédure</w:t>
            </w:r>
            <w:r>
              <w:t xml:space="preserve"> </w:t>
            </w:r>
            <w:r>
              <w:rPr>
                <w:rStyle w:val="VerbatimChar"/>
              </w:rPr>
              <w:t xml:space="preserve">subscribe_organisation_plan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Statistiques émotion + carte géographique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Paiement en ligne (Stripe)</w:t>
            </w:r>
          </w:p>
        </w:tc>
        <w:tc>
          <w:tcPr/>
          <w:p>
            <w:pPr>
              <w:pStyle w:val="Compact"/>
            </w:pPr>
            <w:r>
              <w:t xml:space="preserve">🔜 Prévu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Facturation automatique des dépassements</w:t>
            </w:r>
          </w:p>
        </w:tc>
        <w:tc>
          <w:tcPr/>
          <w:p>
            <w:pPr>
              <w:pStyle w:val="Compact"/>
            </w:pPr>
            <w:r>
              <w:t xml:space="preserve">✅ Schéma</w:t>
            </w:r>
            <w:r>
              <w:t xml:space="preserve"> </w:t>
            </w:r>
            <w:r>
              <w:rPr>
                <w:rStyle w:val="VerbatimChar"/>
              </w:rPr>
              <w:t xml:space="preserve">pricing_overage_rules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🟨 Rayonnement (549 €) / Zénith — contrats sur devis</w:t>
            </w:r>
          </w:p>
        </w:tc>
        <w:tc>
          <w:tcPr/>
          <w:p>
            <w:pPr>
              <w:pStyle w:val="Compact"/>
            </w:pPr>
            <w:r>
              <w:t xml:space="preserve">🔜 Processus manuel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Expansion Union européenne (5 langues déjà supportées)</w:t>
            </w:r>
          </w:p>
        </w:tc>
        <w:tc>
          <w:tcPr/>
          <w:p>
            <w:pPr>
              <w:pStyle w:val="Compact"/>
            </w:pPr>
            <w:r>
              <w:t xml:space="preserve">🔜 Commercial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7" w:name="risques-et-mesures-correctives"/>
    <w:p>
      <w:pPr>
        <w:pStyle w:val="Heading2"/>
      </w:pPr>
      <w:r>
        <w:t xml:space="preserve">11. Risques et mesures correctives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Mesure corrective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élevée après M9</w:t>
            </w:r>
          </w:p>
        </w:tc>
        <w:tc>
          <w:tcPr/>
          <w:p>
            <w:pPr>
              <w:pStyle w:val="Compact"/>
            </w:pPr>
            <w:r>
              <w:t xml:space="preserve">Retard de croissance</w:t>
            </w:r>
          </w:p>
        </w:tc>
        <w:tc>
          <w:tcPr/>
          <w:p>
            <w:pPr>
              <w:pStyle w:val="Compact"/>
            </w:pPr>
            <w:r>
              <w:t xml:space="preserve">Accueil renforcé</w:t>
            </w:r>
            <w:r>
              <w:rPr>
                <w:rStyle w:val="FootnoteReference"/>
              </w:rPr>
              <w:footnoteReference w:id="125"/>
            </w:r>
            <w:r>
              <w:t xml:space="preserve">, plan veille hors saison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IA non maîtrisé</w:t>
            </w:r>
          </w:p>
        </w:tc>
        <w:tc>
          <w:tcPr/>
          <w:p>
            <w:pPr>
              <w:pStyle w:val="Compact"/>
            </w:pPr>
            <w:r>
              <w:t xml:space="preserve">Érosion de marge</w:t>
            </w:r>
          </w:p>
        </w:tc>
        <w:tc>
          <w:tcPr/>
          <w:p>
            <w:pPr>
              <w:pStyle w:val="Compact"/>
            </w:pPr>
            <w:r>
              <w:t xml:space="preserve">Quotas par abonnement, suivi</w:t>
            </w:r>
            <w:r>
              <w:t xml:space="preserve"> </w:t>
            </w:r>
            <w:r>
              <w:rPr>
                <w:rStyle w:val="VerbatimChar"/>
              </w:rPr>
              <w:t xml:space="preserve">ai_usage_logs</w:t>
            </w:r>
            <w:r>
              <w:t xml:space="preserve">, passage automatique à l’abonnement supérieur</w:t>
            </w:r>
            <w:r>
              <w:rPr>
                <w:rStyle w:val="FootnoteReference"/>
              </w:rPr>
              <w:footnoteReference w:id="126"/>
            </w:r>
          </w:p>
        </w:tc>
      </w:tr>
      <w:tr>
        <w:tc>
          <w:tcPr/>
          <w:p>
            <w:pPr>
              <w:pStyle w:val="Compact"/>
            </w:pPr>
            <w:r>
              <w:t xml:space="preserve">Saisonnalité des expositions</w:t>
            </w:r>
          </w:p>
        </w:tc>
        <w:tc>
          <w:tcPr/>
          <w:p>
            <w:pPr>
              <w:pStyle w:val="Compact"/>
            </w:pPr>
            <w:r>
              <w:t xml:space="preserve">Revenu récurrent instable</w:t>
            </w:r>
          </w:p>
        </w:tc>
        <w:tc>
          <w:tcPr/>
          <w:p>
            <w:pPr>
              <w:pStyle w:val="Compact"/>
            </w:pPr>
            <w:r>
              <w:t xml:space="preserve">Plan veille (19–49 €/mois), contrats annuels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Sous-traitance (référence)</w:t>
            </w:r>
          </w:p>
        </w:tc>
        <w:tc>
          <w:tcPr/>
          <w:p>
            <w:pPr>
              <w:pStyle w:val="Compact"/>
            </w:pPr>
            <w:r>
              <w:t xml:space="preserve">Creux de trésorerie en A2</w:t>
            </w:r>
          </w:p>
        </w:tc>
        <w:tc>
          <w:tcPr/>
          <w:p>
            <w:pPr>
              <w:pStyle w:val="Compact"/>
            </w:pPr>
            <w:r>
              <w:t xml:space="preserve">Décalage du recrutement ou levée préventive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Scénario ambitieux</w:t>
            </w:r>
          </w:p>
        </w:tc>
        <w:tc>
          <w:tcPr/>
          <w:p>
            <w:pPr>
              <w:pStyle w:val="Compact"/>
            </w:pPr>
            <w:r>
              <w:t xml:space="preserve">Consommation &gt; 465 k€</w:t>
            </w:r>
          </w:p>
        </w:tc>
        <w:tc>
          <w:tcPr/>
          <w:p>
            <w:pPr>
              <w:pStyle w:val="Compact"/>
            </w:pPr>
            <w:r>
              <w:t xml:space="preserve">Financement avant M7</w:t>
            </w:r>
          </w:p>
        </w:tc>
      </w:tr>
    </w:tbl>
    <w:p>
      <w:pPr>
        <w:pStyle w:val="BlockText"/>
      </w:pPr>
      <w:r>
        <w:rPr>
          <w:b/>
          <w:bCs/>
          <w:strike/>
        </w:rPr>
        <w:t xml:space="preserve">Supprimé (§11)</w:t>
      </w:r>
      <w:r>
        <w:rPr>
          <w:strike/>
        </w:rPr>
        <w:t xml:space="preserve"> </w:t>
      </w:r>
      <w:r>
        <w:rPr>
          <w:strike/>
        </w:rPr>
        <w:t xml:space="preserve">— Risque « Rayonnement non tarifé » : prévisionnel incertain, hypothèse 399 € à valider</w:t>
      </w:r>
    </w:p>
    <w:p>
      <w:r>
        <w:pict>
          <v:rect style="width:0;height:1.5pt" o:hralign="center" o:hrstd="t" o:hr="t"/>
        </w:pict>
      </w:r>
    </w:p>
    <w:bookmarkEnd w:id="127"/>
    <w:bookmarkStart w:id="130" w:name="livrables-et-prochaines-étapes"/>
    <w:p>
      <w:pPr>
        <w:pStyle w:val="Heading2"/>
      </w:pPr>
      <w:r>
        <w:t xml:space="preserve">12. Livrables et prochaines étapes</w:t>
      </w:r>
    </w:p>
    <w:bookmarkStart w:id="128" w:name="livrables-disponibles"/>
    <w:p>
      <w:pPr>
        <w:pStyle w:val="Heading3"/>
      </w:pPr>
      <w:r>
        <w:t xml:space="preserve">Livrables disponibles</w:t>
      </w:r>
    </w:p>
    <w:p>
      <w:pPr>
        <w:pStyle w:val="Compact"/>
        <w:numPr>
          <w:ilvl w:val="0"/>
          <w:numId w:val="1011"/>
        </w:numPr>
      </w:pPr>
      <w:r>
        <w:t xml:space="preserve">Plan d’affaires complet (ce document)</w:t>
      </w:r>
    </w:p>
    <w:p>
      <w:pPr>
        <w:pStyle w:val="Compact"/>
        <w:numPr>
          <w:ilvl w:val="0"/>
          <w:numId w:val="1012"/>
        </w:numPr>
      </w:pPr>
      <w:r>
        <w:t xml:space="preserve">Index des annexes A et B (</w:t>
      </w:r>
      <w:r>
        <w:rPr>
          <w:rStyle w:val="VerbatimChar"/>
        </w:rPr>
        <w:t xml:space="preserve">business-plan-index-annexes.docx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Visuels du dossier — 14 graphiques (</w:t>
      </w:r>
      <w:r>
        <w:rPr>
          <w:rStyle w:val="VerbatimChar"/>
        </w:rPr>
        <w:t xml:space="preserve">docs/assets/bp/</w:t>
      </w:r>
      <w:r>
        <w:t xml:space="preserve">, script</w:t>
      </w:r>
      <w:r>
        <w:t xml:space="preserve"> </w:t>
      </w:r>
      <w:r>
        <w:rPr>
          <w:rStyle w:val="VerbatimChar"/>
        </w:rPr>
        <w:t xml:space="preserve">scripts/generate_bp_charts.py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Export Excel 36 mois — 3 scénarios (</w:t>
      </w:r>
      <w:r>
        <w:rPr>
          <w:rStyle w:val="VerbatimChar"/>
        </w:rPr>
        <w:t xml:space="preserve">business-plan-previsionnel-36m-new.xlsx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Présentation investisseur 10 slides (</w:t>
      </w:r>
      <w:r>
        <w:rPr>
          <w:rStyle w:val="VerbatimChar"/>
        </w:rPr>
        <w:t xml:space="preserve">pitch-investisseur-aimediart.md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Dossier BPI / French Tech</w:t>
      </w:r>
    </w:p>
    <w:bookmarkEnd w:id="128"/>
    <w:bookmarkStart w:id="129" w:name="à-valider"/>
    <w:p>
      <w:pPr>
        <w:pStyle w:val="Heading3"/>
      </w:pPr>
      <w:r>
        <w:t xml:space="preserve">À valider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Coût IA moyen par client</w:t>
      </w:r>
      <w:r>
        <w:t xml:space="preserve"> </w:t>
      </w:r>
      <w:r>
        <w:t xml:space="preserve">(données</w:t>
      </w:r>
      <w:r>
        <w:t xml:space="preserve"> </w:t>
      </w:r>
      <w:r>
        <w:rPr>
          <w:rStyle w:val="VerbatimChar"/>
        </w:rPr>
        <w:t xml:space="preserve">SettingsCouts</w:t>
      </w:r>
      <w:r>
        <w:t xml:space="preserve">)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 exacte</w:t>
      </w:r>
      <w:r>
        <w:t xml:space="preserve"> </w:t>
      </w:r>
      <w:r>
        <w:t xml:space="preserve">de démarrage de la sous-traitance (M13 retenu en référence)</w:t>
      </w:r>
    </w:p>
    <w:p>
      <w:pPr>
        <w:pStyle w:val="BlockText"/>
      </w:pPr>
      <w:r>
        <w:rPr>
          <w:b/>
          <w:bCs/>
          <w:strike/>
        </w:rPr>
        <w:t xml:space="preserve">Supprimé (§12)</w:t>
      </w:r>
      <w:r>
        <w:rPr>
          <w:strike/>
        </w:rPr>
        <w:t xml:space="preserve"> </w:t>
      </w:r>
      <w:r>
        <w:rPr>
          <w:strike/>
        </w:rPr>
        <w:t xml:space="preserve">— À valider : « Prix Rayonnement mensuel de référence »</w:t>
      </w:r>
      <w:r>
        <w:t xml:space="preserve"> </w:t>
      </w:r>
      <w:r>
        <w:t xml:space="preserve">→ validé :</w:t>
      </w:r>
      <w:r>
        <w:t xml:space="preserve"> </w:t>
      </w:r>
      <w:r>
        <w:rPr>
          <w:b/>
          <w:bCs/>
        </w:rPr>
        <w:t xml:space="preserve">549 € / 6 039 €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annexe-a-méthodologie-de-calcul"/>
    <w:p>
      <w:pPr>
        <w:pStyle w:val="Heading2"/>
      </w:pPr>
      <w:r>
        <w:t xml:space="preserve">Annexe A — Méthodologie de calcul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Montée progressive linéaire</w:t>
      </w:r>
      <w:r>
        <w:rPr>
          <w:rStyle w:val="FootnoteReference"/>
        </w:rPr>
        <w:footnoteReference w:id="131"/>
      </w:r>
      <w:r>
        <w:t xml:space="preserve"> </w:t>
      </w:r>
      <w:r>
        <w:t xml:space="preserve">des effectifs payants sur chaque année, ajustement</w:t>
      </w:r>
      <w:r>
        <w:rPr>
          <w:rStyle w:val="FootnoteReference"/>
        </w:rPr>
        <w:footnoteReference w:id="132"/>
      </w:r>
      <w:r>
        <w:t xml:space="preserve"> </w:t>
      </w:r>
      <w:r>
        <w:t xml:space="preserve">en fin d’année aux cibles du tableau d’hypothèses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Attrition</w:t>
      </w:r>
      <w:r>
        <w:t xml:space="preserve"> </w:t>
      </w:r>
      <w:r>
        <w:t xml:space="preserve">appliquée à partir du mois 9, taux diminuant de 10 % par mois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Facturation annuelle</w:t>
      </w:r>
      <w:r>
        <w:t xml:space="preserve"> </w:t>
      </w:r>
      <w:r>
        <w:t xml:space="preserve">: coefficient 11/12 sur la part non mensuelle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Zénith</w:t>
      </w:r>
      <w:r>
        <w:t xml:space="preserve"> </w:t>
      </w:r>
      <w:r>
        <w:t xml:space="preserve">: 1 contrat à 15 000 € TTC en A2 ; 2 contrats à 17 000 € TTC en A3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TVA</w:t>
      </w:r>
      <w:r>
        <w:t xml:space="preserve"> </w:t>
      </w:r>
      <w:r>
        <w:t xml:space="preserve">: chiffre d’affaires présenté HT ; charges HT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Scénarios</w:t>
      </w:r>
      <w:r>
        <w:t xml:space="preserve"> </w:t>
      </w:r>
      <w:r>
        <w:t xml:space="preserve">: effectifs clients × 0,70 / × 1,00 / × 1,30</w:t>
      </w:r>
    </w:p>
    <w:p>
      <w:r>
        <w:pict>
          <v:rect style="width:0;height:1.5pt" o:hralign="center" o:hrstd="t" o:hr="t"/>
        </w:pict>
      </w:r>
    </w:p>
    <w:bookmarkEnd w:id="133"/>
    <w:bookmarkStart w:id="134" w:name="annexe-b-références-projet"/>
    <w:p>
      <w:pPr>
        <w:pStyle w:val="Heading2"/>
      </w:pPr>
      <w:r>
        <w:t xml:space="preserve">Annexe B — Références projet</w:t>
      </w:r>
    </w:p>
    <w:p>
      <w:pPr>
        <w:pStyle w:val="FirstParagraph"/>
      </w:pPr>
      <w:r>
        <w:rPr>
          <w:i/>
          <w:iCs/>
        </w:rPr>
        <w:t xml:space="preserve">Index détaillé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docs/business-plan-index-annexes.docx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Fichier /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Grille tarifaire initiale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supabase/migrations/migration_79_pricing_billing_schema.sql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Abonnements Zénith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20260619120100_pricing_five_plans_zenith.sql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Plaidoyer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et propriété intellectuelle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docs/enveloppe-e-soleau-aimediart.md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Générateur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scripts/generate_bp_excel.py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notes-de-bas-de-page-glossaire"/>
    <w:p>
      <w:pPr>
        <w:pStyle w:val="Heading2"/>
      </w:pPr>
      <w:r>
        <w:t xml:space="preserve">Notes de bas de page — Glossaire</w:t>
      </w:r>
    </w:p>
    <w:p>
      <w:pPr>
        <w:pStyle w:val="FirstParagraph"/>
      </w:pPr>
      <w:r>
        <w:rPr>
          <w:i/>
          <w:iCs/>
        </w:rPr>
        <w:t xml:space="preserve">Les termes français sont privilégiés dans le texte ; les équivalents anglo-saxons courants en finance et en tech sont rappelés entre parenthèses.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à partir des hypothèses du plan d’affaires et de l’étude marché fournies — juin 2026.</w:t>
      </w:r>
    </w:p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(angl.) — signature ou slogan de marque ; ici :</w:t>
      </w:r>
      <w:r>
        <w:t xml:space="preserve"> </w:t>
      </w:r>
      <w:r>
        <w:rPr>
          <w:i/>
          <w:iCs/>
        </w:rPr>
        <w:t xml:space="preserve">Art-mediation with AI</w:t>
      </w:r>
      <w:r>
        <w:t xml:space="preserve"> </w:t>
      </w:r>
      <w:r>
        <w:t xml:space="preserve">(« médiation artistique avec IA »).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Plan d’affaires</w:t>
      </w:r>
      <w:r>
        <w:t xml:space="preserve"> </w:t>
      </w:r>
      <w:r>
        <w:t xml:space="preserve">(</w:t>
      </w:r>
      <w:r>
        <w:rPr>
          <w:i/>
          <w:iCs/>
        </w:rPr>
        <w:t xml:space="preserve">business plan</w:t>
      </w:r>
      <w:r>
        <w:t xml:space="preserve">) — document de synthèse stratégique, commerciale et financière.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Logiciel en ligne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, SaaS) — application hébergée, accessible par abonnement sans installation.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Professionnel à professionnel</w:t>
      </w:r>
      <w:r>
        <w:t xml:space="preserve"> </w:t>
      </w:r>
      <w:r>
        <w:t xml:space="preserve">(</w:t>
      </w:r>
      <w:r>
        <w:rPr>
          <w:i/>
          <w:iCs/>
        </w:rPr>
        <w:t xml:space="preserve">Business to Business</w:t>
      </w:r>
      <w:r>
        <w:t xml:space="preserve">, B2B) — vente à des institutions ou entreprises, non au grand public.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exécutive</w:t>
      </w:r>
      <w:r>
        <w:t xml:space="preserve"> </w:t>
      </w:r>
      <w:r>
        <w:t xml:space="preserve">(</w:t>
      </w:r>
      <w:r>
        <w:rPr>
          <w:i/>
          <w:iCs/>
        </w:rPr>
        <w:t xml:space="preserve">executive summary</w:t>
      </w:r>
      <w:r>
        <w:t xml:space="preserve">) — résumé en tête de document pour les décideurs.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Logiciel en ligne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, SaaS) — application hébergée, accessible par abonnement sans installation.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Code QR</w:t>
      </w:r>
      <w:r>
        <w:t xml:space="preserve"> </w:t>
      </w:r>
      <w:r>
        <w:t xml:space="preserve">— code-barres bidimensionnel scanné par le visiteur pour accéder à la médiation numérique.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mensuel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, MRR) — somme des abonnements et options facturés chaque mois.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Excédent brut d’exploitation</w:t>
      </w:r>
      <w:r>
        <w:t xml:space="preserve"> </w:t>
      </w:r>
      <w:r>
        <w:t xml:space="preserve">(</w:t>
      </w:r>
      <w:r>
        <w:rPr>
          <w:i/>
          <w:iCs/>
        </w:rPr>
        <w:t xml:space="preserve">EBITDA</w:t>
      </w:r>
      <w:r>
        <w:t xml:space="preserve">) — résultat avant intérêts, impôts, dépréciations et amortissements ; indicateur de performance opérationnelle.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Opérationnel</w:t>
      </w:r>
      <w:r>
        <w:t xml:space="preserve"> </w:t>
      </w:r>
      <w:r>
        <w:t xml:space="preserve">(</w:t>
      </w:r>
      <w:r>
        <w:rPr>
          <w:i/>
          <w:iCs/>
        </w:rPr>
        <w:t xml:space="preserve">live</w:t>
      </w:r>
      <w:r>
        <w:t xml:space="preserve">) — produit déployé et utilisable en conditions réelles.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vocale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, TTS) — conversion automatique des textes en audioguides.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(</w:t>
      </w:r>
      <w:r>
        <w:rPr>
          <w:i/>
          <w:iCs/>
        </w:rPr>
        <w:t xml:space="preserve">app</w:t>
      </w:r>
      <w:r>
        <w:t xml:space="preserve">, abrév. de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) — logiciel sur téléphone ; ici volontairement non requis pour le visiteur.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Suivi GPS</w:t>
      </w:r>
      <w:r>
        <w:t xml:space="preserve"> </w:t>
      </w:r>
      <w:r>
        <w:t xml:space="preserve">(</w:t>
      </w:r>
      <w:r>
        <w:rPr>
          <w:i/>
          <w:iCs/>
        </w:rPr>
        <w:t xml:space="preserve">tracking</w:t>
      </w:r>
      <w:r>
        <w:t xml:space="preserve">) — géolocalisation continue du téléphone ; AIMEDIArt s’en dispense (adresse postale ou adresse IP uniquement).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ACCR</w:t>
      </w:r>
      <w:r>
        <w:t xml:space="preserve"> </w:t>
      </w:r>
      <w:r>
        <w:t xml:space="preserve">— Association des Centres Culturels de Rencontre ; 43 centres dans 15 pays.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Expositions à fort succès</w:t>
      </w:r>
      <w:r>
        <w:t xml:space="preserve"> </w:t>
      </w:r>
      <w:r>
        <w:t xml:space="preserve">(</w:t>
      </w:r>
      <w:r>
        <w:rPr>
          <w:i/>
          <w:iCs/>
        </w:rPr>
        <w:t xml:space="preserve">blockbusters</w:t>
      </w:r>
      <w:r>
        <w:t xml:space="preserve">) — rétrospectives à très forte affluence, format « L » (~180 œuvres).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Marché total</w:t>
      </w:r>
      <w:r>
        <w:t xml:space="preserve"> </w:t>
      </w:r>
      <w:r>
        <w:t xml:space="preserve">(</w:t>
      </w:r>
      <w:r>
        <w:rPr>
          <w:i/>
          <w:iCs/>
        </w:rPr>
        <w:t xml:space="preserve">Total Addressable Market</w:t>
      </w:r>
      <w:r>
        <w:t xml:space="preserve">, TAM) — potentiel théorique maximal (~27 000 expositions/an en France).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Marché adressable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Addressable Market</w:t>
      </w:r>
      <w:r>
        <w:t xml:space="preserve">, SAM) — segment réalistement ciblable (~3 500–4 000 structures).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Haut de gamme</w:t>
      </w:r>
      <w:r>
        <w:t xml:space="preserve"> </w:t>
      </w:r>
      <w:r>
        <w:t xml:space="preserve">(</w:t>
      </w:r>
      <w:r>
        <w:rPr>
          <w:i/>
          <w:iCs/>
        </w:rPr>
        <w:t xml:space="preserve">premium</w:t>
      </w:r>
      <w:r>
        <w:t xml:space="preserve">) — structures à fort potentiel de revenu ou de visibilité.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FRAC</w:t>
      </w:r>
      <w:r>
        <w:t xml:space="preserve"> </w:t>
      </w:r>
      <w:r>
        <w:t xml:space="preserve">— Fonds régionaux d’art contemporain ; 28 collections publiques en France.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Part de marché capturable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Obtainable Market</w:t>
      </w:r>
      <w:r>
        <w:t xml:space="preserve">, SOM) — objectif atteignable à 3 ans (95 clients payants en scénario de référence).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Île-de-France</w:t>
      </w:r>
      <w:r>
        <w:t xml:space="preserve"> </w:t>
      </w:r>
      <w:r>
        <w:t xml:space="preserve">— région concentrant ~47 % de l’offre d’expositions.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Canevas du modèle économique</w:t>
      </w:r>
      <w:r>
        <w:t xml:space="preserve"> </w:t>
      </w:r>
      <w:r>
        <w:t xml:space="preserve">(</w:t>
      </w:r>
      <w:r>
        <w:rPr>
          <w:i/>
          <w:iCs/>
        </w:rPr>
        <w:t xml:space="preserve">Business Model Canvas</w:t>
      </w:r>
      <w:r>
        <w:t xml:space="preserve">) — schéma en 9 blocs : segments, offre, canaux, revenus, coûts, etc.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Association pour la Documentation et la Recherche en Centres d’Art ; 51 centres d’art contemporain en France (~1,6 M visiteurs/an).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ICOM</w:t>
      </w:r>
      <w:r>
        <w:t xml:space="preserve"> </w:t>
      </w:r>
      <w:r>
        <w:t xml:space="preserve">— Conseil international des musées (</w:t>
      </w:r>
      <w:r>
        <w:rPr>
          <w:i/>
          <w:iCs/>
        </w:rPr>
        <w:t xml:space="preserve">International Council of Museums</w:t>
      </w:r>
      <w:r>
        <w:t xml:space="preserve">) ; siège à Paris.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NEMO</w:t>
      </w:r>
      <w:r>
        <w:t xml:space="preserve"> </w:t>
      </w:r>
      <w:r>
        <w:t xml:space="preserve">— Réseau des organisations européennes de musées (</w:t>
      </w:r>
      <w:r>
        <w:rPr>
          <w:i/>
          <w:iCs/>
        </w:rPr>
        <w:t xml:space="preserve">Network of European Museum Organisations</w:t>
      </w:r>
      <w:r>
        <w:t xml:space="preserve">) ; siège à Berlin.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ACCR</w:t>
      </w:r>
      <w:r>
        <w:t xml:space="preserve"> </w:t>
      </w:r>
      <w:r>
        <w:t xml:space="preserve">— Association des Centres Culturels de Rencontre ; 43 centres dans 15 pays.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— plateforme d’infrastructure cloud (base PostgreSQL, authentification, stockage).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Fonctions serveur</w:t>
      </w:r>
      <w:r>
        <w:t xml:space="preserve"> </w:t>
      </w:r>
      <w:r>
        <w:t xml:space="preserve">(</w:t>
      </w:r>
      <w:r>
        <w:rPr>
          <w:i/>
          <w:iCs/>
        </w:rPr>
        <w:t xml:space="preserve">Edge Functions</w:t>
      </w:r>
      <w:r>
        <w:t xml:space="preserve">) — micro-programmes exécutés côté hébergeur, à la demande.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Synthèse vocale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, TTS) — conversion automatique des textes en audioguides.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Facturation</w:t>
      </w:r>
      <w:r>
        <w:t xml:space="preserve"> </w:t>
      </w:r>
      <w:r>
        <w:t xml:space="preserve">(</w:t>
      </w:r>
      <w:r>
        <w:rPr>
          <w:i/>
          <w:iCs/>
        </w:rPr>
        <w:t xml:space="preserve">billing</w:t>
      </w:r>
      <w:r>
        <w:t xml:space="preserve">) — ensemble des processus de tarification, encaissement et suivi des abonnements.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Coûts directs de service</w:t>
      </w:r>
      <w:r>
        <w:t xml:space="preserve"> </w:t>
      </w:r>
      <w:r>
        <w:t xml:space="preserve">(</w:t>
      </w:r>
      <w:r>
        <w:rPr>
          <w:i/>
          <w:iCs/>
        </w:rPr>
        <w:t xml:space="preserve">Cost of Goods Sold</w:t>
      </w:r>
      <w:r>
        <w:t xml:space="preserve">, COGS) — dépenses variables liées à la production du service (appels IA, hébergement à l’usage).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TVA</w:t>
      </w:r>
      <w:r>
        <w:t xml:space="preserve"> </w:t>
      </w:r>
      <w:r>
        <w:t xml:space="preserve">— taxe sur la valeur ajoutée (20 % en France).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Attrition</w:t>
      </w:r>
      <w:r>
        <w:t xml:space="preserve"> </w:t>
      </w:r>
      <w:r>
        <w:t xml:space="preserve">(</w:t>
      </w:r>
      <w:r>
        <w:rPr>
          <w:i/>
          <w:iCs/>
        </w:rPr>
        <w:t xml:space="preserve">churn</w:t>
      </w:r>
      <w:r>
        <w:t xml:space="preserve">) — proportion de clients qui résilient chaque mois (5 % initial à M9, puis décroissance de 10 %/mois sur le taux).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Conversion Étincelle → payant</w:t>
      </w:r>
      <w:r>
        <w:t xml:space="preserve"> </w:t>
      </w:r>
      <w:r>
        <w:t xml:space="preserve">— part des organisations en essai gratuit qui souscrivent un abonnement payant ;</w:t>
      </w:r>
      <w:r>
        <w:t xml:space="preserve"> </w:t>
      </w:r>
      <w:r>
        <w:rPr>
          <w:b/>
          <w:bCs/>
        </w:rPr>
        <w:t xml:space="preserve">cible fixée à 50 %</w:t>
      </w:r>
      <w:r>
        <w:t xml:space="preserve"> </w:t>
      </w:r>
      <w:r>
        <w:t xml:space="preserve">sur les trois années du prévisionnel.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Taux journalier moyen</w:t>
      </w:r>
      <w:r>
        <w:t xml:space="preserve"> </w:t>
      </w:r>
      <w:r>
        <w:t xml:space="preserve">(</w:t>
      </w:r>
      <w:r>
        <w:rPr>
          <w:i/>
          <w:iCs/>
        </w:rPr>
        <w:t xml:space="preserve">TJM</w:t>
      </w:r>
      <w:r>
        <w:t xml:space="preserve">) — prix d’une journée de prestation ; ici 450 € HT × 10 j/mois = 4 500 € HT/mois.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Taux journalier moyen</w:t>
      </w:r>
      <w:r>
        <w:t xml:space="preserve"> </w:t>
      </w:r>
      <w:r>
        <w:t xml:space="preserve">(</w:t>
      </w:r>
      <w:r>
        <w:rPr>
          <w:i/>
          <w:iCs/>
        </w:rPr>
        <w:t xml:space="preserve">TJM</w:t>
      </w:r>
      <w:r>
        <w:t xml:space="preserve">) — prix d’une journée de prestation ; ici 450 € HT × 10 j/mois = 4 500 € HT/mois.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Excédent brut d’exploitation</w:t>
      </w:r>
      <w:r>
        <w:t xml:space="preserve"> </w:t>
      </w:r>
      <w:r>
        <w:t xml:space="preserve">(</w:t>
      </w:r>
      <w:r>
        <w:rPr>
          <w:i/>
          <w:iCs/>
        </w:rPr>
        <w:t xml:space="preserve">EBITDA</w:t>
      </w:r>
      <w:r>
        <w:t xml:space="preserve">) — résultat avant intérêts, impôts, dépréciations et amortissements ; indicateur de performance opérationnelle.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Indicateur clé de performance</w:t>
      </w:r>
      <w:r>
        <w:t xml:space="preserve"> </w:t>
      </w:r>
      <w:r>
        <w:t xml:space="preserve">(</w:t>
      </w:r>
      <w:r>
        <w:rPr>
          <w:i/>
          <w:iCs/>
        </w:rPr>
        <w:t xml:space="preserve">Key Performance Indicator</w:t>
      </w:r>
      <w:r>
        <w:t xml:space="preserve">, KPI).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mensuel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, MRR) — somme des abonnements et options facturés chaque mois.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récurrent annuel</w:t>
      </w:r>
      <w:r>
        <w:t xml:space="preserve"> </w:t>
      </w:r>
      <w:r>
        <w:t xml:space="preserve">(</w:t>
      </w:r>
      <w:r>
        <w:rPr>
          <w:i/>
          <w:iCs/>
        </w:rPr>
        <w:t xml:space="preserve">Annual Recurring Revenue</w:t>
      </w:r>
      <w:r>
        <w:t xml:space="preserve">, ARR) — revenu récurrent mensuel × 12.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Revenu moyen par client</w:t>
      </w:r>
      <w:r>
        <w:t xml:space="preserve"> </w:t>
      </w:r>
      <w:r>
        <w:t xml:space="preserve">(</w:t>
      </w:r>
      <w:r>
        <w:rPr>
          <w:i/>
          <w:iCs/>
        </w:rPr>
        <w:t xml:space="preserve">Average Revenue Per User</w:t>
      </w:r>
      <w:r>
        <w:t xml:space="preserve">, ARPU) — chiffre d’affaires récurrent divisé par le nombre de clients payants.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en charge</w:t>
      </w:r>
      <w:r>
        <w:t xml:space="preserve"> </w:t>
      </w:r>
      <w:r>
        <w:t xml:space="preserve">(</w:t>
      </w:r>
      <w:r>
        <w:rPr>
          <w:i/>
          <w:iCs/>
        </w:rPr>
        <w:t xml:space="preserve">scale</w:t>
      </w:r>
      <w:r>
        <w:t xml:space="preserve">) — passage à plus grande échelle (clients, revenus, équipe).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Consommation de trésorerie</w:t>
      </w:r>
      <w:r>
        <w:t xml:space="preserve"> </w:t>
      </w:r>
      <w:r>
        <w:t xml:space="preserve">(</w:t>
      </w:r>
      <w:r>
        <w:rPr>
          <w:i/>
          <w:iCs/>
        </w:rPr>
        <w:t xml:space="preserve">burn rate</w:t>
      </w:r>
      <w:r>
        <w:t xml:space="preserve">,</w:t>
      </w:r>
      <w:r>
        <w:t xml:space="preserve"> </w:t>
      </w:r>
      <w:r>
        <w:rPr>
          <w:i/>
          <w:iCs/>
        </w:rPr>
        <w:t xml:space="preserve">cash burn</w:t>
      </w:r>
      <w:r>
        <w:t xml:space="preserve">) — perte nette de cash par mois lorsque les charges dépassent les encaissements.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Valeur vie client</w:t>
      </w:r>
      <w:r>
        <w:t xml:space="preserve"> </w:t>
      </w:r>
      <w:r>
        <w:t xml:space="preserve">(</w:t>
      </w:r>
      <w:r>
        <w:rPr>
          <w:i/>
          <w:iCs/>
        </w:rPr>
        <w:t xml:space="preserve">Lifetime Value</w:t>
      </w:r>
      <w:r>
        <w:t xml:space="preserve">, LTV) — revenu total estimé sur toute la durée de relation avec un client.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Mise sur le marché</w:t>
      </w:r>
      <w:r>
        <w:t xml:space="preserve"> </w:t>
      </w:r>
      <w:r>
        <w:t xml:space="preserve">(</w:t>
      </w:r>
      <w:r>
        <w:rPr>
          <w:i/>
          <w:iCs/>
        </w:rPr>
        <w:t xml:space="preserve">go-to-market</w:t>
      </w:r>
      <w:r>
        <w:t xml:space="preserve">, GTM) — stratégie commerciale et opérationnelle de lancement et de croissance.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Entonnoir d’acquisition</w:t>
      </w:r>
      <w:r>
        <w:t xml:space="preserve"> </w:t>
      </w:r>
      <w:r>
        <w:t xml:space="preserve">(</w:t>
      </w:r>
      <w:r>
        <w:rPr>
          <w:i/>
          <w:iCs/>
        </w:rPr>
        <w:t xml:space="preserve">funnel</w:t>
      </w:r>
      <w:r>
        <w:t xml:space="preserve">) — parcours de conversion des prospects (essai gratuit → client payant).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Conversion Étincelle → payant</w:t>
      </w:r>
      <w:r>
        <w:t xml:space="preserve"> </w:t>
      </w:r>
      <w:r>
        <w:t xml:space="preserve">— part des organisations en essai gratuit qui souscrivent un abonnement payant ;</w:t>
      </w:r>
      <w:r>
        <w:t xml:space="preserve"> </w:t>
      </w:r>
      <w:r>
        <w:rPr>
          <w:b/>
          <w:bCs/>
        </w:rPr>
        <w:t xml:space="preserve">cible fixée à 50 %</w:t>
      </w:r>
      <w:r>
        <w:t xml:space="preserve"> </w:t>
      </w:r>
      <w:r>
        <w:t xml:space="preserve">sur les trois années du prévisionnel.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en gamme</w:t>
      </w:r>
      <w:r>
        <w:t xml:space="preserve"> </w:t>
      </w:r>
      <w:r>
        <w:t xml:space="preserve">(</w:t>
      </w:r>
      <w:r>
        <w:rPr>
          <w:i/>
          <w:iCs/>
        </w:rPr>
        <w:t xml:space="preserve">upsell</w:t>
      </w:r>
      <w:r>
        <w:t xml:space="preserve">) — vente d’un abonnement supérieur ou d’options additionnelles.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Parcours guidé</w:t>
      </w:r>
      <w:r>
        <w:t xml:space="preserve"> </w:t>
      </w:r>
      <w:r>
        <w:t xml:space="preserve">(</w:t>
      </w:r>
      <w:r>
        <w:rPr>
          <w:i/>
          <w:iCs/>
        </w:rPr>
        <w:t xml:space="preserve">workflow</w:t>
      </w:r>
      <w:r>
        <w:t xml:space="preserve">) — enchaînement d’étapes dans l’interface (identité → analyse → médiation → audio → QR).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Libre-service</w:t>
      </w:r>
      <w:r>
        <w:t xml:space="preserve"> </w:t>
      </w:r>
      <w:r>
        <w:t xml:space="preserve">(</w:t>
      </w:r>
      <w:r>
        <w:rPr>
          <w:i/>
          <w:iCs/>
        </w:rPr>
        <w:t xml:space="preserve">self-service</w:t>
      </w:r>
      <w:r>
        <w:t xml:space="preserve">) — souscription et gestion sans intervention manuelle de l’éditeur.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Accueil et prise en main</w:t>
      </w:r>
      <w:r>
        <w:t xml:space="preserve"> </w:t>
      </w:r>
      <w:r>
        <w:t xml:space="preserve">(</w:t>
      </w:r>
      <w:r>
        <w:rPr>
          <w:i/>
          <w:iCs/>
        </w:rPr>
        <w:t xml:space="preserve">onboarding</w:t>
      </w:r>
      <w:r>
        <w:t xml:space="preserve">) — accompagnement des nouveaux clients à l’adoption du produit.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Passage à l’abonnement supérieur</w:t>
      </w:r>
      <w:r>
        <w:t xml:space="preserve"> </w:t>
      </w:r>
      <w:r>
        <w:t xml:space="preserve">(</w:t>
      </w:r>
      <w:r>
        <w:rPr>
          <w:i/>
          <w:iCs/>
        </w:rPr>
        <w:t xml:space="preserve">upgrade</w:t>
      </w:r>
      <w:r>
        <w:t xml:space="preserve">) — migration automatique ou recommandée vers un plan plus complet.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Montée progressive linéaire</w:t>
      </w:r>
      <w:r>
        <w:t xml:space="preserve"> </w:t>
      </w:r>
      <w:r>
        <w:t xml:space="preserve">(</w:t>
      </w:r>
      <w:r>
        <w:rPr>
          <w:i/>
          <w:iCs/>
        </w:rPr>
        <w:t xml:space="preserve">ramp-up</w:t>
      </w:r>
      <w:r>
        <w:t xml:space="preserve">) — augmentation régulière des effectifs clients mois par mois jusqu’à la cible annuelle.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Ajustement</w:t>
      </w:r>
      <w:r>
        <w:t xml:space="preserve"> </w:t>
      </w:r>
      <w:r>
        <w:t xml:space="preserve">(</w:t>
      </w:r>
      <w:r>
        <w:rPr>
          <w:i/>
          <w:iCs/>
        </w:rPr>
        <w:t xml:space="preserve">snap</w:t>
      </w:r>
      <w:r>
        <w:t xml:space="preserve">) — recalage des chiffres en fin de période sur la cible fixée.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73" Target="media/rId73.png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92" Target="media/rId92.png" /><Relationship Type="http://schemas.openxmlformats.org/officeDocument/2006/relationships/image" Id="rId31" Target="media/rId3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2026-06-23T08:29:15Z</dcterms:created>
  <dcterms:modified xsi:type="dcterms:W3CDTF">2026-06-23T08:29:15Z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