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aptionedFigure"/>
      </w:pPr>
      <w:r>
        <w:drawing>
          <wp:inline>
            <wp:extent cx="5334000" cy="1277604"/>
            <wp:effectExtent b="0" l="0" r="0" t="0"/>
            <wp:docPr descr="AIMEDIArt — signe distinctif" title="" id="10" name="Picture"/>
            <a:graphic>
              <a:graphicData uri="http://schemas.openxmlformats.org/drawingml/2006/picture">
                <pic:pic>
                  <pic:nvPicPr>
                    <pic:cNvPr descr="../public/brand/aimediart-logo-block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7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AIMEDIArt — signe distinctif</w:t>
      </w:r>
    </w:p>
    <w:p>
      <w:pPr>
        <w:pStyle w:val="BodyText"/>
      </w:pPr>
      <w:r>
        <w:rPr>
          <w:b/>
          <w:bCs/>
        </w:rPr>
        <w:t xml:space="preserve">Art-mediation with AI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Dénomination</w:t>
            </w:r>
          </w:p>
        </w:tc>
        <w:tc>
          <w:tcPr/>
          <w:p>
            <w:pPr>
              <w:pStyle w:val="Compact"/>
            </w:pPr>
            <w:r>
              <w:t xml:space="preserve">AIMEDIArt (AIMEDIArt.com)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Index des annexes — dossier plan d’affaires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juin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Signe distinctif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aimediart-logo-block</w:t>
            </w:r>
            <w:r>
              <w:t xml:space="preserve"> </w:t>
            </w:r>
            <w:r>
              <w:t xml:space="preserve">— pictogramme cœur (#E63946) · logotype AIMEDIArt.com · baseline</w:t>
            </w:r>
            <w:r>
              <w:t xml:space="preserve"> </w:t>
            </w:r>
            <w:r>
              <w:rPr>
                <w:i/>
                <w:iCs/>
              </w:rPr>
              <w:t xml:space="preserve">Art-mediation with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Rédaction</w:t>
            </w:r>
          </w:p>
        </w:tc>
        <w:tc>
          <w:tcPr/>
          <w:p>
            <w:pPr>
              <w:pStyle w:val="Compact"/>
            </w:pPr>
            <w:r>
              <w:t xml:space="preserve">DUPONT Fabien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parent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docs/business-plan-aimediart.md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docs/business-plan-aimediart.docx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778997605ad28a6c8f609ea1fcb90ca4d050949"/>
    <w:p>
      <w:pPr>
        <w:pStyle w:val="Heading1"/>
      </w:pPr>
      <w:r>
        <w:t xml:space="preserve">Index des annexes — Plan d’affaires AIMEDIArt</w:t>
      </w:r>
    </w:p>
    <w:p>
      <w:pPr>
        <w:pStyle w:val="FirstParagraph"/>
      </w:pPr>
      <w:r>
        <w:rPr>
          <w:b/>
          <w:bCs/>
        </w:rPr>
        <w:t xml:space="preserve">Dossier de référence — juin 2026</w:t>
      </w:r>
    </w:p>
    <w:p>
      <w:pPr>
        <w:pStyle w:val="BodyText"/>
      </w:pPr>
      <w:r>
        <w:t xml:space="preserve">Ce document recense l’ensemble des pièces du dossier plan d’affaires. Il complète le document principal en détaillant la</w:t>
      </w:r>
      <w:r>
        <w:t xml:space="preserve"> </w:t>
      </w:r>
      <w:r>
        <w:rPr>
          <w:b/>
          <w:bCs/>
        </w:rPr>
        <w:t xml:space="preserve">méthodologie de calcul</w:t>
      </w:r>
      <w:r>
        <w:t xml:space="preserve"> </w:t>
      </w:r>
      <w:r>
        <w:t xml:space="preserve">(annexe A) et les</w:t>
      </w:r>
      <w:r>
        <w:t xml:space="preserve"> </w:t>
      </w:r>
      <w:r>
        <w:rPr>
          <w:b/>
          <w:bCs/>
        </w:rPr>
        <w:t xml:space="preserve">références projet</w:t>
      </w:r>
      <w:r>
        <w:t xml:space="preserve"> </w:t>
      </w:r>
      <w:r>
        <w:t xml:space="preserve">(annexe B), ainsi que les livrables associés.</w:t>
      </w:r>
    </w:p>
    <w:p>
      <w:r>
        <w:pict>
          <v:rect style="width:0;height:1.5pt" o:hralign="center" o:hrstd="t" o:hr="t"/>
        </w:pict>
      </w:r>
    </w:p>
    <w:bookmarkStart w:id="12" w:name="document-principal"/>
    <w:p>
      <w:pPr>
        <w:pStyle w:val="Heading2"/>
      </w:pPr>
      <w:r>
        <w:t xml:space="preserve">1. Document principal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2"/>
        <w:gridCol w:w="1352"/>
        <w:gridCol w:w="1738"/>
        <w:gridCol w:w="1545"/>
        <w:gridCol w:w="25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N°</w:t>
            </w:r>
          </w:p>
        </w:tc>
        <w:tc>
          <w:tcPr/>
          <w:p>
            <w:pPr>
              <w:pStyle w:val="Compact"/>
            </w:pPr>
            <w:r>
              <w:t xml:space="preserve">Titre</w:t>
            </w:r>
          </w:p>
        </w:tc>
        <w:tc>
          <w:tcPr/>
          <w:p>
            <w:pPr>
              <w:pStyle w:val="Compact"/>
            </w:pPr>
            <w:r>
              <w:t xml:space="preserve">Fichier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Plan d’affaires AIMEDIArt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docs/business-plan-aimediart.md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Source éditoriale — synthèse stratégique, marché, hypothèses, prévisionnel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1b</w:t>
            </w:r>
          </w:p>
        </w:tc>
        <w:tc>
          <w:tcPr/>
          <w:p>
            <w:pPr>
              <w:pStyle w:val="Compact"/>
            </w:pPr>
            <w:r>
              <w:t xml:space="preserve">Plan d’affaires AIMEDIArt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docs/business-plan-aimediart.docx</w:t>
            </w:r>
          </w:p>
        </w:tc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Export Pandoc du document principal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9" w:name="annexe-a-méthodologie-de-calcul-6-points"/>
    <w:p>
      <w:pPr>
        <w:pStyle w:val="Heading2"/>
      </w:pPr>
      <w:r>
        <w:t xml:space="preserve">2. Annexe A — Méthodologie de calcul (6 points)</w:t>
      </w:r>
    </w:p>
    <w:p>
      <w:pPr>
        <w:pStyle w:val="FirstParagraph"/>
      </w:pPr>
      <w:r>
        <w:rPr>
          <w:i/>
          <w:iCs/>
        </w:rPr>
        <w:t xml:space="preserve">Référence : sections 6 et 7 du plan d’affaires · détail mensuel dans le tableur Excel.</w:t>
      </w:r>
    </w:p>
    <w:bookmarkStart w:id="13" w:name="X504a31ea9130440f639cc4461f30370c86305c4"/>
    <w:p>
      <w:pPr>
        <w:pStyle w:val="Heading3"/>
      </w:pPr>
      <w:r>
        <w:t xml:space="preserve">Point 1 — Montée progressive linéaire (</w:t>
      </w:r>
      <w:r>
        <w:rPr>
          <w:i/>
          <w:iCs/>
        </w:rPr>
        <w:t xml:space="preserve">ramp-up</w:t>
      </w:r>
      <w:r>
        <w:t xml:space="preserve">)</w:t>
      </w:r>
    </w:p>
    <w:p>
      <w:pPr>
        <w:pStyle w:val="FirstParagraph"/>
      </w:pPr>
      <w:r>
        <w:t xml:space="preserve">Les effectifs clients (tous abonnements confondus) augmentent de façon</w:t>
      </w:r>
      <w:r>
        <w:t xml:space="preserve"> </w:t>
      </w:r>
      <w:r>
        <w:rPr>
          <w:b/>
          <w:bCs/>
        </w:rPr>
        <w:t xml:space="preserve">linéaire</w:t>
      </w:r>
      <w:r>
        <w:t xml:space="preserve"> </w:t>
      </w:r>
      <w:r>
        <w:t xml:space="preserve">mois par mois sur chaque année civile, depuis le stock du mois précédent jusqu’à la cible de fin d’année fixée au § 6.3 du plan d’affaires.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Ajustement en fin d’année</w:t>
      </w:r>
      <w:r>
        <w:t xml:space="preserve"> </w:t>
      </w:r>
      <w:r>
        <w:t xml:space="preserve">(</w:t>
      </w:r>
      <w:r>
        <w:rPr>
          <w:i/>
          <w:iCs/>
        </w:rPr>
        <w:t xml:space="preserve">snap</w:t>
      </w:r>
      <w:r>
        <w:t xml:space="preserve">) : le dernier mois de chaque année est recalé exactement sur les effectifs cibles du tableau d’hypothèses.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Scénarios prudent / ambitieux</w:t>
      </w:r>
      <w:r>
        <w:t xml:space="preserve"> </w:t>
      </w:r>
      <w:r>
        <w:t xml:space="preserve">: les cibles de fin d’année sont multipliées par</w:t>
      </w:r>
      <w:r>
        <w:t xml:space="preserve"> </w:t>
      </w:r>
      <w:r>
        <w:rPr>
          <w:b/>
          <w:bCs/>
        </w:rPr>
        <w:t xml:space="preserve">0,70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1,30</w:t>
      </w:r>
      <w:r>
        <w:t xml:space="preserve"> </w:t>
      </w:r>
      <w:r>
        <w:t xml:space="preserve">avant application de la montée progressive.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Plans concernés</w:t>
      </w:r>
      <w:r>
        <w:t xml:space="preserve"> </w:t>
      </w:r>
      <w:r>
        <w:t xml:space="preserve">: Étincelle, Atelier, Horizon, Rayonnement, Zénith (contrats actifs).</w:t>
      </w:r>
    </w:p>
    <w:bookmarkEnd w:id="13"/>
    <w:bookmarkStart w:id="14" w:name="point-2-attrition-clientèle-churn"/>
    <w:p>
      <w:pPr>
        <w:pStyle w:val="Heading3"/>
      </w:pPr>
      <w:r>
        <w:t xml:space="preserve">Point 2 — Attrition clientèle (</w:t>
      </w:r>
      <w:r>
        <w:rPr>
          <w:i/>
          <w:iCs/>
        </w:rPr>
        <w:t xml:space="preserve">churn</w:t>
      </w:r>
      <w:r>
        <w:t xml:space="preserve">)</w:t>
      </w:r>
    </w:p>
    <w:p>
      <w:pPr>
        <w:pStyle w:val="FirstParagraph"/>
      </w:pPr>
      <w:r>
        <w:t xml:space="preserve">À partir du</w:t>
      </w:r>
      <w:r>
        <w:t xml:space="preserve"> </w:t>
      </w:r>
      <w:r>
        <w:rPr>
          <w:b/>
          <w:bCs/>
        </w:rPr>
        <w:t xml:space="preserve">mois 9</w:t>
      </w:r>
      <w:r>
        <w:t xml:space="preserve">, une attrition mensuelle est appliquée sur le parc de clients</w:t>
      </w:r>
      <w:r>
        <w:t xml:space="preserve"> </w:t>
      </w:r>
      <w:r>
        <w:rPr>
          <w:b/>
          <w:bCs/>
        </w:rPr>
        <w:t xml:space="preserve">payants</w:t>
      </w:r>
      <w:r>
        <w:t xml:space="preserve"> </w:t>
      </w:r>
      <w:r>
        <w:t xml:space="preserve">(Atelier, Horizon, Rayonnement — hors Étincelle et Zénith).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Paramètre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Début</w:t>
            </w:r>
          </w:p>
        </w:tc>
        <w:tc>
          <w:tcPr/>
          <w:p>
            <w:pPr>
              <w:pStyle w:val="Compact"/>
            </w:pPr>
            <w:r>
              <w:t xml:space="preserve">Mois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Taux initial</w:t>
            </w:r>
          </w:p>
        </w:tc>
        <w:tc>
          <w:tcPr/>
          <w:p>
            <w:pPr>
              <w:pStyle w:val="Compact"/>
            </w:pPr>
            <w:r>
              <w:t xml:space="preserve">5,0 % / mois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Décroissance du taux</w:t>
            </w:r>
          </w:p>
        </w:tc>
        <w:tc>
          <w:tcPr/>
          <w:p>
            <w:pPr>
              <w:pStyle w:val="Compact"/>
            </w:pPr>
            <w:r>
              <w:t xml:space="preserve">−10 % / mois (composée)</w:t>
            </w:r>
          </w:p>
        </w:tc>
      </w:tr>
    </w:tbl>
    <w:p>
      <w:pPr>
        <w:pStyle w:val="BodyText"/>
      </w:pPr>
      <w:r>
        <w:rPr>
          <w:i/>
          <w:iCs/>
        </w:rPr>
        <w:t xml:space="preserve">Exemple : M9 = 5,0 % → M10 = 4,5 % → M11 = 4,05 % …</w:t>
      </w:r>
    </w:p>
    <w:bookmarkEnd w:id="14"/>
    <w:bookmarkStart w:id="15" w:name="point-3-facturation-annuelle"/>
    <w:p>
      <w:pPr>
        <w:pStyle w:val="Heading3"/>
      </w:pPr>
      <w:r>
        <w:t xml:space="preserve">Point 3 — Facturation annuelle</w:t>
      </w:r>
    </w:p>
    <w:p>
      <w:pPr>
        <w:pStyle w:val="FirstParagraph"/>
      </w:pPr>
      <w:r>
        <w:t xml:space="preserve">Une part croissante des abonnements est facturée</w:t>
      </w:r>
      <w:r>
        <w:t xml:space="preserve"> </w:t>
      </w:r>
      <w:r>
        <w:rPr>
          <w:b/>
          <w:bCs/>
        </w:rPr>
        <w:t xml:space="preserve">à l’année</w:t>
      </w:r>
      <w:r>
        <w:t xml:space="preserve"> </w:t>
      </w:r>
      <w:r>
        <w:t xml:space="preserve">(paiement unique) plutôt qu’au mois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Année</w:t>
            </w:r>
          </w:p>
        </w:tc>
        <w:tc>
          <w:tcPr/>
          <w:p>
            <w:pPr>
              <w:pStyle w:val="Compact"/>
            </w:pPr>
            <w:r>
              <w:t xml:space="preserve">Part facturation mensuelle</w:t>
            </w:r>
          </w:p>
        </w:tc>
        <w:tc>
          <w:tcPr/>
          <w:p>
            <w:pPr>
              <w:pStyle w:val="Compact"/>
            </w:pPr>
            <w:r>
              <w:t xml:space="preserve">Part facturation annuelle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60 %</w:t>
            </w:r>
          </w:p>
        </w:tc>
        <w:tc>
          <w:tcPr/>
          <w:p>
            <w:pPr>
              <w:pStyle w:val="Compact"/>
            </w:pPr>
            <w:r>
              <w:t xml:space="preserve">40 %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50 %</w:t>
            </w:r>
          </w:p>
        </w:tc>
        <w:tc>
          <w:tcPr/>
          <w:p>
            <w:pPr>
              <w:pStyle w:val="Compact"/>
            </w:pPr>
            <w:r>
              <w:t xml:space="preserve">50 %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40 %</w:t>
            </w:r>
          </w:p>
        </w:tc>
        <w:tc>
          <w:tcPr/>
          <w:p>
            <w:pPr>
              <w:pStyle w:val="Compact"/>
            </w:pPr>
            <w:r>
              <w:t xml:space="preserve">60 %</w:t>
            </w:r>
          </w:p>
        </w:tc>
      </w:tr>
    </w:tbl>
    <w:p>
      <w:pPr>
        <w:pStyle w:val="BodyText"/>
      </w:pPr>
      <w:r>
        <w:rPr>
          <w:b/>
          <w:bCs/>
        </w:rPr>
        <w:t xml:space="preserve">Coefficient appliqué</w:t>
      </w:r>
      <w:r>
        <w:t xml:space="preserve"> </w:t>
      </w:r>
      <w:r>
        <w:t xml:space="preserve">sur la part annuelle :</w:t>
      </w:r>
      <w:r>
        <w:t xml:space="preserve"> </w:t>
      </w:r>
      <w:r>
        <w:rPr>
          <w:b/>
          <w:bCs/>
        </w:rPr>
        <w:t xml:space="preserve">11/12</w:t>
      </w:r>
      <w:r>
        <w:t xml:space="preserve"> </w:t>
      </w:r>
      <w:r>
        <w:t xml:space="preserve">du tarif mensuel × 12 (un mois offert).</w:t>
      </w:r>
      <w:r>
        <w:br/>
      </w:r>
      <w:r>
        <w:rPr>
          <w:i/>
          <w:iCs/>
        </w:rPr>
        <w:t xml:space="preserve">Exemple Rayonnement : 549 € × 11 = 6 039 € TTC/an.</w:t>
      </w:r>
    </w:p>
    <w:bookmarkEnd w:id="15"/>
    <w:bookmarkStart w:id="16" w:name="Xa4f33dfd6172bf344be39d744d9f4ccefa276d8"/>
    <w:p>
      <w:pPr>
        <w:pStyle w:val="Heading3"/>
      </w:pPr>
      <w:r>
        <w:t xml:space="preserve">Point 4 — Contrats Zénith (grands événements)</w:t>
      </w:r>
    </w:p>
    <w:p>
      <w:pPr>
        <w:pStyle w:val="FirstParagraph"/>
      </w:pPr>
      <w:r>
        <w:t xml:space="preserve">Revenus ponctuels hors abonnement récurrent, calendrier d’encaissement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Mois</w:t>
            </w:r>
          </w:p>
        </w:tc>
        <w:tc>
          <w:tcPr/>
          <w:p>
            <w:pPr>
              <w:pStyle w:val="Compact"/>
            </w:pPr>
            <w:r>
              <w:t xml:space="preserve">Montant TTC</w:t>
            </w:r>
          </w:p>
        </w:tc>
        <w:tc>
          <w:tcPr/>
          <w:p>
            <w:pPr>
              <w:pStyle w:val="Compact"/>
            </w:pPr>
            <w:r>
              <w:t xml:space="preserve">Contexte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M18 (fin A2)</w:t>
            </w:r>
          </w:p>
        </w:tc>
        <w:tc>
          <w:tcPr/>
          <w:p>
            <w:pPr>
              <w:pStyle w:val="Compact"/>
            </w:pPr>
            <w:r>
              <w:t xml:space="preserve">15 000 €</w:t>
            </w:r>
          </w:p>
        </w:tc>
        <w:tc>
          <w:tcPr/>
          <w:p>
            <w:pPr>
              <w:pStyle w:val="Compact"/>
            </w:pPr>
            <w:r>
              <w:t xml:space="preserve">1er contrat Zénith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M30</w:t>
            </w:r>
          </w:p>
        </w:tc>
        <w:tc>
          <w:tcPr/>
          <w:p>
            <w:pPr>
              <w:pStyle w:val="Compact"/>
            </w:pPr>
            <w:r>
              <w:t xml:space="preserve">17 000 €</w:t>
            </w:r>
          </w:p>
        </w:tc>
        <w:tc>
          <w:tcPr/>
          <w:p>
            <w:pPr>
              <w:pStyle w:val="Compact"/>
            </w:pPr>
            <w:r>
              <w:t xml:space="preserve">2e contrat Zénith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M34</w:t>
            </w:r>
          </w:p>
        </w:tc>
        <w:tc>
          <w:tcPr/>
          <w:p>
            <w:pPr>
              <w:pStyle w:val="Compact"/>
            </w:pPr>
            <w:r>
              <w:t xml:space="preserve">17 000 €</w:t>
            </w:r>
          </w:p>
        </w:tc>
        <w:tc>
          <w:tcPr/>
          <w:p>
            <w:pPr>
              <w:pStyle w:val="Compact"/>
            </w:pPr>
            <w:r>
              <w:t xml:space="preserve">3e contrat Zénith</w:t>
            </w:r>
          </w:p>
        </w:tc>
      </w:tr>
    </w:tbl>
    <w:p>
      <w:pPr>
        <w:pStyle w:val="BodyText"/>
      </w:pPr>
      <w:r>
        <w:t xml:space="preserve">Présentation comptable : chiffre d’affaires</w:t>
      </w:r>
      <w:r>
        <w:t xml:space="preserve"> </w:t>
      </w:r>
      <w:r>
        <w:rPr>
          <w:b/>
          <w:bCs/>
        </w:rPr>
        <w:t xml:space="preserve">HT</w:t>
      </w:r>
      <w:r>
        <w:t xml:space="preserve"> </w:t>
      </w:r>
      <w:r>
        <w:t xml:space="preserve">(TTC ÷ 1,20).</w:t>
      </w:r>
    </w:p>
    <w:bookmarkEnd w:id="16"/>
    <w:bookmarkStart w:id="17" w:name="point-5-tva"/>
    <w:p>
      <w:pPr>
        <w:pStyle w:val="Heading3"/>
      </w:pPr>
      <w:r>
        <w:t xml:space="preserve">Point 5 — TVA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Ventes</w:t>
      </w:r>
      <w:r>
        <w:t xml:space="preserve"> </w:t>
      </w:r>
      <w:r>
        <w:t xml:space="preserve">: chiffre d’affaires présenté</w:t>
      </w:r>
      <w:r>
        <w:t xml:space="preserve"> </w:t>
      </w:r>
      <w:r>
        <w:rPr>
          <w:b/>
          <w:bCs/>
        </w:rPr>
        <w:t xml:space="preserve">hors taxes</w:t>
      </w:r>
      <w:r>
        <w:t xml:space="preserve"> </w:t>
      </w:r>
      <w:r>
        <w:t xml:space="preserve">(TVA 20 % déduite).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Charges</w:t>
      </w:r>
      <w:r>
        <w:t xml:space="preserve"> </w:t>
      </w:r>
      <w:r>
        <w:t xml:space="preserve">: infrastructure, sous-traitance et frais variables en</w:t>
      </w:r>
      <w:r>
        <w:t xml:space="preserve"> </w:t>
      </w:r>
      <w:r>
        <w:rPr>
          <w:b/>
          <w:bCs/>
        </w:rPr>
        <w:t xml:space="preserve">HT</w:t>
      </w:r>
      <w:r>
        <w:t xml:space="preserve"> </w:t>
      </w:r>
      <w:r>
        <w:t xml:space="preserve">; TVA déductible à 20 % sur les charges éligibles.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Trésorerie</w:t>
      </w:r>
      <w:r>
        <w:t xml:space="preserve"> </w:t>
      </w:r>
      <w:r>
        <w:t xml:space="preserve">: encaissements TTC, décaissements TTC (charges HT + TVA).</w:t>
      </w:r>
    </w:p>
    <w:bookmarkEnd w:id="17"/>
    <w:bookmarkStart w:id="18" w:name="point-6-scénarios-financiers"/>
    <w:p>
      <w:pPr>
        <w:pStyle w:val="Heading3"/>
      </w:pPr>
      <w:r>
        <w:t xml:space="preserve">Point 6 — Scénarios financiers</w:t>
      </w:r>
    </w:p>
    <w:p>
      <w:pPr>
        <w:pStyle w:val="FirstParagraph"/>
      </w:pPr>
      <w:r>
        <w:t xml:space="preserve">Trois scénarios sur</w:t>
      </w:r>
      <w:r>
        <w:t xml:space="preserve"> </w:t>
      </w:r>
      <w:r>
        <w:rPr>
          <w:b/>
          <w:bCs/>
        </w:rPr>
        <w:t xml:space="preserve">36 mois</w:t>
      </w:r>
      <w:r>
        <w:t xml:space="preserve">, générés par</w:t>
      </w:r>
      <w:r>
        <w:t xml:space="preserve"> </w:t>
      </w:r>
      <w:r>
        <w:rPr>
          <w:rStyle w:val="VerbatimChar"/>
        </w:rPr>
        <w:t xml:space="preserve">scripts/generate_bp_excel.py</w:t>
      </w:r>
      <w:r>
        <w:t xml:space="preserve"> 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923"/>
        <w:gridCol w:w="3168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Scénario</w:t>
            </w:r>
          </w:p>
        </w:tc>
        <w:tc>
          <w:tcPr/>
          <w:p>
            <w:pPr>
              <w:pStyle w:val="Compact"/>
            </w:pPr>
            <w:r>
              <w:t xml:space="preserve">Facteur clients</w:t>
            </w:r>
          </w:p>
        </w:tc>
        <w:tc>
          <w:tcPr/>
          <w:p>
            <w:pPr>
              <w:pStyle w:val="Compact"/>
            </w:pPr>
            <w:r>
              <w:t xml:space="preserve">Développeurs sous-traités</w:t>
            </w:r>
          </w:p>
        </w:tc>
        <w:tc>
          <w:tcPr/>
          <w:p>
            <w:pPr>
              <w:pStyle w:val="Compact"/>
            </w:pPr>
            <w:r>
              <w:t xml:space="preserve">Fichier Excel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Prudent</w:t>
            </w:r>
          </w:p>
        </w:tc>
        <w:tc>
          <w:tcPr/>
          <w:p>
            <w:pPr>
              <w:pStyle w:val="Compact"/>
            </w:pPr>
            <w:r>
              <w:t xml:space="preserve">× 0,70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docs/business-plan-previsionnel-36m-new.xlsx</w:t>
            </w:r>
            <w:r>
              <w:t xml:space="preserve"> </w:t>
            </w:r>
            <w:r>
              <w:t xml:space="preserve">(onglet Prudent)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Référence</w:t>
            </w:r>
          </w:p>
        </w:tc>
        <w:tc>
          <w:tcPr/>
          <w:p>
            <w:pPr>
              <w:pStyle w:val="Compact"/>
            </w:pPr>
            <w:r>
              <w:t xml:space="preserve">× 1,00</w:t>
            </w:r>
          </w:p>
        </w:tc>
        <w:tc>
          <w:tcPr/>
          <w:p>
            <w:pPr>
              <w:pStyle w:val="Compact"/>
            </w:pPr>
            <w:r>
              <w:t xml:space="preserve">1 dès M13</w:t>
            </w:r>
          </w:p>
        </w:tc>
        <w:tc>
          <w:tcPr/>
          <w:p>
            <w:pPr>
              <w:pStyle w:val="Compact"/>
            </w:pPr>
            <w:r>
              <w:t xml:space="preserve">idem (onglet Base)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Ambitieux</w:t>
            </w:r>
          </w:p>
        </w:tc>
        <w:tc>
          <w:tcPr/>
          <w:p>
            <w:pPr>
              <w:pStyle w:val="Compact"/>
            </w:pPr>
            <w:r>
              <w:t xml:space="preserve">× 1,30</w:t>
            </w:r>
          </w:p>
        </w:tc>
        <w:tc>
          <w:tcPr/>
          <w:p>
            <w:pPr>
              <w:pStyle w:val="Compact"/>
            </w:pPr>
            <w:r>
              <w:t xml:space="preserve">2 → 5 (M1 à M19+)</w:t>
            </w:r>
          </w:p>
        </w:tc>
        <w:tc>
          <w:tcPr/>
          <w:p>
            <w:pPr>
              <w:pStyle w:val="Compact"/>
            </w:pPr>
            <w:r>
              <w:t xml:space="preserve">idem (onglet Ambitieux)</w:t>
            </w:r>
          </w:p>
        </w:tc>
      </w:tr>
    </w:tbl>
    <w:p>
      <w:pPr>
        <w:pStyle w:val="BodyText"/>
      </w:pPr>
      <w:r>
        <w:rPr>
          <w:b/>
          <w:bCs/>
        </w:rPr>
        <w:t xml:space="preserve">Paramètres communs</w:t>
      </w:r>
      <w:r>
        <w:t xml:space="preserve"> </w:t>
      </w:r>
      <w:r>
        <w:t xml:space="preserve">: capital initial 4 900 € · frais fixes 500 €/mois (+15 %/trimestre) · frais variables 1 % du CA HT · TJM développeur 450 € × 10 j = 4 500 € HT/mois.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annexe-b-références-projet-5-éléments"/>
    <w:p>
      <w:pPr>
        <w:pStyle w:val="Heading2"/>
      </w:pPr>
      <w:r>
        <w:t xml:space="preserve">3. Annexe B — Références projet (5 éléments)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6"/>
        <w:gridCol w:w="1657"/>
        <w:gridCol w:w="1473"/>
        <w:gridCol w:w="40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N°</w:t>
            </w:r>
          </w:p>
        </w:tc>
        <w:tc>
          <w:tcPr/>
          <w:p>
            <w:pPr>
              <w:pStyle w:val="Compact"/>
            </w:pPr>
            <w:r>
              <w:t xml:space="preserve">Élément</w:t>
            </w:r>
          </w:p>
        </w:tc>
        <w:tc>
          <w:tcPr/>
          <w:p>
            <w:pPr>
              <w:pStyle w:val="Compact"/>
            </w:pPr>
            <w:r>
              <w:t xml:space="preserve">Chemin</w:t>
            </w:r>
          </w:p>
        </w:tc>
        <w:tc>
          <w:tcPr/>
          <w:p>
            <w:pPr>
              <w:pStyle w:val="Compact"/>
            </w:pPr>
            <w:r>
              <w:t xml:space="preserve">Rôle dans le dossier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t xml:space="preserve">Grille tarifaire initiale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supabase/migrations/migration_79_pricing_billing_schema.sql</w:t>
            </w:r>
          </w:p>
        </w:tc>
        <w:tc>
          <w:tcPr/>
          <w:p>
            <w:pPr>
              <w:pStyle w:val="Compact"/>
            </w:pPr>
            <w:r>
              <w:t xml:space="preserve">Schéma</w:t>
            </w:r>
            <w:r>
              <w:t xml:space="preserve"> </w:t>
            </w:r>
            <w:r>
              <w:rPr>
                <w:rStyle w:val="VerbatimChar"/>
              </w:rPr>
              <w:t xml:space="preserve">pricing</w:t>
            </w:r>
            <w:r>
              <w:t xml:space="preserve">, règles de facturation et dépassements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</w:t>
            </w:r>
          </w:p>
        </w:tc>
        <w:tc>
          <w:tcPr/>
          <w:p>
            <w:pPr>
              <w:pStyle w:val="Compact"/>
            </w:pPr>
            <w:r>
              <w:t xml:space="preserve">Abonnements et Zénith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supabase/migrations/20260619120100_pricing_five_plans_zenith.sql</w:t>
            </w:r>
          </w:p>
        </w:tc>
        <w:tc>
          <w:tcPr/>
          <w:p>
            <w:pPr>
              <w:pStyle w:val="Compact"/>
            </w:pPr>
            <w:r>
              <w:t xml:space="preserve">Cinq plans (Étincelle → Zénith), seeds tarifaires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</w:t>
            </w:r>
          </w:p>
        </w:tc>
        <w:tc>
          <w:tcPr/>
          <w:p>
            <w:pPr>
              <w:pStyle w:val="Compact"/>
            </w:pPr>
            <w:r>
              <w:t xml:space="preserve">Plaidoyer marketing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docs/pitch-marketing-aimediart.md</w:t>
            </w:r>
          </w:p>
        </w:tc>
        <w:tc>
          <w:tcPr/>
          <w:p>
            <w:pPr>
              <w:pStyle w:val="Compact"/>
            </w:pPr>
            <w:r>
              <w:t xml:space="preserve">Argumentaire institutionnel et positionnement marché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B4</w:t>
            </w:r>
          </w:p>
        </w:tc>
        <w:tc>
          <w:tcPr/>
          <w:p>
            <w:pPr>
              <w:pStyle w:val="Compact"/>
            </w:pPr>
            <w:r>
              <w:t xml:space="preserve">Architecture et propriété intellectuelle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docs/enveloppe-e-soleau-aimediart.md</w:t>
            </w:r>
          </w:p>
        </w:tc>
        <w:tc>
          <w:tcPr/>
          <w:p>
            <w:pPr>
              <w:pStyle w:val="Compact"/>
            </w:pPr>
            <w:r>
              <w:t xml:space="preserve">Dépôt e-Soleau, stack technique, preuve d’antériorité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B5</w:t>
            </w:r>
          </w:p>
        </w:tc>
        <w:tc>
          <w:tcPr/>
          <w:p>
            <w:pPr>
              <w:pStyle w:val="Compact"/>
            </w:pPr>
            <w:r>
              <w:t xml:space="preserve">Générateur Excel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scripts/generate_bp_excel.py</w:t>
            </w:r>
          </w:p>
        </w:tc>
        <w:tc>
          <w:tcPr/>
          <w:p>
            <w:pPr>
              <w:pStyle w:val="Compact"/>
            </w:pPr>
            <w:r>
              <w:t xml:space="preserve">Script Python — régénération du prévisionnel 36 mois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documents-complémentaires-du-dossier"/>
    <w:p>
      <w:pPr>
        <w:pStyle w:val="Heading2"/>
      </w:pPr>
      <w:r>
        <w:t xml:space="preserve">4. Documents complémentaires du dossier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05"/>
        <w:gridCol w:w="1584"/>
        <w:gridCol w:w="2036"/>
        <w:gridCol w:w="1810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N°</w:t>
            </w:r>
          </w:p>
        </w:tc>
        <w:tc>
          <w:tcPr/>
          <w:p>
            <w:pPr>
              <w:pStyle w:val="Compact"/>
            </w:pPr>
            <w:r>
              <w:t xml:space="preserve">Titre</w:t>
            </w:r>
          </w:p>
        </w:tc>
        <w:tc>
          <w:tcPr/>
          <w:p>
            <w:pPr>
              <w:pStyle w:val="Compact"/>
            </w:pPr>
            <w:r>
              <w:t xml:space="preserve">Fichier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Visuels du dossier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docs/assets/bp/*.png</w:t>
            </w:r>
          </w:p>
        </w:tc>
        <w:tc>
          <w:tcPr/>
          <w:p>
            <w:pPr>
              <w:pStyle w:val="Compact"/>
            </w:pPr>
            <w:r>
              <w:t xml:space="preserve">PNG</w:t>
            </w:r>
          </w:p>
        </w:tc>
        <w:tc>
          <w:tcPr/>
          <w:p>
            <w:pPr>
              <w:pStyle w:val="Compact"/>
            </w:pPr>
            <w:r>
              <w:t xml:space="preserve">14 graphiques (carte, prévisionnel, workflow…) —</w:t>
            </w:r>
            <w:r>
              <w:t xml:space="preserve"> </w:t>
            </w:r>
            <w:r>
              <w:rPr>
                <w:rStyle w:val="VerbatimChar"/>
              </w:rPr>
              <w:t xml:space="preserve">python scripts/generate_bp_charts.py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Prévisionnel financier 36 mois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docs/business-plan-previsionnel-36m-new.xlsx</w:t>
            </w:r>
          </w:p>
        </w:tc>
        <w:tc>
          <w:tcPr/>
          <w:p>
            <w:pPr>
              <w:pStyle w:val="Compact"/>
            </w:pPr>
            <w:r>
              <w:t xml:space="preserve">Excel</w:t>
            </w:r>
          </w:p>
        </w:tc>
        <w:tc>
          <w:tcPr/>
          <w:p>
            <w:pPr>
              <w:pStyle w:val="Compact"/>
            </w:pPr>
            <w:r>
              <w:t xml:space="preserve">Détail mensuel — 3 scénarios (annexe A, point 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Synthèse CSV (archive)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docs/business-plan-previsionnel.csv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Export tabulaire simplifié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Présentation investisseur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docs/pitch-investisseur-aimediart.md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10 slides — levée de fonds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Cartographie marché France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docs/cartographie-marche-france.md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Potentiel par région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t xml:space="preserve">Marketing institutionnel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docs/marketing-aimediart-4pages.md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Brochure 4 pages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</w:t>
            </w:r>
          </w:p>
        </w:tc>
        <w:tc>
          <w:tcPr/>
          <w:p>
            <w:pPr>
              <w:pStyle w:val="Compact"/>
            </w:pPr>
            <w:r>
              <w:t xml:space="preserve">Pitch marketing (1 page)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docs/pitch-marketing-aimediart-1page.md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Synthèse commerciale courte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</w:t>
            </w:r>
          </w:p>
        </w:tc>
        <w:tc>
          <w:tcPr/>
          <w:p>
            <w:pPr>
              <w:pStyle w:val="Compact"/>
            </w:pPr>
            <w:r>
              <w:t xml:space="preserve">Architecture 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docs/ARCHITECTURE-IA.md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Edge Functions, Groq,</w:t>
            </w:r>
            <w:r>
              <w:t xml:space="preserve"> </w:t>
            </w:r>
            <w:r>
              <w:rPr>
                <w:rStyle w:val="VerbatimChar"/>
              </w:rPr>
              <w:t xml:space="preserve">ai_jobs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C8</w:t>
            </w:r>
          </w:p>
        </w:tc>
        <w:tc>
          <w:tcPr/>
          <w:p>
            <w:pPr>
              <w:pStyle w:val="Compact"/>
            </w:pPr>
            <w:r>
              <w:t xml:space="preserve">Estimation coûts Groq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docs/GROQ-COST-ESTIMATION.md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Coûts directs de service IA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sources-dhypothèses-initiales"/>
    <w:p>
      <w:pPr>
        <w:pStyle w:val="Heading2"/>
      </w:pPr>
      <w:r>
        <w:t xml:space="preserve">5. Sources d’hypothèses initiales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3432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Emplacement</w:t>
            </w:r>
          </w:p>
        </w:tc>
        <w:tc>
          <w:tcPr/>
          <w:p>
            <w:pPr>
              <w:pStyle w:val="Compact"/>
            </w:pPr>
            <w:r>
              <w:t xml:space="preserve">Contenu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Hypothèses BP</w:t>
            </w:r>
          </w:p>
        </w:tc>
        <w:tc>
          <w:tcPr/>
          <w:p>
            <w:pPr>
              <w:pStyle w:val="Compact"/>
            </w:pPr>
            <w:r>
              <w:t xml:space="preserve">Fichier fourni :</w:t>
            </w:r>
            <w:r>
              <w:t xml:space="preserve"> </w:t>
            </w:r>
            <w:r>
              <w:rPr>
                <w:rStyle w:val="VerbatimChar"/>
              </w:rPr>
              <w:t xml:space="preserve">hypothèses BP.docx</w:t>
            </w:r>
          </w:p>
        </w:tc>
        <w:tc>
          <w:tcPr/>
          <w:p>
            <w:pPr>
              <w:pStyle w:val="Compact"/>
            </w:pPr>
            <w:r>
              <w:t xml:space="preserve">Paramètres fondateurs (effectifs, tarifs, churn)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Étude marché</w:t>
            </w:r>
          </w:p>
        </w:tc>
        <w:tc>
          <w:tcPr/>
          <w:p>
            <w:pPr>
              <w:pStyle w:val="Compact"/>
            </w:pPr>
            <w:r>
              <w:t xml:space="preserve">Fichier fourni :</w:t>
            </w:r>
            <w:r>
              <w:t xml:space="preserve"> </w:t>
            </w:r>
            <w:r>
              <w:rPr>
                <w:rStyle w:val="VerbatimChar"/>
              </w:rPr>
              <w:t xml:space="preserve">Marché des arts visuels.docx</w:t>
            </w:r>
          </w:p>
        </w:tc>
        <w:tc>
          <w:tcPr/>
          <w:p>
            <w:pPr>
              <w:pStyle w:val="Compact"/>
            </w:pPr>
            <w:r>
              <w:t xml:space="preserve">TAM / SAM / SOM, structures culturelles</w:t>
            </w:r>
          </w:p>
        </w:tc>
      </w:tr>
    </w:tbl>
    <w:p>
      <w:pPr>
        <w:pStyle w:val="BodyText"/>
      </w:pPr>
      <w:r>
        <w:rPr>
          <w:i/>
          <w:iCs/>
        </w:rPr>
        <w:t xml:space="preserve">Ces fichiers sources ne sont pas versionnés dans le dépôt ; leurs données ont été intégrées dans le plan d’affaires et le générateur Excel.</w:t>
      </w:r>
    </w:p>
    <w:p>
      <w:r>
        <w:pict>
          <v:rect style="width:0;height:1.5pt" o:hralign="center" o:hrstd="t" o:hr="t"/>
        </w:pict>
      </w:r>
    </w:p>
    <w:bookmarkEnd w:id="22"/>
    <w:bookmarkStart w:id="23" w:name="Xc7cd0349ac958cd6e239a207b5a36cd6a271241"/>
    <w:p>
      <w:pPr>
        <w:pStyle w:val="Heading2"/>
      </w:pPr>
      <w:r>
        <w:t xml:space="preserve">6. Correspondance annexe ↔ section du plan d’affaires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95"/>
        <w:gridCol w:w="4034"/>
        <w:gridCol w:w="26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Annexe</w:t>
            </w:r>
          </w:p>
        </w:tc>
        <w:tc>
          <w:tcPr/>
          <w:p>
            <w:pPr>
              <w:pStyle w:val="Compact"/>
            </w:pPr>
            <w:r>
              <w:t xml:space="preserve">Section du plan d’affaires</w:t>
            </w:r>
          </w:p>
        </w:tc>
        <w:tc>
          <w:tcPr/>
          <w:p>
            <w:pPr>
              <w:pStyle w:val="Compact"/>
            </w:pPr>
            <w:r>
              <w:t xml:space="preserve">Contenu détaillé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§ 6 (Hypothèses) + § 7 (Prévisionnel)</w:t>
            </w:r>
          </w:p>
        </w:tc>
        <w:tc>
          <w:tcPr/>
          <w:p>
            <w:pPr>
              <w:pStyle w:val="Compact"/>
            </w:pPr>
            <w:r>
              <w:t xml:space="preserve">Règles de calcul — voir chapitre 2 ci-dessus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§ 5 (Grille tarifaire) + § 10 (Feuille de route)</w:t>
            </w:r>
          </w:p>
        </w:tc>
        <w:tc>
          <w:tcPr/>
          <w:p>
            <w:pPr>
              <w:pStyle w:val="Compact"/>
            </w:pPr>
            <w:r>
              <w:t xml:space="preserve">Références code et documentation — voir chapitre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§ 12 (Livrables)</w:t>
            </w:r>
          </w:p>
        </w:tc>
        <w:tc>
          <w:tcPr/>
          <w:p>
            <w:pPr>
              <w:pStyle w:val="Compact"/>
            </w:pPr>
            <w:r>
              <w:t xml:space="preserve">Ce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régénération-des-exports"/>
    <w:p>
      <w:pPr>
        <w:pStyle w:val="Heading2"/>
      </w:pPr>
      <w:r>
        <w:t xml:space="preserve">7. Régénération des exports</w:t>
      </w:r>
    </w:p>
    <w:p>
      <w:pPr>
        <w:pStyle w:val="SourceCode"/>
      </w:pPr>
      <w:r>
        <w:rPr>
          <w:rStyle w:val="CommentTok"/>
        </w:rPr>
        <w:t xml:space="preserve"># Index Word (ce document)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docs/business-plan-index-annexes.md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docs/business-plan-index-annexes.docx</w:t>
      </w:r>
      <w:r>
        <w:br/>
      </w:r>
      <w:r>
        <w:br/>
      </w:r>
      <w:r>
        <w:rPr>
          <w:rStyle w:val="CommentTok"/>
        </w:rPr>
        <w:t xml:space="preserve"># Plan d'affaires Word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docs/business-plan-aimediart.md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docs/business-plan-aimediart.docx</w:t>
      </w:r>
      <w:r>
        <w:br/>
      </w:r>
      <w:r>
        <w:br/>
      </w:r>
      <w:r>
        <w:rPr>
          <w:rStyle w:val="CommentTok"/>
        </w:rPr>
        <w:t xml:space="preserve"># Prévisionnel Excel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scripts/generate_bp_excel.py</w:t>
      </w:r>
      <w:r>
        <w:br/>
      </w:r>
      <w:r>
        <w:br/>
      </w:r>
      <w:r>
        <w:rPr>
          <w:rStyle w:val="CommentTok"/>
        </w:rPr>
        <w:t xml:space="preserve"># Graphiques et cartes (PNG)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scripts/generate_bp_charts.py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Index généré en complément du plan d’affaires AIMEDIArt — juin 2026.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2026-06-23T08:29:15Z</dcterms:created>
  <dcterms:modified xsi:type="dcterms:W3CDTF">2026-06-23T08:29:15Z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