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5.png" ContentType="image/png"/>
  <Override PartName="/word/media/rId14.png" ContentType="image/png"/>
  <Override PartName="/word/media/rId33.png" ContentType="image/png"/>
  <Override PartName="/word/media/rId45.png" ContentType="image/png"/>
  <Override PartName="/word/media/rId2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0f4148f5849f4a16f71313daf3bbc1e6a10c4e"/>
    <w:p>
      <w:pPr>
        <w:pStyle w:val="Heading1"/>
      </w:pPr>
      <w:r>
        <w:t xml:space="preserve">Cartographie du marché français — AIMEDIArt</w:t>
      </w:r>
    </w:p>
    <w:p>
      <w:pPr>
        <w:pStyle w:val="FirstParagraph"/>
      </w:pPr>
      <w:r>
        <w:rPr>
          <w:b/>
          <w:bCs/>
        </w:rPr>
        <w:t xml:space="preserve">Arts visuels · expositions annuelles · ventilée par région</w:t>
      </w:r>
      <w:r>
        <w:br/>
      </w:r>
      <w:r>
        <w:rPr>
          <w:i/>
          <w:iCs/>
        </w:rPr>
        <w:t xml:space="preserve">Source : étude « Marché des arts visuels » (hypothèses BP) · juin 2026</w:t>
      </w:r>
    </w:p>
    <w:p>
      <w:r>
        <w:pict>
          <v:rect style="width:0;height:1.5pt" o:hralign="center" o:hrstd="t" o:hr="t"/>
        </w:pict>
      </w:r>
    </w:p>
    <w:bookmarkStart w:id="13" w:name="vue-densemble"/>
    <w:p>
      <w:pPr>
        <w:pStyle w:val="Heading2"/>
      </w:pPr>
      <w:r>
        <w:t xml:space="preserve">1. Vue d’ensemble</w:t>
      </w:r>
    </w:p>
    <w:p>
      <w:pPr>
        <w:pStyle w:val="FirstParagraph"/>
      </w:pPr>
      <w:r>
        <w:t xml:space="preserve">Le marché français des expositions d’arts visuels est estimé à</w:t>
      </w:r>
      <w:r>
        <w:t xml:space="preserve"> </w:t>
      </w:r>
      <w:r>
        <w:rPr>
          <w:b/>
          <w:bCs/>
        </w:rPr>
        <w:t xml:space="preserve">~26 600 événements par an</w:t>
      </w:r>
      <w:r>
        <w:rPr>
          <w:rStyle w:val="FootnoteReference"/>
        </w:rPr>
        <w:footnoteReference w:id="9"/>
      </w:r>
      <w:r>
        <w:t xml:space="preserve">, répartis sur 9 grandes aires géographiques. Il n’existe pas de registre national exhaustif des petites expositions locales : les chiffres ci-dessous sont une</w:t>
      </w:r>
      <w:r>
        <w:t xml:space="preserve"> </w:t>
      </w:r>
      <w:r>
        <w:rPr>
          <w:b/>
          <w:bCs/>
        </w:rPr>
        <w:t xml:space="preserve">extrapolation</w:t>
      </w:r>
      <w:r>
        <w:t xml:space="preserve"> </w:t>
      </w:r>
      <w:r>
        <w:t xml:space="preserve">à partir des données du Ministère de la Culture (DEPS), des réseaux professionnels (DCA</w:t>
      </w:r>
      <w:r>
        <w:rPr>
          <w:rStyle w:val="FootnoteReference"/>
        </w:rPr>
        <w:footnoteReference w:id="10"/>
      </w:r>
      <w:r>
        <w:t xml:space="preserve">, ICOM</w:t>
      </w:r>
      <w:r>
        <w:rPr>
          <w:rStyle w:val="FootnoteReference"/>
        </w:rPr>
        <w:footnoteReference w:id="11"/>
      </w:r>
      <w:r>
        <w:t xml:space="preserve">) et de la densité connue des galeries et musées.</w:t>
      </w:r>
    </w:p>
    <w:p>
      <w:pPr>
        <w:pStyle w:val="BodyText"/>
      </w:pPr>
      <w:r>
        <w:rPr>
          <w:b/>
          <w:bCs/>
        </w:rPr>
        <w:t xml:space="preserve">Enjeu stratégique pour AIMEDIArt :</w:t>
      </w:r>
      <w:r>
        <w:t xml:space="preserve"> </w:t>
      </w:r>
      <w:r>
        <w:t xml:space="preserve">identifier où se concentrent le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(galeries, renouvellement rapide) vs le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(musées, blockbusters</w:t>
      </w:r>
      <w:r>
        <w:rPr>
          <w:rStyle w:val="FootnoteReference"/>
        </w:rPr>
        <w:footnoteReference w:id="12"/>
      </w:r>
      <w:r>
        <w:t xml:space="preserve">, grands publics) pour prioriser l’acquisition commerciale région par région.</w:t>
      </w:r>
    </w:p>
    <w:p>
      <w:r>
        <w:pict>
          <v:rect style="width:0;height:1.5pt" o:hralign="center" o:hrstd="t" o:hr="t"/>
        </w:pict>
      </w:r>
    </w:p>
    <w:bookmarkEnd w:id="13"/>
    <w:bookmarkStart w:id="29" w:name="carte-des-volumes-par-région"/>
    <w:p>
      <w:pPr>
        <w:pStyle w:val="Heading2"/>
      </w:pPr>
      <w:r>
        <w:t xml:space="preserve">2. Carte des volumes par région</w:t>
      </w:r>
    </w:p>
    <w:p>
      <w:pPr>
        <w:pStyle w:val="CaptionedFigure"/>
      </w:pPr>
      <w:r>
        <w:drawing>
          <wp:inline>
            <wp:extent cx="5334000" cy="5235526"/>
            <wp:effectExtent b="0" l="0" r="0" t="0"/>
            <wp:docPr descr="Carte des volumes d’expositions par région — France" title="" id="15" name="Picture"/>
            <a:graphic>
              <a:graphicData uri="http://schemas.openxmlformats.org/drawingml/2006/picture">
                <pic:pic>
                  <pic:nvPicPr>
                    <pic:cNvPr descr="./assets/bp/carte-volumes-reg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des volumes d’expositions par région — France</w:t>
      </w:r>
    </w:p>
    <w:p>
      <w:pPr>
        <w:pStyle w:val="BodyText"/>
      </w:pPr>
      <w:r>
        <w:rPr>
          <w:i/>
          <w:iCs/>
        </w:rPr>
        <w:t xml:space="preserve">Figure 1 — Choroplèthe : densité estimée d’expositions d’arts visuels par grande région (source : étude marché, juin 2026).</w:t>
      </w:r>
    </w:p>
    <w:p>
      <w:pPr>
        <w:pStyle w:val="CaptionedFigure"/>
      </w:pPr>
      <w:r>
        <w:drawing>
          <wp:inline>
            <wp:extent cx="5334000" cy="3446844"/>
            <wp:effectExtent b="0" l="0" r="0" t="0"/>
            <wp:docPr descr="Barres — volume par région" title="" id="18" name="Picture"/>
            <a:graphic>
              <a:graphicData uri="http://schemas.openxmlformats.org/drawingml/2006/picture">
                <pic:pic>
                  <pic:nvPicPr>
                    <pic:cNvPr descr="./assets/bp/bar-volumes-reg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Barres — volume par région</w:t>
      </w:r>
    </w:p>
    <w:p>
      <w:pPr>
        <w:pStyle w:val="BodyText"/>
      </w:pPr>
      <w:r>
        <w:rPr>
          <w:i/>
          <w:iCs/>
        </w:rPr>
        <w:t xml:space="preserve">Figure 2 — Classement des régions par volume annuel d’expositions.</w:t>
      </w:r>
    </w:p>
    <w:bookmarkStart w:id="20" w:name="tableau-principal-expositions-an"/>
    <w:p>
      <w:pPr>
        <w:pStyle w:val="Heading3"/>
      </w:pPr>
      <w:r>
        <w:t xml:space="preserve">2.1 Tableau principal — expositions / 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6"/>
        <w:gridCol w:w="1667"/>
        <w:gridCol w:w="833"/>
        <w:gridCol w:w="1190"/>
        <w:gridCol w:w="1369"/>
        <w:gridCol w:w="1190"/>
        <w:gridCol w:w="1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Peinture &amp; arts graphiques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Photographie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Sculpture &amp;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Art numérique &amp; vidéo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régional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Part nationale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12 400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Occitanie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Nouvelle-Aquitaine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Bretagne / Normandie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Autres (DOM-TOM inclus)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Hauts-de-France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FRANCE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~14 750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~6 550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~4 050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~1 250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~26 600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</w:tbl>
    <w:bookmarkEnd w:id="20"/>
    <w:bookmarkStart w:id="24" w:name="X39d1d886f2b219a8856b826da3fcfc0ac204d1a"/>
    <w:p>
      <w:pPr>
        <w:pStyle w:val="Heading3"/>
      </w:pPr>
      <w:r>
        <w:t xml:space="preserve">2.2 Représentation visuelle — part du volume national</w:t>
      </w:r>
    </w:p>
    <w:p>
      <w:pPr>
        <w:pStyle w:val="CaptionedFigure"/>
      </w:pPr>
      <w:r>
        <w:drawing>
          <wp:inline>
            <wp:extent cx="5334000" cy="4985471"/>
            <wp:effectExtent b="0" l="0" r="0" t="0"/>
            <wp:docPr descr="Répartition nationale par discipline" title="" id="22" name="Picture"/>
            <a:graphic>
              <a:graphicData uri="http://schemas.openxmlformats.org/drawingml/2006/picture">
                <pic:pic>
                  <pic:nvPicPr>
                    <pic:cNvPr descr="./assets/bp/pie-disciplin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Répartition nationale par discipline</w:t>
      </w:r>
    </w:p>
    <w:p>
      <w:pPr>
        <w:pStyle w:val="BodyText"/>
      </w:pPr>
      <w:r>
        <w:rPr>
          <w:i/>
          <w:iCs/>
        </w:rPr>
        <w:t xml:space="preserve">Figure 3 — Ventilation nationale par discipline artistique.</w:t>
      </w:r>
    </w:p>
    <w:p>
      <w:pPr>
        <w:pStyle w:val="SourceCode"/>
      </w:pPr>
      <w:r>
        <w:rPr>
          <w:rStyle w:val="VerbatimChar"/>
        </w:rPr>
        <w:t xml:space="preserve">Île-de-France          ████████████████████████████████████████████████  46,6 %</w:t>
      </w:r>
      <w:r>
        <w:br/>
      </w:r>
      <w:r>
        <w:rPr>
          <w:rStyle w:val="VerbatimChar"/>
        </w:rPr>
        <w:t xml:space="preserve">Auvergne-Rhône-Alpes   ██████████                                         9,8 %</w:t>
      </w:r>
      <w:r>
        <w:br/>
      </w:r>
      <w:r>
        <w:rPr>
          <w:rStyle w:val="VerbatimChar"/>
        </w:rPr>
        <w:t xml:space="preserve">Occitanie              █████████                                          8,6 %</w:t>
      </w:r>
      <w:r>
        <w:br/>
      </w:r>
      <w:r>
        <w:rPr>
          <w:rStyle w:val="VerbatimChar"/>
        </w:rPr>
        <w:t xml:space="preserve">PACA                   ████████                                           7,5 %</w:t>
      </w:r>
      <w:r>
        <w:br/>
      </w:r>
      <w:r>
        <w:rPr>
          <w:rStyle w:val="VerbatimChar"/>
        </w:rPr>
        <w:t xml:space="preserve">Nouvelle-Aquitaine     ███████                                            7,1 %</w:t>
      </w:r>
      <w:r>
        <w:br/>
      </w:r>
      <w:r>
        <w:rPr>
          <w:rStyle w:val="VerbatimChar"/>
        </w:rPr>
        <w:t xml:space="preserve">Bretagne / Normandie   █████                                              5,1 %</w:t>
      </w:r>
      <w:r>
        <w:br/>
      </w:r>
      <w:r>
        <w:rPr>
          <w:rStyle w:val="VerbatimChar"/>
        </w:rPr>
        <w:t xml:space="preserve">Autres / DOM-TOM       ██████                                             5,5 %</w:t>
      </w:r>
      <w:r>
        <w:br/>
      </w:r>
      <w:r>
        <w:rPr>
          <w:rStyle w:val="VerbatimChar"/>
        </w:rPr>
        <w:t xml:space="preserve">Hauts-de-France        █████                                              4,9 %</w:t>
      </w:r>
      <w:r>
        <w:br/>
      </w:r>
      <w:r>
        <w:rPr>
          <w:rStyle w:val="VerbatimChar"/>
        </w:rPr>
        <w:t xml:space="preserve">Grand Est              █████                                              4,9 %</w:t>
      </w:r>
    </w:p>
    <w:bookmarkEnd w:id="24"/>
    <w:bookmarkStart w:id="28" w:name="carte-schématique-logique-de-densité"/>
    <w:p>
      <w:pPr>
        <w:pStyle w:val="Heading3"/>
      </w:pPr>
      <w:r>
        <w:t xml:space="preserve">2.3 Carte schématique (logique de densité)</w:t>
      </w:r>
    </w:p>
    <w:p>
      <w:pPr>
        <w:pStyle w:val="CaptionedFigure"/>
      </w:pPr>
      <w:r>
        <w:drawing>
          <wp:inline>
            <wp:extent cx="5334000" cy="4092847"/>
            <wp:effectExtent b="0" l="0" r="0" t="0"/>
            <wp:docPr descr="Carte schématique des axes régionaux" title="" id="26" name="Picture"/>
            <a:graphic>
              <a:graphicData uri="http://schemas.openxmlformats.org/drawingml/2006/picture">
                <pic:pic>
                  <pic:nvPicPr>
                    <pic:cNvPr descr="./assets/bp/carte-schematique-densi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schématique des axes régionaux</w:t>
      </w:r>
    </w:p>
    <w:p>
      <w:pPr>
        <w:pStyle w:val="BodyText"/>
      </w:pPr>
      <w:r>
        <w:rPr>
          <w:i/>
          <w:iCs/>
        </w:rPr>
        <w:t xml:space="preserve">Schéma 2.3 — Hub Île-de-France et axes Sud (photo), Est/Nord (numérique), Ouest et province.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pécialisations-régionales"/>
    <w:p>
      <w:pPr>
        <w:pStyle w:val="Heading2"/>
      </w:pPr>
      <w:r>
        <w:t xml:space="preserve">3. Spécialisations régionales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405"/>
        <w:gridCol w:w="2427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</w:pPr>
            <w:r>
              <w:t xml:space="preserve">Dominante</w:t>
            </w:r>
          </w:p>
        </w:tc>
        <w:tc>
          <w:tcPr/>
          <w:p>
            <w:pPr>
              <w:pStyle w:val="Compact"/>
            </w:pPr>
            <w:r>
              <w:t xml:space="preserve">Piliers &amp; réseaux</w:t>
            </w:r>
          </w:p>
        </w:tc>
        <w:tc>
          <w:tcPr/>
          <w:p>
            <w:pPr>
              <w:pStyle w:val="Compact"/>
            </w:pPr>
            <w:r>
              <w:t xml:space="preserve">Implication AIMEDIArt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Île-de-France</w:t>
            </w:r>
          </w:p>
        </w:tc>
        <w:tc>
          <w:tcPr/>
          <w:p>
            <w:pPr>
              <w:pStyle w:val="Compact"/>
            </w:pPr>
            <w:r>
              <w:t xml:space="preserve">Peinture &amp; arts graphiques (60 % de l’offre locale)</w:t>
            </w:r>
          </w:p>
        </w:tc>
        <w:tc>
          <w:tcPr/>
          <w:p>
            <w:pPr>
              <w:pStyle w:val="Compact"/>
            </w:pPr>
            <w:r>
              <w:t xml:space="preserve">~1 100 galeries parisiennes · Musées nationaux (Orsay, Beaubourg, Louvre…) · MAD Paris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Priorité n°1</w:t>
            </w:r>
            <w:r>
              <w:t xml:space="preserve"> </w:t>
            </w:r>
            <w:r>
              <w:t xml:space="preserve">— volume + premium · plans Horizon / Rayonnement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PACA</w:t>
            </w:r>
          </w:p>
        </w:tc>
        <w:tc>
          <w:tcPr/>
          <w:p>
            <w:pPr>
              <w:pStyle w:val="Compact"/>
            </w:pPr>
            <w:r>
              <w:t xml:space="preserve">Photographie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Arles</w:t>
            </w:r>
            <w:r>
              <w:t xml:space="preserve"> </w:t>
            </w:r>
            <w:r>
              <w:t xml:space="preserve">(~40 expos officielles + 100+ off en été) · Paris Photo ( métropole ) · Marseille</w:t>
            </w:r>
          </w:p>
        </w:tc>
        <w:tc>
          <w:tcPr/>
          <w:p>
            <w:pPr>
              <w:pStyle w:val="Compact"/>
            </w:pPr>
            <w:r>
              <w:t xml:space="preserve">Pic saisonnier avril–juillet · cible</w:t>
            </w:r>
            <w:r>
              <w:t xml:space="preserve"> </w:t>
            </w:r>
            <w:r>
              <w:rPr>
                <w:b/>
                <w:bCs/>
              </w:rPr>
              <w:t xml:space="preserve">Zénith</w:t>
            </w:r>
            <w:r>
              <w:t xml:space="preserve"> </w:t>
            </w:r>
            <w:r>
              <w:t xml:space="preserve">festivals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Occitanie</w:t>
            </w:r>
          </w:p>
        </w:tc>
        <w:tc>
          <w:tcPr/>
          <w:p>
            <w:pPr>
              <w:pStyle w:val="Compact"/>
            </w:pPr>
            <w:r>
              <w:t xml:space="preserve">Photographie</w:t>
            </w:r>
          </w:p>
        </w:tc>
        <w:tc>
          <w:tcPr/>
          <w:p>
            <w:pPr>
              <w:pStyle w:val="Compact"/>
            </w:pPr>
            <w:r>
              <w:t xml:space="preserve">Toulouse ·</w:t>
            </w:r>
            <w:r>
              <w:t xml:space="preserve"> </w:t>
            </w:r>
            <w:r>
              <w:rPr>
                <w:b/>
                <w:bCs/>
              </w:rPr>
              <w:t xml:space="preserve">Perpignan</w:t>
            </w:r>
            <w:r>
              <w:t xml:space="preserve"> </w:t>
            </w:r>
            <w:r>
              <w:t xml:space="preserve">(Visa pour l’Image) · Montpellier</w:t>
            </w:r>
          </w:p>
        </w:tc>
        <w:tc>
          <w:tcPr/>
          <w:p>
            <w:pPr>
              <w:pStyle w:val="Compact"/>
            </w:pPr>
            <w:r>
              <w:t xml:space="preserve">Forte adéquation médiation multilingue (tourisme)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Auvergne-Rhône-Alpes</w:t>
            </w:r>
          </w:p>
        </w:tc>
        <w:tc>
          <w:tcPr/>
          <w:p>
            <w:pPr>
              <w:pStyle w:val="Compact"/>
            </w:pPr>
            <w:r>
              <w:t xml:space="preserve">Design &amp; sculpture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Cité du Design</w:t>
            </w:r>
            <w:r>
              <w:t xml:space="preserve"> </w:t>
            </w:r>
            <w:r>
              <w:t xml:space="preserve">(Saint-Étienne) · Lyon (Musée des Beaux-Arts, MAC) · FRAC</w:t>
            </w:r>
            <w:r>
              <w:rPr>
                <w:rStyle w:val="FootnoteReference"/>
              </w:rPr>
              <w:footnoteReference w:id="30"/>
            </w:r>
            <w:r>
              <w:t xml:space="preserve"> </w:t>
            </w:r>
            <w:r>
              <w:t xml:space="preserve">Auvergne</w:t>
            </w:r>
          </w:p>
        </w:tc>
        <w:tc>
          <w:tcPr/>
          <w:p>
            <w:pPr>
              <w:pStyle w:val="Compact"/>
            </w:pPr>
            <w:r>
              <w:t xml:space="preserve">Plan Horizon (60–100 œuvres/expo)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Nouvelle-Aquitaine</w:t>
            </w:r>
          </w:p>
        </w:tc>
        <w:tc>
          <w:tcPr/>
          <w:p>
            <w:pPr>
              <w:pStyle w:val="Compact"/>
            </w:pPr>
            <w:r>
              <w:t xml:space="preserve">Peinture &amp; arts graphiques</w:t>
            </w:r>
          </w:p>
        </w:tc>
        <w:tc>
          <w:tcPr/>
          <w:p>
            <w:pPr>
              <w:pStyle w:val="Compact"/>
            </w:pPr>
            <w:r>
              <w:t xml:space="preserve">Bordeaux · Biarritz · Musée des Beaux-Arts régionaux</w:t>
            </w:r>
          </w:p>
        </w:tc>
        <w:tc>
          <w:tcPr/>
          <w:p>
            <w:pPr>
              <w:pStyle w:val="Compact"/>
            </w:pPr>
            <w:r>
              <w:t xml:space="preserve">Croissance province · Atelier → 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Est</w:t>
            </w:r>
          </w:p>
        </w:tc>
        <w:tc>
          <w:tcPr/>
          <w:p>
            <w:pPr>
              <w:pStyle w:val="Compact"/>
            </w:pPr>
            <w:r>
              <w:t xml:space="preserve">Art numérique (rattrapage)</w:t>
            </w:r>
          </w:p>
        </w:tc>
        <w:tc>
          <w:tcPr/>
          <w:p>
            <w:pPr>
              <w:pStyle w:val="Compact"/>
            </w:pPr>
            <w:r>
              <w:t xml:space="preserve">Metz (Centre Pompidou-Metz) · Strasbourg · arts immersifs</w:t>
            </w:r>
          </w:p>
        </w:tc>
        <w:tc>
          <w:tcPr/>
          <w:p>
            <w:pPr>
              <w:pStyle w:val="Compact"/>
            </w:pPr>
            <w:r>
              <w:t xml:space="preserve">Early adopters</w:t>
            </w:r>
            <w:r>
              <w:t xml:space="preserve"> </w:t>
            </w:r>
            <w:r>
              <w:rPr>
                <w:b/>
                <w:bCs/>
              </w:rPr>
              <w:t xml:space="preserve">art numérique</w:t>
            </w:r>
            <w:r>
              <w:t xml:space="preserve"> </w:t>
            </w:r>
            <w:r>
              <w:t xml:space="preserve">· QR + expérience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Hauts-de-France</w:t>
            </w:r>
          </w:p>
        </w:tc>
        <w:tc>
          <w:tcPr/>
          <w:p>
            <w:pPr>
              <w:pStyle w:val="Compact"/>
            </w:pPr>
            <w:r>
              <w:t xml:space="preserve">Art numérique &amp; patrimoine</w:t>
            </w:r>
          </w:p>
        </w:tc>
        <w:tc>
          <w:tcPr/>
          <w:p>
            <w:pPr>
              <w:pStyle w:val="Compact"/>
            </w:pPr>
            <w:r>
              <w:t xml:space="preserve">Lille (Palais des Beaux-Arts) · Lens (Louvre-Lens) · LaM</w:t>
            </w:r>
          </w:p>
        </w:tc>
        <w:tc>
          <w:tcPr/>
          <w:p>
            <w:pPr>
              <w:pStyle w:val="Compact"/>
            </w:pPr>
            <w:r>
              <w:t xml:space="preserve">Musées territoriaux format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Bretagne / Normandie</w:t>
            </w:r>
          </w:p>
        </w:tc>
        <w:tc>
          <w:tcPr/>
          <w:p>
            <w:pPr>
              <w:pStyle w:val="Compact"/>
            </w:pPr>
            <w:r>
              <w:t xml:space="preserve">Équilibre multi-catégories</w:t>
            </w:r>
          </w:p>
        </w:tc>
        <w:tc>
          <w:tcPr/>
          <w:p>
            <w:pPr>
              <w:pStyle w:val="Compact"/>
            </w:pPr>
            <w:r>
              <w:t xml:space="preserve">Rennes · Nantes · Rouen · FRAC Bretagne</w:t>
            </w:r>
          </w:p>
        </w:tc>
        <w:tc>
          <w:tcPr/>
          <w:p>
            <w:pPr>
              <w:pStyle w:val="Compact"/>
            </w:pPr>
            <w:r>
              <w:t xml:space="preserve">Tissu intermédiaire · réseau DCA</w:t>
            </w:r>
            <w:r>
              <w:rPr>
                <w:rStyle w:val="FootnoteReference"/>
              </w:rPr>
              <w:footnoteReference w:id="31"/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Autres / DOM-TOM</w:t>
            </w:r>
          </w:p>
        </w:tc>
        <w:tc>
          <w:tcPr/>
          <w:p>
            <w:pPr>
              <w:pStyle w:val="Compact"/>
            </w:pPr>
            <w:r>
              <w:t xml:space="preserve">Volume dispersé</w:t>
            </w:r>
          </w:p>
        </w:tc>
        <w:tc>
          <w:tcPr/>
          <w:p>
            <w:pPr>
              <w:pStyle w:val="Compact"/>
            </w:pPr>
            <w:r>
              <w:t xml:space="preserve">Antilles · Réunion · Mayotte · Corse</w:t>
            </w:r>
          </w:p>
        </w:tc>
        <w:tc>
          <w:tcPr/>
          <w:p>
            <w:pPr>
              <w:pStyle w:val="Compact"/>
            </w:pPr>
            <w:r>
              <w:t xml:space="preserve">Phase 3 · partenariats institutionnels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0" w:name="Xc312889c8e28cc944afd4ca547cf4b25e688463"/>
    <w:p>
      <w:pPr>
        <w:pStyle w:val="Heading2"/>
      </w:pPr>
      <w:r>
        <w:t xml:space="preserve">4. Répartition par discipline (vue nationale → régionale)</w:t>
      </w:r>
    </w:p>
    <w:p>
      <w:pPr>
        <w:pStyle w:val="CaptionedFigure"/>
      </w:pPr>
      <w:r>
        <w:drawing>
          <wp:inline>
            <wp:extent cx="5334000" cy="3632756"/>
            <wp:effectExtent b="0" l="0" r="0" t="0"/>
            <wp:docPr descr="Figure 4 — Spécialisation régionale par discipline" title="" id="34" name="Picture"/>
            <a:graphic>
              <a:graphicData uri="http://schemas.openxmlformats.org/drawingml/2006/picture">
                <pic:pic>
                  <pic:nvPicPr>
                    <pic:cNvPr descr="./assets/bp/figure-04-specialisation-regional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Spécialisation régionale par discipline</w:t>
      </w:r>
    </w:p>
    <w:p>
      <w:pPr>
        <w:pStyle w:val="BodyText"/>
      </w:pPr>
      <w:r>
        <w:rPr>
          <w:i/>
          <w:iCs/>
        </w:rPr>
        <w:t xml:space="preserve">Figure 4 — Spécialisation régionale : peinture, photo, sculpture, art numérique.</w:t>
      </w:r>
    </w:p>
    <w:bookmarkStart w:id="36" w:name="peinture-arts-graphiques-14-750-exposan"/>
    <w:p>
      <w:pPr>
        <w:pStyle w:val="Heading3"/>
      </w:pPr>
      <w:r>
        <w:t xml:space="preserve">4.1 Peinture &amp; arts graphiques (~14 750 expos/an)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catégorie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Occitanie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Nouvelle-Aquitaine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6,1 %</w:t>
            </w:r>
          </w:p>
        </w:tc>
      </w:tr>
    </w:tbl>
    <w:p>
      <w:pPr>
        <w:pStyle w:val="BodyText"/>
      </w:pPr>
      <w:r>
        <w:t xml:space="preserve">→ Catégorie la plus « parisienne » :</w:t>
      </w:r>
      <w:r>
        <w:t xml:space="preserve"> </w:t>
      </w:r>
      <w:r>
        <w:rPr>
          <w:b/>
          <w:bCs/>
        </w:rPr>
        <w:t xml:space="preserve">1 Parisien sur 2</w:t>
      </w:r>
      <w:r>
        <w:t xml:space="preserve"> </w:t>
      </w:r>
      <w:r>
        <w:t xml:space="preserve">(en volume d’expositions peinture/graphiques).</w:t>
      </w:r>
    </w:p>
    <w:bookmarkEnd w:id="36"/>
    <w:bookmarkStart w:id="37" w:name="photographie-6-550-exposan"/>
    <w:p>
      <w:pPr>
        <w:pStyle w:val="Heading3"/>
      </w:pPr>
      <w:r>
        <w:t xml:space="preserve">4.2 Photographie (~6 550 expos/an)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catégorie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Occitanie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Nouvelle-Aquitaine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7,6 %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Axe Sud</w:t>
      </w:r>
      <w:r>
        <w:t xml:space="preserve"> </w:t>
      </w:r>
      <w:r>
        <w:t xml:space="preserve">(Occitanie + PACA = 23 %) surperforme sa part globale : hub photo (Arles, Perpignan, Montpellier).</w:t>
      </w:r>
    </w:p>
    <w:bookmarkEnd w:id="37"/>
    <w:bookmarkStart w:id="38" w:name="sculpture-design-4-050-exposan"/>
    <w:p>
      <w:pPr>
        <w:pStyle w:val="Heading3"/>
      </w:pPr>
      <w:r>
        <w:t xml:space="preserve">4.3 Sculpture &amp; design (~4 050 expos/an)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catégorie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Occitanie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Grand 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6,2 %</w:t>
            </w:r>
          </w:p>
        </w:tc>
      </w:tr>
    </w:tbl>
    <w:p>
      <w:pPr>
        <w:pStyle w:val="BodyText"/>
      </w:pPr>
      <w:r>
        <w:t xml:space="preserve">→ Portée par les</w:t>
      </w:r>
      <w:r>
        <w:t xml:space="preserve"> </w:t>
      </w:r>
      <w:r>
        <w:rPr>
          <w:b/>
          <w:bCs/>
        </w:rPr>
        <w:t xml:space="preserve">FRAC</w:t>
      </w:r>
      <w:r>
        <w:t xml:space="preserve"> </w:t>
      </w:r>
      <w:r>
        <w:t xml:space="preserve">et pôles design (Saint-Étienne, Paris).</w:t>
      </w:r>
    </w:p>
    <w:bookmarkEnd w:id="38"/>
    <w:bookmarkStart w:id="39" w:name="Xc5ff0960479c5ec9eca8d2664807d93c8e4d2f5"/>
    <w:p>
      <w:pPr>
        <w:pStyle w:val="Heading3"/>
      </w:pPr>
      <w:r>
        <w:t xml:space="preserve">4.4 Art numérique &amp; nouveaux médias (~1 250 expos/an)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catégorie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Occitanie / NAQ / 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chacune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8,0 %</w:t>
            </w:r>
          </w:p>
        </w:tc>
      </w:tr>
    </w:tbl>
    <w:p>
      <w:pPr>
        <w:pStyle w:val="BodyText"/>
      </w:pPr>
      <w:r>
        <w:t xml:space="preserve">→ Catégorie la plus rare et la plus</w:t>
      </w:r>
      <w:r>
        <w:t xml:space="preserve"> </w:t>
      </w:r>
      <w:r>
        <w:rPr>
          <w:b/>
          <w:bCs/>
        </w:rPr>
        <w:t xml:space="preserve">centralisée</w:t>
      </w:r>
      <w:r>
        <w:t xml:space="preserve"> </w:t>
      </w:r>
      <w:r>
        <w:t xml:space="preserve">; Grand Est et Hauts-de-France en rattrapage (arts immersifs).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stimation-du-samsam-par-région"/>
    <w:p>
      <w:pPr>
        <w:pStyle w:val="Heading2"/>
      </w:pPr>
      <w:r>
        <w:t xml:space="preserve">5. Estimation du SAM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par région</w:t>
      </w:r>
    </w:p>
    <w:p>
      <w:pPr>
        <w:pStyle w:val="FirstParagraph"/>
      </w:pPr>
      <w:r>
        <w:rPr>
          <w:i/>
          <w:iCs/>
        </w:rPr>
        <w:t xml:space="preserve">Hypothèse : SAM national = ~3 750 structures abonnables</w:t>
      </w:r>
      <w:r>
        <w:rPr>
          <w:rStyle w:val="FootnoteReference"/>
        </w:rPr>
        <w:footnoteReference w:id="42"/>
      </w:r>
      <w:r>
        <w:t xml:space="preserve"> </w:t>
      </w:r>
      <w:r>
        <w:rPr>
          <w:i/>
          <w:iCs/>
        </w:rPr>
        <w:t xml:space="preserve">(musées, centres d’art, galeries premium, FRAC) — répartition proportionnelle au volume d’expositions.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321"/>
        <w:gridCol w:w="2184"/>
        <w:gridCol w:w="2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expositions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SAM estimé</w:t>
            </w:r>
          </w:p>
        </w:tc>
        <w:tc>
          <w:tcPr/>
          <w:p>
            <w:pPr>
              <w:pStyle w:val="Compact"/>
            </w:pPr>
            <w:r>
              <w:t xml:space="preserve">Structures clés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Île-de-France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~1 750</w:t>
            </w:r>
          </w:p>
        </w:tc>
        <w:tc>
          <w:tcPr/>
          <w:p>
            <w:pPr>
              <w:pStyle w:val="Compact"/>
            </w:pPr>
            <w:r>
              <w:t xml:space="preserve">1 100 galeries Paris · musées nationaux · Centquatre · Gaîté Lyrique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Auvergne-Rhône-Alpes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~370</w:t>
            </w:r>
          </w:p>
        </w:tc>
        <w:tc>
          <w:tcPr/>
          <w:p>
            <w:pPr>
              <w:pStyle w:val="Compact"/>
            </w:pPr>
            <w:r>
              <w:t xml:space="preserve">MAC Lyon · FRAC · Cité du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Occitanie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~320</w:t>
            </w:r>
          </w:p>
        </w:tc>
        <w:tc>
          <w:tcPr/>
          <w:p>
            <w:pPr>
              <w:pStyle w:val="Compact"/>
            </w:pPr>
            <w:r>
              <w:t xml:space="preserve">Frac Occitanie · centres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~280</w:t>
            </w:r>
          </w:p>
        </w:tc>
        <w:tc>
          <w:tcPr/>
          <w:p>
            <w:pPr>
              <w:pStyle w:val="Compact"/>
            </w:pPr>
            <w:r>
              <w:t xml:space="preserve">Rencontres d’Arles · FRAC PACA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Nouvelle-Aquitaine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~265</w:t>
            </w:r>
          </w:p>
        </w:tc>
        <w:tc>
          <w:tcPr/>
          <w:p>
            <w:pPr>
              <w:pStyle w:val="Compact"/>
            </w:pPr>
            <w:r>
              <w:t xml:space="preserve">CAPC Bordeaux · Musée des Beaux-Arts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Bretagne / Normandie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~190</w:t>
            </w:r>
          </w:p>
        </w:tc>
        <w:tc>
          <w:tcPr/>
          <w:p>
            <w:pPr>
              <w:pStyle w:val="Compact"/>
            </w:pPr>
            <w:r>
              <w:t xml:space="preserve">FRAC Bretagne · centres d’art Nantes/Rennes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/ DOM-TOM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~205</w:t>
            </w:r>
          </w:p>
        </w:tc>
        <w:tc>
          <w:tcPr/>
          <w:p>
            <w:pPr>
              <w:pStyle w:val="Compact"/>
            </w:pPr>
            <w:r>
              <w:t xml:space="preserve">Institutions locales dispersées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Hauts-de-France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~185</w:t>
            </w:r>
          </w:p>
        </w:tc>
        <w:tc>
          <w:tcPr/>
          <w:p>
            <w:pPr>
              <w:pStyle w:val="Compact"/>
            </w:pPr>
            <w:r>
              <w:t xml:space="preserve">Louvre-Lens · LaM · Palais des Beaux-Arts Lille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~185</w:t>
            </w:r>
          </w:p>
        </w:tc>
        <w:tc>
          <w:tcPr/>
          <w:p>
            <w:pPr>
              <w:pStyle w:val="Compact"/>
            </w:pPr>
            <w:r>
              <w:t xml:space="preserve">Centre Pompidou-Metz · Frac Lorraine / Alsace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~3 750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Objectif SOM</w:t>
      </w:r>
      <w:r>
        <w:rPr>
          <w:rStyle w:val="FootnoteReference"/>
        </w:rPr>
        <w:footnoteReference w:id="43"/>
      </w:r>
      <w:r>
        <w:rPr>
          <w:b/>
          <w:bCs/>
        </w:rPr>
        <w:t xml:space="preserve"> </w:t>
      </w:r>
      <w:r>
        <w:rPr>
          <w:b/>
          <w:bCs/>
        </w:rPr>
        <w:t xml:space="preserve">A3 (scénario base) :</w:t>
      </w:r>
      <w:r>
        <w:t xml:space="preserve"> </w:t>
      </w:r>
      <w:r>
        <w:t xml:space="preserve">95 clients payants =</w:t>
      </w:r>
      <w:r>
        <w:t xml:space="preserve"> </w:t>
      </w:r>
      <w:r>
        <w:rPr>
          <w:b/>
          <w:bCs/>
        </w:rPr>
        <w:t xml:space="preserve">~2,5 % du SAM national</w:t>
      </w:r>
      <w:r>
        <w:t xml:space="preserve">, mais</w:t>
      </w:r>
      <w:r>
        <w:t xml:space="preserve"> </w:t>
      </w:r>
      <w:r>
        <w:rPr>
          <w:b/>
          <w:bCs/>
        </w:rPr>
        <w:t xml:space="preserve">~5,4 % du SAM IdF</w:t>
      </w:r>
      <w:r>
        <w:t xml:space="preserve"> </w:t>
      </w:r>
      <w:r>
        <w:t xml:space="preserve">si acquisition parisienne dominante — d’où l’intérêt d’une expansion province dès A2.</w:t>
      </w:r>
    </w:p>
    <w:p>
      <w:r>
        <w:pict>
          <v:rect style="width:0;height:1.5pt" o:hralign="center" o:hrstd="t" o:hr="t"/>
        </w:pict>
      </w:r>
    </w:p>
    <w:bookmarkEnd w:id="44"/>
    <w:bookmarkStart w:id="48" w:name="X891ed599e863fc5ce0c02d5446d38dc8cb5994e"/>
    <w:p>
      <w:pPr>
        <w:pStyle w:val="Heading2"/>
      </w:pPr>
      <w:r>
        <w:t xml:space="preserve">6. Matrice de priorisation commerciale AIMEDIArt</w:t>
      </w:r>
    </w:p>
    <w:p>
      <w:pPr>
        <w:pStyle w:val="CaptionedFigure"/>
      </w:pPr>
      <w:r>
        <w:drawing>
          <wp:inline>
            <wp:extent cx="5334000" cy="3243101"/>
            <wp:effectExtent b="0" l="0" r="0" t="0"/>
            <wp:docPr descr="Matrice de priorisation commerciale" title="" id="46" name="Picture"/>
            <a:graphic>
              <a:graphicData uri="http://schemas.openxmlformats.org/drawingml/2006/picture">
                <pic:pic>
                  <pic:nvPicPr>
                    <pic:cNvPr descr="./assets/bp/heatmap-prioris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Matrice de priorisation commerciale</w:t>
      </w:r>
    </w:p>
    <w:p>
      <w:pPr>
        <w:pStyle w:val="BodyText"/>
      </w:pPr>
      <w:r>
        <w:rPr>
          <w:i/>
          <w:iCs/>
        </w:rPr>
        <w:t xml:space="preserve">Figure 5 — Scoring par tier régional (volume, marge, saisonnalité, multilingue, urgence).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516"/>
        <w:gridCol w:w="1853"/>
        <w:gridCol w:w="2022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Régions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Plan cible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— Cœur</w:t>
            </w:r>
          </w:p>
        </w:tc>
        <w:tc>
          <w:tcPr/>
          <w:p>
            <w:pPr>
              <w:pStyle w:val="Compact"/>
            </w:pPr>
            <w:r>
              <w:t xml:space="preserve">Île-de-France</w:t>
            </w:r>
          </w:p>
        </w:tc>
        <w:tc>
          <w:tcPr/>
          <w:p>
            <w:pPr>
              <w:pStyle w:val="Compact"/>
            </w:pPr>
            <w:r>
              <w:t xml:space="preserve">47 % du volume · musées nationaux + galeries</w:t>
            </w:r>
          </w:p>
        </w:tc>
        <w:tc>
          <w:tcPr/>
          <w:p>
            <w:pPr>
              <w:pStyle w:val="Compact"/>
            </w:pPr>
            <w:r>
              <w:t xml:space="preserve">Atelier → Horizon → Rayonnement</w:t>
            </w:r>
          </w:p>
        </w:tc>
        <w:tc>
          <w:tcPr/>
          <w:p>
            <w:pPr>
              <w:pStyle w:val="Compact"/>
            </w:pPr>
            <w:r>
              <w:t xml:space="preserve">A1–A3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— Saison</w:t>
            </w:r>
          </w:p>
        </w:tc>
        <w:tc>
          <w:tcPr/>
          <w:p>
            <w:pPr>
              <w:pStyle w:val="Compact"/>
            </w:pPr>
            <w:r>
              <w:t xml:space="preserve">PACA, Occitanie</w:t>
            </w:r>
          </w:p>
        </w:tc>
        <w:tc>
          <w:tcPr/>
          <w:p>
            <w:pPr>
              <w:pStyle w:val="Compact"/>
            </w:pPr>
            <w:r>
              <w:t xml:space="preserve">Festivals photo · tourisme international · multilingue</w:t>
            </w:r>
          </w:p>
        </w:tc>
        <w:tc>
          <w:tcPr/>
          <w:p>
            <w:pPr>
              <w:pStyle w:val="Compact"/>
            </w:pPr>
            <w:r>
              <w:t xml:space="preserve">Horizon ·</w:t>
            </w:r>
            <w:r>
              <w:t xml:space="preserve"> </w:t>
            </w:r>
            <w:r>
              <w:rPr>
                <w:b/>
                <w:bCs/>
              </w:rPr>
              <w:t xml:space="preserve">Zénith</w:t>
            </w:r>
            <w:r>
              <w:t xml:space="preserve"> </w:t>
            </w:r>
            <w:r>
              <w:t xml:space="preserve">(Arles, Visa)</w:t>
            </w:r>
          </w:p>
        </w:tc>
        <w:tc>
          <w:tcPr/>
          <w:p>
            <w:pPr>
              <w:pStyle w:val="Compact"/>
            </w:pPr>
            <w:r>
              <w:t xml:space="preserve">A2 (avril–juil.)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— Province M</w:t>
            </w:r>
          </w:p>
        </w:tc>
        <w:tc>
          <w:tcPr/>
          <w:p>
            <w:pPr>
              <w:pStyle w:val="Compact"/>
            </w:pPr>
            <w:r>
              <w:t xml:space="preserve">Auvergne-Rhône-Alpes, Nouvelle-Aquitaine</w:t>
            </w:r>
          </w:p>
        </w:tc>
        <w:tc>
          <w:tcPr/>
          <w:p>
            <w:pPr>
              <w:pStyle w:val="Compact"/>
            </w:pPr>
            <w:r>
              <w:t xml:space="preserve">Musées territoriaux format M (~60 œuvres)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A2–A3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— Ouest</w:t>
            </w:r>
          </w:p>
        </w:tc>
        <w:tc>
          <w:tcPr/>
          <w:p>
            <w:pPr>
              <w:pStyle w:val="Compact"/>
            </w:pPr>
            <w:r>
              <w:t xml:space="preserve">Bretagne / Normandie</w:t>
            </w:r>
          </w:p>
        </w:tc>
        <w:tc>
          <w:tcPr/>
          <w:p>
            <w:pPr>
              <w:pStyle w:val="Compact"/>
            </w:pPr>
            <w:r>
              <w:t xml:space="preserve">Centres d’art DCA · tissu équilibré</w:t>
            </w:r>
          </w:p>
        </w:tc>
        <w:tc>
          <w:tcPr/>
          <w:p>
            <w:pPr>
              <w:pStyle w:val="Compact"/>
            </w:pPr>
            <w:r>
              <w:t xml:space="preserve">Atelier → Horizon</w:t>
            </w:r>
          </w:p>
        </w:tc>
        <w:tc>
          <w:tcPr/>
          <w:p>
            <w:pPr>
              <w:pStyle w:val="Compact"/>
            </w:pPr>
            <w:r>
              <w:t xml:space="preserve">A2–A3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— Niche numérique</w:t>
            </w:r>
          </w:p>
        </w:tc>
        <w:tc>
          <w:tcPr/>
          <w:p>
            <w:pPr>
              <w:pStyle w:val="Compact"/>
            </w:pPr>
            <w:r>
              <w:t xml:space="preserve">Grand Est, Hauts-de-France</w:t>
            </w:r>
          </w:p>
        </w:tc>
        <w:tc>
          <w:tcPr/>
          <w:p>
            <w:pPr>
              <w:pStyle w:val="Compact"/>
            </w:pPr>
            <w:r>
              <w:t xml:space="preserve">Art numérique · arts immersifs · early adopters</w:t>
            </w:r>
          </w:p>
        </w:tc>
        <w:tc>
          <w:tcPr/>
          <w:p>
            <w:pPr>
              <w:pStyle w:val="Compact"/>
            </w:pPr>
            <w:r>
              <w:t xml:space="preserve">Horizon · démos stats + carte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— Ultramarin</w:t>
            </w:r>
          </w:p>
        </w:tc>
        <w:tc>
          <w:tcPr/>
          <w:p>
            <w:pPr>
              <w:pStyle w:val="Compact"/>
            </w:pPr>
            <w:r>
              <w:t xml:space="preserve">DOM-TOM</w:t>
            </w:r>
          </w:p>
        </w:tc>
        <w:tc>
          <w:tcPr/>
          <w:p>
            <w:pPr>
              <w:pStyle w:val="Compact"/>
            </w:pPr>
            <w:r>
              <w:t xml:space="preserve">Volume faible mais institutionnalisable</w:t>
            </w:r>
          </w:p>
        </w:tc>
        <w:tc>
          <w:tcPr/>
          <w:p>
            <w:pPr>
              <w:pStyle w:val="Compact"/>
            </w:pPr>
            <w:r>
              <w:t xml:space="preserve">Partenariats · Rayonnement</w:t>
            </w:r>
          </w:p>
        </w:tc>
        <w:tc>
          <w:tcPr/>
          <w:p>
            <w:pPr>
              <w:pStyle w:val="Compact"/>
            </w:pPr>
            <w:r>
              <w:t xml:space="preserve">A3+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saisonnalité-régionale"/>
    <w:p>
      <w:pPr>
        <w:pStyle w:val="Heading2"/>
      </w:pPr>
      <w:r>
        <w:t xml:space="preserve">7. Saisonnalité régionale</w:t>
      </w:r>
    </w:p>
    <w:p>
      <w:pPr>
        <w:pStyle w:val="CaptionedFigure"/>
      </w:pPr>
      <w:r>
        <w:drawing>
          <wp:inline>
            <wp:extent cx="5334000" cy="3708961"/>
            <wp:effectExtent b="0" l="0" r="0" t="0"/>
            <wp:docPr descr="Saisonnalité des expositions" title="" id="50" name="Picture"/>
            <a:graphic>
              <a:graphicData uri="http://schemas.openxmlformats.org/drawingml/2006/picture">
                <pic:pic>
                  <pic:nvPicPr>
                    <pic:cNvPr descr="./assets/bp/saisonnalite-exposition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Saisonnalité des expositions</w:t>
      </w:r>
    </w:p>
    <w:p>
      <w:pPr>
        <w:pStyle w:val="BodyText"/>
      </w:pPr>
      <w:r>
        <w:rPr>
          <w:i/>
          <w:iCs/>
        </w:rPr>
        <w:t xml:space="preserve">Figure 6 — Pic avril–juillet (~40 % du volume national) ; surperformance PACA + Occitanie en été.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89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Dynamique</w:t>
            </w:r>
          </w:p>
        </w:tc>
        <w:tc>
          <w:tcPr/>
          <w:p>
            <w:pPr>
              <w:pStyle w:val="Compact"/>
            </w:pPr>
            <w:r>
              <w:t xml:space="preserve">Régions les plus actives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Janv.–mars</w:t>
            </w:r>
          </w:p>
        </w:tc>
        <w:tc>
          <w:tcPr/>
          <w:p>
            <w:pPr>
              <w:pStyle w:val="Compact"/>
            </w:pPr>
            <w:r>
              <w:t xml:space="preserve">Creux relatif · montage expos printemps</w:t>
            </w:r>
          </w:p>
        </w:tc>
        <w:tc>
          <w:tcPr/>
          <w:p>
            <w:pPr>
              <w:pStyle w:val="Compact"/>
            </w:pPr>
            <w:r>
              <w:t xml:space="preserve">IdF (préparation), musées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Avril–juillet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~40 % du volume annuel</w:t>
            </w:r>
          </w:p>
        </w:tc>
        <w:tc>
          <w:tcPr/>
          <w:p>
            <w:pPr>
              <w:pStyle w:val="Compact"/>
            </w:pPr>
            <w:r>
              <w:t xml:space="preserve">PACA (Arles), Occitanie, IdF (foires)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Sept.–déc.</w:t>
            </w:r>
          </w:p>
        </w:tc>
        <w:tc>
          <w:tcPr/>
          <w:p>
            <w:pPr>
              <w:pStyle w:val="Compact"/>
            </w:pPr>
            <w:r>
              <w:t xml:space="preserve">Rentrée culturelle · expos temporaires musées</w:t>
            </w:r>
          </w:p>
        </w:tc>
        <w:tc>
          <w:tcPr/>
          <w:p>
            <w:pPr>
              <w:pStyle w:val="Compact"/>
            </w:pPr>
            <w:r>
              <w:t xml:space="preserve">IdF, ARA, NAQ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Toute l’année</w:t>
            </w:r>
          </w:p>
        </w:tc>
        <w:tc>
          <w:tcPr/>
          <w:p>
            <w:pPr>
              <w:pStyle w:val="Compact"/>
            </w:pPr>
            <w:r>
              <w:t xml:space="preserve">Galeries (rotation 6–8 semaines)</w:t>
            </w:r>
          </w:p>
        </w:tc>
        <w:tc>
          <w:tcPr/>
          <w:p>
            <w:pPr>
              <w:pStyle w:val="Compact"/>
            </w:pPr>
            <w:r>
              <w:t xml:space="preserve">IdF surtout, métropoles province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Conséquence produit :</w:t>
      </w:r>
      <w:r>
        <w:t xml:space="preserve"> </w:t>
      </w:r>
      <w:r>
        <w:t xml:space="preserve">pousser le</w:t>
      </w:r>
      <w:r>
        <w:t xml:space="preserve"> </w:t>
      </w:r>
      <w:r>
        <w:rPr>
          <w:b/>
          <w:bCs/>
        </w:rPr>
        <w:t xml:space="preserve">plan veille</w:t>
      </w:r>
      <w:r>
        <w:t xml:space="preserve"> </w:t>
      </w:r>
      <w:r>
        <w:t xml:space="preserve">(19–49 €/mois) hors saison dans les régions festivalières (PACA, Occitanie).</w:t>
      </w:r>
    </w:p>
    <w:p>
      <w:r>
        <w:pict>
          <v:rect style="width:0;height:1.5pt" o:hralign="center" o:hrstd="t" o:hr="t"/>
        </w:pict>
      </w:r>
    </w:p>
    <w:bookmarkEnd w:id="52"/>
    <w:bookmarkStart w:id="53" w:name="X7e9eb5d0e309f5ce7098331dc34215a54034b01"/>
    <w:p>
      <w:pPr>
        <w:pStyle w:val="Heading2"/>
      </w:pPr>
      <w:r>
        <w:t xml:space="preserve">8. Formats d’exposition par type de lieu (rappel national)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980"/>
        <w:gridCol w:w="106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lieu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Œuvres moy.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Régions typiques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Galerie privée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15–35</w:t>
            </w:r>
          </w:p>
        </w:tc>
        <w:tc>
          <w:tcPr/>
          <w:p>
            <w:pPr>
              <w:pStyle w:val="Compact"/>
            </w:pPr>
            <w:r>
              <w:t xml:space="preserve">6 sem.</w:t>
            </w:r>
          </w:p>
        </w:tc>
        <w:tc>
          <w:tcPr/>
          <w:p>
            <w:pPr>
              <w:pStyle w:val="Compact"/>
            </w:pPr>
            <w:r>
              <w:t xml:space="preserve">IdF (70 % vol. format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Musée province / FRAC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60–100</w:t>
            </w:r>
          </w:p>
        </w:tc>
        <w:tc>
          <w:tcPr/>
          <w:p>
            <w:pPr>
              <w:pStyle w:val="Compact"/>
            </w:pPr>
            <w:r>
              <w:t xml:space="preserve">3–4 mois</w:t>
            </w:r>
          </w:p>
        </w:tc>
        <w:tc>
          <w:tcPr/>
          <w:p>
            <w:pPr>
              <w:pStyle w:val="Compact"/>
            </w:pPr>
            <w:r>
              <w:t xml:space="preserve">ARA, NAQ, Bretagne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 musée national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120–250+</w:t>
            </w:r>
          </w:p>
        </w:tc>
        <w:tc>
          <w:tcPr/>
          <w:p>
            <w:pPr>
              <w:pStyle w:val="Compact"/>
            </w:pPr>
            <w:r>
              <w:t xml:space="preserve">4 mois</w:t>
            </w:r>
          </w:p>
        </w:tc>
        <w:tc>
          <w:tcPr/>
          <w:p>
            <w:pPr>
              <w:pStyle w:val="Compact"/>
            </w:pPr>
            <w:r>
              <w:t xml:space="preserve">IdF (Orsay, Louvre, Beaubourg)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 d’art contemporain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10–40</w:t>
            </w:r>
          </w:p>
        </w:tc>
        <w:tc>
          <w:tcPr/>
          <w:p>
            <w:pPr>
              <w:pStyle w:val="Compact"/>
            </w:pPr>
            <w:r>
              <w:t xml:space="preserve">3 mois</w:t>
            </w:r>
          </w:p>
        </w:tc>
        <w:tc>
          <w:tcPr/>
          <w:p>
            <w:pPr>
              <w:pStyle w:val="Compact"/>
            </w:pPr>
            <w:r>
              <w:t xml:space="preserve">Réseau DCA (51 centres)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Adéquation plans AIMEDIArt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volume</w:t>
            </w:r>
          </w:p>
        </w:tc>
        <w:tc>
          <w:tcPr/>
          <w:p>
            <w:pPr>
              <w:pStyle w:val="Compact"/>
            </w:pPr>
            <w:r>
              <w:t xml:space="preserve">Plan recommandé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(galeries)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70 %</w:t>
            </w:r>
          </w:p>
        </w:tc>
        <w:tc>
          <w:tcPr/>
          <w:p>
            <w:pPr>
              <w:pStyle w:val="Compact"/>
            </w:pPr>
            <w:r>
              <w:t xml:space="preserve">Étincelle →</w:t>
            </w:r>
            <w:r>
              <w:t xml:space="preserve"> </w:t>
            </w:r>
            <w:r>
              <w:rPr>
                <w:b/>
                <w:bCs/>
              </w:rPr>
              <w:t xml:space="preserve">Atelier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(musées territ.)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(blockbusters)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 / Zénith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0c5cce325ab44adad2f4d12a5e9eaa7778e8d6b"/>
    <w:p>
      <w:pPr>
        <w:pStyle w:val="Heading2"/>
      </w:pPr>
      <w:r>
        <w:t xml:space="preserve">9. Réseaux professionnels — ancrage géographique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610"/>
        <w:gridCol w:w="2684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Réseau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  <w:tc>
          <w:tcPr/>
          <w:p>
            <w:pPr>
              <w:pStyle w:val="Compact"/>
            </w:pPr>
            <w:r>
              <w:t xml:space="preserve">Siège / ancrage FR</w:t>
            </w:r>
          </w:p>
        </w:tc>
        <w:tc>
          <w:tcPr/>
          <w:p>
            <w:pPr>
              <w:pStyle w:val="Compact"/>
            </w:pPr>
            <w:r>
              <w:t xml:space="preserve">Intérêt AIMEDIArt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51 centres d’art FR</w:t>
            </w:r>
          </w:p>
        </w:tc>
        <w:tc>
          <w:tcPr/>
          <w:p>
            <w:pPr>
              <w:pStyle w:val="Compact"/>
            </w:pPr>
            <w:r>
              <w:t xml:space="preserve">Paris</w:t>
            </w:r>
          </w:p>
        </w:tc>
        <w:tc>
          <w:tcPr/>
          <w:p>
            <w:pPr>
              <w:pStyle w:val="Compact"/>
            </w:pPr>
            <w:r>
              <w:t xml:space="preserve">Canal d’acquisition</w:t>
            </w:r>
            <w:r>
              <w:t xml:space="preserve"> </w:t>
            </w:r>
            <w:r>
              <w:rPr>
                <w:b/>
                <w:bCs/>
              </w:rPr>
              <w:t xml:space="preserve">prioritaire</w:t>
            </w:r>
            <w:r>
              <w:t xml:space="preserve"> </w:t>
            </w:r>
            <w:r>
              <w:t xml:space="preserve">(format 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ACCR</w:t>
            </w:r>
          </w:p>
        </w:tc>
        <w:tc>
          <w:tcPr/>
          <w:p>
            <w:pPr>
              <w:pStyle w:val="Compact"/>
            </w:pPr>
            <w:r>
              <w:t xml:space="preserve">43 CCR, ~30 en France</w:t>
            </w:r>
          </w:p>
        </w:tc>
        <w:tc>
          <w:tcPr/>
          <w:p>
            <w:pPr>
              <w:pStyle w:val="Compact"/>
            </w:pPr>
            <w:r>
              <w:t xml:space="preserve">Paris</w:t>
            </w:r>
          </w:p>
        </w:tc>
        <w:tc>
          <w:tcPr/>
          <w:p>
            <w:pPr>
              <w:pStyle w:val="Compact"/>
            </w:pPr>
            <w:r>
              <w:t xml:space="preserve">Lieux patrimoine + création contemporaine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ICOM</w:t>
            </w:r>
          </w:p>
        </w:tc>
        <w:tc>
          <w:tcPr/>
          <w:p>
            <w:pPr>
              <w:pStyle w:val="Compact"/>
            </w:pPr>
            <w:r>
              <w:t xml:space="preserve">139 pays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Paris</w:t>
            </w:r>
          </w:p>
        </w:tc>
        <w:tc>
          <w:tcPr/>
          <w:p>
            <w:pPr>
              <w:pStyle w:val="Compact"/>
            </w:pPr>
            <w:r>
              <w:t xml:space="preserve">Légitimité muséale internationale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NEMO</w:t>
            </w:r>
          </w:p>
        </w:tc>
        <w:tc>
          <w:tcPr/>
          <w:p>
            <w:pPr>
              <w:pStyle w:val="Compact"/>
            </w:pPr>
            <w:r>
              <w:t xml:space="preserve">40 pays UE</w:t>
            </w:r>
          </w:p>
        </w:tc>
        <w:tc>
          <w:tcPr/>
          <w:p>
            <w:pPr>
              <w:pStyle w:val="Compact"/>
            </w:pPr>
            <w:r>
              <w:t xml:space="preserve">Berlin (EU)</w:t>
            </w:r>
          </w:p>
        </w:tc>
        <w:tc>
          <w:tcPr/>
          <w:p>
            <w:pPr>
              <w:pStyle w:val="Compact"/>
            </w:pPr>
            <w:r>
              <w:t xml:space="preserve">Expansion européenne A3+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FRAC</w:t>
            </w:r>
          </w:p>
        </w:tc>
        <w:tc>
          <w:tcPr/>
          <w:p>
            <w:pPr>
              <w:pStyle w:val="Compact"/>
            </w:pPr>
            <w:r>
              <w:t xml:space="preserve">28 collections régionales</w:t>
            </w:r>
          </w:p>
        </w:tc>
        <w:tc>
          <w:tcPr/>
          <w:p>
            <w:pPr>
              <w:pStyle w:val="Compact"/>
            </w:pPr>
            <w:r>
              <w:t xml:space="preserve">1 par grande région</w:t>
            </w:r>
          </w:p>
        </w:tc>
        <w:tc>
          <w:tcPr/>
          <w:p>
            <w:pPr>
              <w:pStyle w:val="Compact"/>
            </w:pPr>
            <w:r>
              <w:t xml:space="preserve">Sculpture / contemporain · quotas Horizon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synthèse-3-axes-de-déploiement"/>
    <w:p>
      <w:pPr>
        <w:pStyle w:val="Heading2"/>
      </w:pPr>
      <w:r>
        <w:t xml:space="preserve">10. Synthèse — 3 axes de déploiement</w:t>
      </w:r>
    </w:p>
    <w:p>
      <w:pPr>
        <w:pStyle w:val="SourceCode"/>
      </w:pPr>
      <w:r>
        <w:rPr>
          <w:rStyle w:val="VerbatimChar"/>
        </w:rPr>
        <w:t xml:space="preserve">                    VOLUME (galeries, S)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Occitanie ────────┼──────── PACA</w:t>
      </w:r>
      <w:r>
        <w:br/>
      </w:r>
      <w:r>
        <w:rPr>
          <w:rStyle w:val="VerbatimChar"/>
        </w:rPr>
        <w:t xml:space="preserve">         (photo)           │         (festivals)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OUEST ─────────────────┼───────────────── IDF</w:t>
      </w:r>
      <w:r>
        <w:br/>
      </w:r>
      <w:r>
        <w:rPr>
          <w:rStyle w:val="VerbatimChar"/>
        </w:rPr>
        <w:t xml:space="preserve">    (NAQ, Bretagne)        │              (47 % marché)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ARA ──────────────┼─────────── EST/NORD</w:t>
      </w:r>
      <w:r>
        <w:br/>
      </w:r>
      <w:r>
        <w:rPr>
          <w:rStyle w:val="VerbatimChar"/>
        </w:rPr>
        <w:t xml:space="preserve">         (design)          │           (numérique)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PREMIUM (musées, 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27"/>
        <w:gridCol w:w="50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Régions</w:t>
            </w:r>
          </w:p>
        </w:tc>
        <w:tc>
          <w:tcPr/>
          <w:p>
            <w:pPr>
              <w:pStyle w:val="Compact"/>
            </w:pPr>
            <w:r>
              <w:t xml:space="preserve">Objectif A3 (indicatif)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Paris &amp; métropole</w:t>
            </w:r>
          </w:p>
        </w:tc>
        <w:tc>
          <w:tcPr/>
          <w:p>
            <w:pPr>
              <w:pStyle w:val="Compact"/>
            </w:pPr>
            <w:r>
              <w:t xml:space="preserve">IdF</w:t>
            </w:r>
          </w:p>
        </w:tc>
        <w:tc>
          <w:tcPr/>
          <w:p>
            <w:pPr>
              <w:pStyle w:val="Compact"/>
            </w:pPr>
            <w:r>
              <w:t xml:space="preserve">~45 clients payants (50 % du SOM)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Axe Sud photo</w:t>
            </w:r>
          </w:p>
        </w:tc>
        <w:tc>
          <w:tcPr/>
          <w:p>
            <w:pPr>
              <w:pStyle w:val="Compact"/>
            </w:pPr>
            <w:r>
              <w:t xml:space="preserve">PACA + Occitanie</w:t>
            </w:r>
          </w:p>
        </w:tc>
        <w:tc>
          <w:tcPr/>
          <w:p>
            <w:pPr>
              <w:pStyle w:val="Compact"/>
            </w:pPr>
            <w:r>
              <w:t xml:space="preserve">~15 clients + 1–2 Zénith/an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Province muséale</w:t>
            </w:r>
          </w:p>
        </w:tc>
        <w:tc>
          <w:tcPr/>
          <w:p>
            <w:pPr>
              <w:pStyle w:val="Compact"/>
            </w:pPr>
            <w:r>
              <w:t xml:space="preserve">ARA, NAQ, Bretagne, GE, HDF</w:t>
            </w:r>
          </w:p>
        </w:tc>
        <w:tc>
          <w:tcPr/>
          <w:p>
            <w:pPr>
              <w:pStyle w:val="Compact"/>
            </w:pPr>
            <w:r>
              <w:t xml:space="preserve">~35 clients Horizon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notes-de-bas-de-page"/>
    <w:p>
      <w:pPr>
        <w:pStyle w:val="Heading2"/>
      </w:pPr>
      <w:r>
        <w:t xml:space="preserve">Notes de bas de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complémentaire au business plan AIMEDIArt 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docs/business-plan-aimediart.md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Estimation cumulée peinture + photo + sculpture/design + art numérique ; fourchette haute du marché français : 25 000–30 000 expositions/an toutes catégories confondues.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réseau de 51 centres d’art contemporain en France (~1,6 M visiteurs/an).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ICOM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International Council of Museums</w:t>
      </w:r>
      <w:r>
        <w:t xml:space="preserve">, organisation mondiale des musées (siège Paris).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Expositions à très forte affluence (rétrospectives majeures), format L (~180 œuvres).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FRAC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Fonds Régionaux d’Art Contemporain</w:t>
      </w:r>
      <w:r>
        <w:t xml:space="preserve">, 28 structures en France métropolitaine et outre-mer.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 réseau de 51 centres d’art contemporain en France (~1,6 M visiteurs/an).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SAM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Addressable Market</w:t>
      </w:r>
      <w:r>
        <w:t xml:space="preserve">) — structures réalistes abonnables au produit actuel.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Fourchette retenue : 3 500–4 000 structures ; midpoint 3 750 utilisé pour la ventilation régionale.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SOM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Obtainable Market</w:t>
      </w:r>
      <w:r>
        <w:t xml:space="preserve">) — clients captés à horizon 3 ans (95 payants en scénario base).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21" Target="media/rId2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2026-06-23T09:28:24Z</dcterms:created>
  <dcterms:modified xsi:type="dcterms:W3CDTF">2026-06-23T09:28:24Z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