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52.png" ContentType="image/png"/>
  <Override PartName="/word/media/rId28.png" ContentType="image/png"/>
  <Override PartName="/word/media/rId24.png" ContentType="image/png"/>
  <Override PartName="/word/media/rId41.png" ContentType="image/png"/>
  <Override PartName="/word/media/rId1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aimediart-pitch-investisseur-10-slides"/>
    <w:p>
      <w:pPr>
        <w:pStyle w:val="Heading1"/>
      </w:pPr>
      <w:r>
        <w:t xml:space="preserve">AIMEDIArt — Pitch investisseur (10 slides)</w:t>
      </w:r>
    </w:p>
    <w:p>
      <w:pPr>
        <w:pStyle w:val="FirstParagraph"/>
      </w:pPr>
      <w:r>
        <w:rPr>
          <w:i/>
          <w:iCs/>
        </w:rPr>
        <w:t xml:space="preserve">Art-mediation with AI · juin 2026</w:t>
      </w:r>
    </w:p>
    <w:p>
      <w:r>
        <w:pict>
          <v:rect style="width:0;height:1.5pt" o:hralign="center" o:hrstd="t" o:hr="t"/>
        </w:pict>
      </w:r>
    </w:p>
    <w:bookmarkStart w:id="10" w:name="slide-1-couverture"/>
    <w:p>
      <w:pPr>
        <w:pStyle w:val="Heading2"/>
      </w:pPr>
      <w:r>
        <w:t xml:space="preserve">Slide 1 — Couverture</w:t>
      </w:r>
    </w:p>
    <w:p>
      <w:pPr>
        <w:pStyle w:val="FirstParagraph"/>
      </w:pPr>
      <w:r>
        <w:rPr>
          <w:b/>
          <w:bCs/>
        </w:rPr>
        <w:t xml:space="preserve">AIMEDIArt</w:t>
      </w:r>
      <w:r>
        <w:br/>
      </w:r>
      <w:r>
        <w:rPr>
          <w:i/>
          <w:iCs/>
        </w:rPr>
        <w:t xml:space="preserve">La médiation culturelle, enfin à la hauteur de vos expositions</w:t>
      </w:r>
    </w:p>
    <w:p>
      <w:pPr>
        <w:pStyle w:val="Compact"/>
        <w:numPr>
          <w:ilvl w:val="0"/>
          <w:numId w:val="1001"/>
        </w:numPr>
      </w:pPr>
      <w:r>
        <w:t xml:space="preserve">SaaS B2B</w:t>
      </w:r>
      <w:r>
        <w:rPr>
          <w:rStyle w:val="FootnoteReference"/>
        </w:rPr>
        <w:footnoteReference w:id="9"/>
      </w:r>
      <w:r>
        <w:t xml:space="preserve"> </w:t>
      </w:r>
      <w:r>
        <w:t xml:space="preserve">pour institutions culturelles (musées, centres d’art, galeries)</w:t>
      </w:r>
    </w:p>
    <w:p>
      <w:pPr>
        <w:pStyle w:val="Compact"/>
        <w:numPr>
          <w:ilvl w:val="0"/>
          <w:numId w:val="1001"/>
        </w:numPr>
      </w:pPr>
      <w:r>
        <w:t xml:space="preserve">Production IA + audioguides + QR + analytics émotion &amp; géographie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aimediart.com</w:t>
      </w:r>
      <w:r>
        <w:t xml:space="preserve"> </w:t>
      </w:r>
      <w:r>
        <w:t xml:space="preserve">· DUPONT Fabien · Dépôt e-Soleau INPI juin 2026</w:t>
      </w:r>
    </w:p>
    <w:p>
      <w:r>
        <w:pict>
          <v:rect style="width:0;height:1.5pt" o:hralign="center" o:hrstd="t" o:hr="t"/>
        </w:pict>
      </w:r>
    </w:p>
    <w:bookmarkEnd w:id="10"/>
    <w:bookmarkStart w:id="11" w:name="slide-2-le-problème"/>
    <w:p>
      <w:pPr>
        <w:pStyle w:val="Heading2"/>
      </w:pPr>
      <w:r>
        <w:t xml:space="preserve">Slide 2 — Le problème</w:t>
      </w:r>
    </w:p>
    <w:p>
      <w:pPr>
        <w:pStyle w:val="FirstParagraph"/>
      </w:pPr>
      <w:r>
        <w:rPr>
          <w:b/>
          <w:bCs/>
        </w:rPr>
        <w:t xml:space="preserve">Aujourd’hui, la médiation culturelle est lente, uniforme et peu mesurable.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Conséquence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Outils éparpillés (textes, studio, traductions)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Semaines</w:t>
            </w:r>
            <w:r>
              <w:t xml:space="preserve"> </w:t>
            </w:r>
            <w:r>
              <w:t xml:space="preserve">de préparation par exposition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seul discours par œuvre</w:t>
            </w:r>
          </w:p>
        </w:tc>
        <w:tc>
          <w:tcPr/>
          <w:p>
            <w:pPr>
              <w:pStyle w:val="Compact"/>
            </w:pPr>
            <w:r>
              <w:t xml:space="preserve">Visiteur enfant ≠ visiteur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Compteurs de passages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  <w:r>
              <w:t xml:space="preserve"> </w:t>
            </w:r>
            <w:r>
              <w:rPr>
                <w:b/>
                <w:bCs/>
              </w:rPr>
              <w:t xml:space="preserve">émotion</w:t>
            </w:r>
            <w:r>
              <w:t xml:space="preserve"> </w:t>
            </w:r>
            <w:r>
              <w:t xml:space="preserve">ni</w:t>
            </w:r>
            <w:r>
              <w:t xml:space="preserve"> </w:t>
            </w:r>
            <w:r>
              <w:rPr>
                <w:b/>
                <w:bCs/>
              </w:rPr>
              <w:t xml:space="preserve">origine géographique</w:t>
            </w:r>
            <w:r>
              <w:t xml:space="preserve"> </w:t>
            </w:r>
            <w:r>
              <w:t xml:space="preserve">du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vers pages statiques</w:t>
            </w:r>
          </w:p>
        </w:tc>
        <w:tc>
          <w:tcPr/>
          <w:p>
            <w:pPr>
              <w:pStyle w:val="Compact"/>
            </w:pPr>
            <w:r>
              <w:t xml:space="preserve">Expérience figée, sans personnalisation</w:t>
            </w:r>
          </w:p>
        </w:tc>
      </w:tr>
    </w:tbl>
    <w:p>
      <w:pPr>
        <w:pStyle w:val="BlockText"/>
      </w:pPr>
      <w:r>
        <w:rPr>
          <w:i/>
          <w:iCs/>
        </w:rPr>
        <w:t xml:space="preserve">40 % des expositions ont lieu avril–juillet — la production doit être 10× plus rapide.</w:t>
      </w:r>
    </w:p>
    <w:p>
      <w:r>
        <w:pict>
          <v:rect style="width:0;height:1.5pt" o:hralign="center" o:hrstd="t" o:hr="t"/>
        </w:pict>
      </w:r>
    </w:p>
    <w:bookmarkEnd w:id="11"/>
    <w:bookmarkStart w:id="15" w:name="slide-3-la-solution"/>
    <w:p>
      <w:pPr>
        <w:pStyle w:val="Heading2"/>
      </w:pPr>
      <w:r>
        <w:t xml:space="preserve">Slide 3 — La solution</w:t>
      </w:r>
    </w:p>
    <w:p>
      <w:pPr>
        <w:pStyle w:val="FirstParagraph"/>
      </w:pPr>
      <w:r>
        <w:rPr>
          <w:b/>
          <w:bCs/>
        </w:rPr>
        <w:t xml:space="preserve">Une chaîne unifiée, de la photo au bilan curatorale.</w:t>
      </w:r>
    </w:p>
    <w:p>
      <w:pPr>
        <w:pStyle w:val="CaptionedFigure"/>
      </w:pPr>
      <w:r>
        <w:drawing>
          <wp:inline>
            <wp:extent cx="5334000" cy="2109107"/>
            <wp:effectExtent b="0" l="0" r="0" t="0"/>
            <wp:docPr descr="Chaîne de valeur AIMEDIArt" title="" id="13" name="Picture"/>
            <a:graphic>
              <a:graphicData uri="http://schemas.openxmlformats.org/drawingml/2006/picture">
                <pic:pic>
                  <pic:nvPicPr>
                    <pic:cNvPr descr="assets/bp/bp-workflow-chain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Chaîne de valeur AIMEDIArt</w:t>
      </w:r>
    </w:p>
    <w:p>
      <w:pPr>
        <w:pStyle w:val="SourceCode"/>
      </w:pPr>
      <w:r>
        <w:rPr>
          <w:rStyle w:val="VerbatimChar"/>
        </w:rPr>
        <w:t xml:space="preserve">Photo œuvre → 8 registres × 5 langues × audio → Cartel QR → Visiteur mobile (sans app)</w:t>
      </w:r>
      <w:r>
        <w:br/>
      </w:r>
      <w:r>
        <w:rPr>
          <w:rStyle w:val="VerbatimChar"/>
        </w:rPr>
        <w:t xml:space="preserve">            → Émotion à chaud → Stats + carte géographique → Export rapports</w:t>
      </w:r>
    </w:p>
    <w:p>
      <w:pPr>
        <w:pStyle w:val="FirstParagraph"/>
      </w:pPr>
      <w:r>
        <w:rPr>
          <w:b/>
          <w:bCs/>
        </w:rPr>
        <w:t xml:space="preserve">Différenciation :</w:t>
      </w:r>
      <w:r>
        <w:t xml:space="preserve"> </w:t>
      </w:r>
      <w:r>
        <w:t xml:space="preserve">- IA accélère · l’humain valide</w:t>
      </w:r>
      <w:r>
        <w:t xml:space="preserve"> </w:t>
      </w:r>
      <w:r>
        <w:t xml:space="preserve">- Zéro friction visiteur (scan QR)</w:t>
      </w:r>
      <w:r>
        <w:t xml:space="preserve"> </w:t>
      </w:r>
      <w:r>
        <w:t xml:space="preserve">- Mesure qualitative</w:t>
      </w:r>
      <w:r>
        <w:t xml:space="preserve"> </w:t>
      </w:r>
      <w:r>
        <w:rPr>
          <w:b/>
          <w:bCs/>
        </w:rPr>
        <w:t xml:space="preserve">par œuvre</w:t>
      </w:r>
      <w:r>
        <w:t xml:space="preserve">, pas en fin de visite</w:t>
      </w:r>
    </w:p>
    <w:p>
      <w:r>
        <w:pict>
          <v:rect style="width:0;height:1.5pt" o:hralign="center" o:hrstd="t" o:hr="t"/>
        </w:pict>
      </w:r>
    </w:p>
    <w:bookmarkEnd w:id="15"/>
    <w:bookmarkStart w:id="27" w:name="slide-4-marché"/>
    <w:p>
      <w:pPr>
        <w:pStyle w:val="Heading2"/>
      </w:pPr>
      <w:r>
        <w:t xml:space="preserve">Slide 4 — Marché</w:t>
      </w:r>
    </w:p>
    <w:p>
      <w:pPr>
        <w:pStyle w:val="FirstParagraph"/>
      </w:pPr>
      <w:r>
        <w:rPr>
          <w:b/>
          <w:bCs/>
        </w:rPr>
        <w:t xml:space="preserve">France — arts visuels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Cible AIMEDIArt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rPr>
                <w:rStyle w:val="FootnoteReference"/>
              </w:rPr>
              <w:footnoteReference w:id="16"/>
            </w:r>
          </w:p>
        </w:tc>
        <w:tc>
          <w:tcPr/>
          <w:p>
            <w:pPr>
              <w:pStyle w:val="Compact"/>
            </w:pPr>
            <w:r>
              <w:t xml:space="preserve">~27 000 expos/an</w:t>
            </w:r>
          </w:p>
        </w:tc>
        <w:tc>
          <w:tcPr/>
          <w:p>
            <w:pPr>
              <w:pStyle w:val="Compact"/>
            </w:pPr>
            <w:r>
              <w:t xml:space="preserve">Toutes expositions médiables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  <w:r>
              <w:rPr>
                <w:rStyle w:val="FootnoteReference"/>
              </w:rPr>
              <w:footnoteReference w:id="17"/>
            </w:r>
          </w:p>
        </w:tc>
        <w:tc>
          <w:tcPr/>
          <w:p>
            <w:pPr>
              <w:pStyle w:val="Compact"/>
            </w:pPr>
            <w:r>
              <w:t xml:space="preserve">~3 500–4 000 structures</w:t>
            </w:r>
          </w:p>
        </w:tc>
        <w:tc>
          <w:tcPr/>
          <w:p>
            <w:pPr>
              <w:pStyle w:val="Compact"/>
            </w:pPr>
            <w:r>
              <w:t xml:space="preserve">Musées, centres d’art, galeries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  <w:r>
              <w:rPr>
                <w:rStyle w:val="FootnoteReference"/>
              </w:rPr>
              <w:footnoteReference w:id="18"/>
            </w:r>
            <w:r>
              <w:t xml:space="preserve"> </w:t>
            </w:r>
            <w:r>
              <w:t xml:space="preserve">A3 (base)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 clients payants</w:t>
            </w:r>
          </w:p>
        </w:tc>
        <w:tc>
          <w:tcPr/>
          <w:p>
            <w:pPr>
              <w:pStyle w:val="Compact"/>
            </w:pPr>
            <w:r>
              <w:t xml:space="preserve">~2,5–3 % du SAM en 3 ans</w:t>
            </w:r>
          </w:p>
        </w:tc>
      </w:tr>
    </w:tbl>
    <w:p>
      <w:pPr>
        <w:pStyle w:val="BodyText"/>
      </w:pPr>
      <w:r>
        <w:rPr>
          <w:b/>
          <w:bCs/>
        </w:rPr>
        <w:t xml:space="preserve">Réseaux d’accès :</w:t>
      </w:r>
      <w:r>
        <w:t xml:space="preserve"> </w:t>
      </w:r>
      <w:r>
        <w:t xml:space="preserve">DCA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(51 centres), Musées de France (1 220), ICOM</w:t>
      </w:r>
      <w:r>
        <w:rPr>
          <w:rStyle w:val="FootnoteReference"/>
        </w:rPr>
        <w:footnoteReference w:id="20"/>
      </w:r>
      <w:r>
        <w:t xml:space="preserve">, NEMO</w:t>
      </w:r>
      <w:r>
        <w:rPr>
          <w:rStyle w:val="FootnoteReference"/>
        </w:rPr>
        <w:footnoteReference w:id="21"/>
      </w:r>
      <w:r>
        <w:t xml:space="preserve">, ACCR</w:t>
      </w:r>
      <w:r>
        <w:rPr>
          <w:rStyle w:val="FootnoteReference"/>
        </w:rPr>
        <w:footnoteReference w:id="22"/>
      </w:r>
    </w:p>
    <w:p>
      <w:pPr>
        <w:pStyle w:val="BodyText"/>
      </w:pPr>
      <w:r>
        <w:rPr>
          <w:b/>
          <w:bCs/>
        </w:rPr>
        <w:t xml:space="preserve">Segmentation expos :</w:t>
      </w:r>
      <w:r>
        <w:t xml:space="preserve"> </w:t>
      </w:r>
      <w:r>
        <w:t xml:space="preserve">Format S (70 % volume) · M (25 %) · L —</w:t>
      </w:r>
      <w:r>
        <w:t xml:space="preserve"> </w:t>
      </w:r>
      <w:r>
        <w:rPr>
          <w:i/>
          <w:iCs/>
        </w:rPr>
        <w:t xml:space="preserve">blockbusters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(5 % volume, 60 % public)</w:t>
      </w:r>
    </w:p>
    <w:p>
      <w:pPr>
        <w:pStyle w:val="CaptionedFigure"/>
      </w:pPr>
      <w:r>
        <w:drawing>
          <wp:inline>
            <wp:extent cx="5334000" cy="4796619"/>
            <wp:effectExtent b="0" l="0" r="0" t="0"/>
            <wp:docPr descr="Marché TAM → SAM → SOM" title="" id="25" name="Picture"/>
            <a:graphic>
              <a:graphicData uri="http://schemas.openxmlformats.org/drawingml/2006/picture">
                <pic:pic>
                  <pic:nvPicPr>
                    <pic:cNvPr descr="assets/bp/bp-tam-sam-so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Marché TAM → SAM → SOM</w:t>
      </w:r>
    </w:p>
    <w:p>
      <w:r>
        <w:pict>
          <v:rect style="width:0;height:1.5pt" o:hralign="center" o:hrstd="t" o:hr="t"/>
        </w:pict>
      </w:r>
    </w:p>
    <w:bookmarkEnd w:id="27"/>
    <w:bookmarkStart w:id="31" w:name="slide-5-modèle-économique"/>
    <w:p>
      <w:pPr>
        <w:pStyle w:val="Heading2"/>
      </w:pPr>
      <w:r>
        <w:t xml:space="preserve">Slide 5 — Modèle économique</w:t>
      </w:r>
    </w:p>
    <w:p>
      <w:pPr>
        <w:pStyle w:val="FirstParagraph"/>
      </w:pPr>
      <w:r>
        <w:rPr>
          <w:b/>
          <w:bCs/>
        </w:rPr>
        <w:t xml:space="preserve">Revenus récurrents + upsell + grands comptes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Prix TTC/mois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Étincelle</w:t>
            </w:r>
          </w:p>
        </w:tc>
        <w:tc>
          <w:tcPr/>
          <w:p>
            <w:pPr>
              <w:pStyle w:val="Compact"/>
            </w:pPr>
            <w:r>
              <w:t xml:space="preserve">0 € (essai 30 j)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59 €</w:t>
            </w:r>
          </w:p>
        </w:tc>
        <w:tc>
          <w:tcPr/>
          <w:p>
            <w:pPr>
              <w:pStyle w:val="Compact"/>
            </w:pPr>
            <w:r>
              <w:t xml:space="preserve">Galeries, petites expos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149 €</w:t>
            </w:r>
          </w:p>
        </w:tc>
        <w:tc>
          <w:tcPr/>
          <w:p>
            <w:pPr>
              <w:pStyle w:val="Compact"/>
            </w:pPr>
            <w:r>
              <w:t xml:space="preserve">Musées territoriaux, centres d’art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549 €/mois · 6 039 €/an</w:t>
            </w:r>
          </w:p>
        </w:tc>
        <w:tc>
          <w:tcPr/>
          <w:p>
            <w:pPr>
              <w:pStyle w:val="Compact"/>
            </w:pPr>
            <w:r>
              <w:t xml:space="preserve">Grands comptes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Zénith</w:t>
            </w:r>
          </w:p>
        </w:tc>
        <w:tc>
          <w:tcPr/>
          <w:p>
            <w:pPr>
              <w:pStyle w:val="Compact"/>
            </w:pPr>
            <w:r>
              <w:t xml:space="preserve">15–17 k€ / projet</w:t>
            </w:r>
          </w:p>
        </w:tc>
        <w:tc>
          <w:tcPr/>
          <w:p>
            <w:pPr>
              <w:pStyle w:val="Compact"/>
            </w:pPr>
            <w:r>
              <w:t xml:space="preserve">Festivals, biennales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Leviers complémentaires :</w:t>
      </w:r>
      <w:r>
        <w:t xml:space="preserve"> </w:t>
      </w:r>
      <w:r>
        <w:t xml:space="preserve">dépassements quotas · options langues · plan veille · facturation annuelle (11 mois pour 12)</w:t>
      </w:r>
    </w:p>
    <w:p>
      <w:pPr>
        <w:pStyle w:val="CaptionedFigure"/>
      </w:pPr>
      <w:r>
        <w:drawing>
          <wp:inline>
            <wp:extent cx="5334000" cy="3386401"/>
            <wp:effectExtent b="0" l="0" r="0" t="0"/>
            <wp:docPr descr="Grille tarifaire" title="" id="29" name="Picture"/>
            <a:graphic>
              <a:graphicData uri="http://schemas.openxmlformats.org/drawingml/2006/picture">
                <pic:pic>
                  <pic:nvPicPr>
                    <pic:cNvPr descr="assets/bp/bp-grille-tarifai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Grille tarifaire</w:t>
      </w:r>
    </w:p>
    <w:p>
      <w:r>
        <w:pict>
          <v:rect style="width:0;height:1.5pt" o:hralign="center" o:hrstd="t" o:hr="t"/>
        </w:pict>
      </w:r>
    </w:p>
    <w:bookmarkEnd w:id="31"/>
    <w:bookmarkStart w:id="34" w:name="slide-6-produit-avancement"/>
    <w:p>
      <w:pPr>
        <w:pStyle w:val="Heading2"/>
      </w:pPr>
      <w:r>
        <w:t xml:space="preserve">Slide 6 — Produit &amp; avancement</w:t>
      </w:r>
    </w:p>
    <w:p>
      <w:pPr>
        <w:pStyle w:val="FirstParagraph"/>
      </w:pPr>
      <w:r>
        <w:rPr>
          <w:b/>
          <w:bCs/>
        </w:rPr>
        <w:t xml:space="preserve">Plateforme en production — stack moderne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  <w:r>
              <w:rPr>
                <w:rStyle w:val="FootnoteReference"/>
              </w:rPr>
              <w:footnoteReference w:id="32"/>
            </w:r>
            <w:r>
              <w:t xml:space="preserve"> </w:t>
            </w:r>
            <w:r>
              <w:t xml:space="preserve">création œuvre guidé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Génération textes IA (8 registres) + TTS</w:t>
            </w:r>
            <w:r>
              <w:rPr>
                <w:rStyle w:val="FootnoteReference"/>
              </w:rPr>
              <w:footnoteReference w:id="33"/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Abonnements Étincelle → Horizon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 émotion + carte géographique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 Stripe + facturation auto</w:t>
            </w:r>
          </w:p>
        </w:tc>
        <w:tc>
          <w:tcPr/>
          <w:p>
            <w:pPr>
              <w:pStyle w:val="Compact"/>
            </w:pPr>
            <w:r>
              <w:t xml:space="preserve">🔜 A2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Propriété intellectuelle :</w:t>
      </w:r>
      <w:r>
        <w:t xml:space="preserve"> </w:t>
      </w:r>
      <w:r>
        <w:t xml:space="preserve">enveloppe e-Soleau (juin 2026) · codebase Supabase + React</w:t>
      </w:r>
    </w:p>
    <w:p>
      <w:r>
        <w:pict>
          <v:rect style="width:0;height:1.5pt" o:hralign="center" o:hrstd="t" o:hr="t"/>
        </w:pict>
      </w:r>
    </w:p>
    <w:bookmarkEnd w:id="34"/>
    <w:bookmarkStart w:id="44" w:name="slide-7-prévisionnel-3-scénarios-36-mois"/>
    <w:p>
      <w:pPr>
        <w:pStyle w:val="Heading2"/>
      </w:pPr>
      <w:r>
        <w:t xml:space="preserve">Slide 7 — Prévisionnel — 3 scénarios (36 mois)</w:t>
      </w:r>
    </w:p>
    <w:p>
      <w:pPr>
        <w:pStyle w:val="FirstParagraph"/>
      </w:pPr>
      <w:r>
        <w:rPr>
          <w:i/>
          <w:iCs/>
        </w:rPr>
        <w:t xml:space="preserve">Hypothèses BP · sous-traitance dev incluse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237"/>
        <w:gridCol w:w="1361"/>
        <w:gridCol w:w="1856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CA HT A3</w:t>
            </w:r>
          </w:p>
        </w:tc>
        <w:tc>
          <w:tcPr/>
          <w:p>
            <w:pPr>
              <w:pStyle w:val="Compact"/>
            </w:pPr>
            <w:r>
              <w:t xml:space="preserve">EBITDA A3</w:t>
            </w:r>
          </w:p>
        </w:tc>
        <w:tc>
          <w:tcPr/>
          <w:p>
            <w:pPr>
              <w:pStyle w:val="Compact"/>
            </w:pPr>
            <w:r>
              <w:t xml:space="preserve">Trésorerie A3</w:t>
            </w:r>
          </w:p>
        </w:tc>
        <w:tc>
          <w:tcPr/>
          <w:p>
            <w:pPr>
              <w:pStyle w:val="Compact"/>
            </w:pPr>
            <w:r>
              <w:t xml:space="preserve">Dev externalisés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Prudent</w:t>
            </w:r>
            <w:r>
              <w:t xml:space="preserve"> </w:t>
            </w:r>
            <w:r>
              <w:t xml:space="preserve">(−30 % clients)</w:t>
            </w:r>
          </w:p>
        </w:tc>
        <w:tc>
          <w:tcPr/>
          <w:p>
            <w:pPr>
              <w:pStyle w:val="Compact"/>
            </w:pPr>
            <w:r>
              <w:t xml:space="preserve">84 k€</w:t>
            </w:r>
          </w:p>
        </w:tc>
        <w:tc>
          <w:tcPr/>
          <w:p>
            <w:pPr>
              <w:pStyle w:val="Compact"/>
            </w:pPr>
            <w:r>
              <w:t xml:space="preserve">61 k€</w:t>
            </w:r>
          </w:p>
        </w:tc>
        <w:tc>
          <w:tcPr/>
          <w:p>
            <w:pPr>
              <w:pStyle w:val="Compact"/>
            </w:pPr>
            <w:r>
              <w:t xml:space="preserve">88 k€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127 k€</w:t>
            </w:r>
          </w:p>
        </w:tc>
        <w:tc>
          <w:tcPr/>
          <w:p>
            <w:pPr>
              <w:pStyle w:val="Compact"/>
            </w:pPr>
            <w:r>
              <w:t xml:space="preserve">49 k€</w:t>
            </w:r>
          </w:p>
        </w:tc>
        <w:tc>
          <w:tcPr/>
          <w:p>
            <w:pPr>
              <w:pStyle w:val="Compact"/>
            </w:pPr>
            <w:r>
              <w:t xml:space="preserve">38 k€</w:t>
            </w:r>
          </w:p>
        </w:tc>
        <w:tc>
          <w:tcPr/>
          <w:p>
            <w:pPr>
              <w:pStyle w:val="Compact"/>
            </w:pPr>
            <w:r>
              <w:t xml:space="preserve">1 dev dès 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Ambitieux</w:t>
            </w:r>
            <w:r>
              <w:t xml:space="preserve"> </w:t>
            </w:r>
            <w:r>
              <w:t xml:space="preserve">(+30 % clients)</w:t>
            </w:r>
          </w:p>
        </w:tc>
        <w:tc>
          <w:tcPr/>
          <w:p>
            <w:pPr>
              <w:pStyle w:val="Compact"/>
            </w:pPr>
            <w:r>
              <w:t xml:space="preserve">151 k€</w:t>
            </w:r>
          </w:p>
        </w:tc>
        <w:tc>
          <w:tcPr/>
          <w:p>
            <w:pPr>
              <w:pStyle w:val="Compact"/>
            </w:pPr>
            <w:r>
              <w:t xml:space="preserve">−143 k€</w:t>
            </w:r>
          </w:p>
        </w:tc>
        <w:tc>
          <w:tcPr/>
          <w:p>
            <w:pPr>
              <w:pStyle w:val="Compact"/>
            </w:pPr>
            <w:r>
              <w:t xml:space="preserve">−466 k€</w:t>
            </w:r>
          </w:p>
        </w:tc>
        <w:tc>
          <w:tcPr/>
          <w:p>
            <w:pPr>
              <w:pStyle w:val="Compact"/>
            </w:pPr>
            <w:r>
              <w:t xml:space="preserve">5 dev (montée progressive)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Scénario base (référence) :</w:t>
      </w:r>
      <w:r>
        <w:t xml:space="preserve"> </w:t>
      </w:r>
      <w:r>
        <w:t xml:space="preserve">- MRR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TTC fin A3 :</w:t>
      </w:r>
      <w:r>
        <w:t xml:space="preserve"> </w:t>
      </w:r>
      <w:r>
        <w:rPr>
          <w:b/>
          <w:bCs/>
        </w:rPr>
        <w:t xml:space="preserve">~13 980 €</w:t>
      </w:r>
      <w:r>
        <w:t xml:space="preserve"> </w:t>
      </w:r>
      <w:r>
        <w:t xml:space="preserve">· ARR</w:t>
      </w:r>
      <w:r>
        <w:rPr>
          <w:rStyle w:val="FootnoteReference"/>
        </w:rPr>
        <w:footnoteReference w:id="36"/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~168 k€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développeur</w:t>
      </w:r>
      <w:r>
        <w:t xml:space="preserve"> </w:t>
      </w:r>
      <w:r>
        <w:t xml:space="preserve">sous-traité (4 500 € HT/mois) à partir de l’année 2</w:t>
      </w:r>
      <w:r>
        <w:t xml:space="preserve"> </w:t>
      </w:r>
      <w:r>
        <w:t xml:space="preserve">- Bootstrap initial : 4 900 € —</w:t>
      </w:r>
      <w:r>
        <w:t xml:space="preserve"> </w:t>
      </w:r>
      <w:r>
        <w:rPr>
          <w:b/>
          <w:bCs/>
        </w:rPr>
        <w:t xml:space="preserve">pas de dilution en scénario prudent</w:t>
      </w:r>
    </w:p>
    <w:p>
      <w:pPr>
        <w:pStyle w:val="BodyText"/>
      </w:pPr>
      <w:r>
        <w:rPr>
          <w:b/>
          <w:bCs/>
        </w:rPr>
        <w:t xml:space="preserve">Scénario ambitieux :</w:t>
      </w:r>
      <w:r>
        <w:t xml:space="preserve"> </w:t>
      </w:r>
      <w:r>
        <w:t xml:space="preserve">accélération produit (5 dev) →</w:t>
      </w:r>
      <w:r>
        <w:t xml:space="preserve"> </w:t>
      </w:r>
      <w:r>
        <w:rPr>
          <w:b/>
          <w:bCs/>
        </w:rPr>
        <w:t xml:space="preserve">besoin de financement</w:t>
      </w:r>
      <w:r>
        <w:t xml:space="preserve"> </w:t>
      </w:r>
      <w:r>
        <w:t xml:space="preserve">~500 k€ pour couvrir le burn</w:t>
      </w:r>
      <w:r>
        <w:rPr>
          <w:rStyle w:val="FootnoteReference"/>
        </w:rPr>
        <w:footnoteReference w:id="37"/>
      </w:r>
    </w:p>
    <w:p>
      <w:pPr>
        <w:pStyle w:val="CaptionedFigure"/>
      </w:pPr>
      <w:r>
        <w:drawing>
          <wp:inline>
            <wp:extent cx="5334000" cy="3615562"/>
            <wp:effectExtent b="0" l="0" r="0" t="0"/>
            <wp:docPr descr="CA par scénario" title="" id="39" name="Picture"/>
            <a:graphic>
              <a:graphicData uri="http://schemas.openxmlformats.org/drawingml/2006/picture">
                <pic:pic>
                  <pic:nvPicPr>
                    <pic:cNvPr descr="assets/bp/bp-ca-scenario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 par scénario</w:t>
      </w:r>
    </w:p>
    <w:p>
      <w:pPr>
        <w:pStyle w:val="CaptionedFigure"/>
      </w:pPr>
      <w:r>
        <w:drawing>
          <wp:inline>
            <wp:extent cx="5334000" cy="3314001"/>
            <wp:effectExtent b="0" l="0" r="0" t="0"/>
            <wp:docPr descr="Trésorerie — 3 scénarios" title="" id="42" name="Picture"/>
            <a:graphic>
              <a:graphicData uri="http://schemas.openxmlformats.org/drawingml/2006/picture">
                <pic:pic>
                  <pic:nvPicPr>
                    <pic:cNvPr descr="assets/bp/bp-tresorerie-scenario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Trésorerie — 3 scénarios</w:t>
      </w:r>
    </w:p>
    <w:p>
      <w:r>
        <w:pict>
          <v:rect style="width:0;height:1.5pt" o:hralign="center" o:hrstd="t" o:hr="t"/>
        </w:pict>
      </w:r>
    </w:p>
    <w:bookmarkEnd w:id="44"/>
    <w:bookmarkStart w:id="51" w:name="slide-8-unit-economics"/>
    <w:p>
      <w:pPr>
        <w:pStyle w:val="Heading2"/>
      </w:pPr>
      <w:r>
        <w:t xml:space="preserve">Slide 8 — Unit economics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  <w:r>
              <w:rPr>
                <w:rStyle w:val="FootnoteReference"/>
              </w:rPr>
              <w:footnoteReference w:id="45"/>
            </w:r>
          </w:p>
        </w:tc>
        <w:tc>
          <w:tcPr/>
          <w:p>
            <w:pPr>
              <w:pStyle w:val="Compact"/>
            </w:pPr>
            <w: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ARPU</w:t>
            </w:r>
            <w:r>
              <w:rPr>
                <w:rStyle w:val="FootnoteReference"/>
              </w:rPr>
              <w:footnoteReference w:id="46"/>
            </w:r>
            <w:r>
              <w:t xml:space="preserve"> </w:t>
            </w:r>
            <w:r>
              <w:t xml:space="preserve">TTC/mois</w:t>
            </w:r>
          </w:p>
        </w:tc>
        <w:tc>
          <w:tcPr/>
          <w:p>
            <w:pPr>
              <w:pStyle w:val="Compact"/>
            </w:pPr>
            <w:r>
              <w:t xml:space="preserve">59 €</w:t>
            </w:r>
          </w:p>
        </w:tc>
        <w:tc>
          <w:tcPr/>
          <w:p>
            <w:pPr>
              <w:pStyle w:val="Compact"/>
            </w:pPr>
            <w:r>
              <w:t xml:space="preserve">149 €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Churn</w:t>
            </w:r>
            <w:r>
              <w:rPr>
                <w:rStyle w:val="FootnoteReference"/>
              </w:rPr>
              <w:footnoteReference w:id="47"/>
            </w:r>
            <w:r>
              <w:t xml:space="preserve"> </w:t>
            </w:r>
            <w:r>
              <w:t xml:space="preserve">moyen</w:t>
            </w:r>
          </w:p>
        </w:tc>
        <w:tc>
          <w:tcPr/>
          <w:p>
            <w:pPr>
              <w:pStyle w:val="Compact"/>
            </w:pPr>
            <w:r>
              <w:t xml:space="preserve">~3 %/mois</w:t>
            </w:r>
          </w:p>
        </w:tc>
        <w:tc>
          <w:tcPr/>
          <w:p>
            <w:pPr>
              <w:pStyle w:val="Compact"/>
            </w:pPr>
            <w:r>
              <w:t xml:space="preserve">~1,5 %/mois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</w:t>
            </w:r>
            <w:r>
              <w:rPr>
                <w:rStyle w:val="FootnoteReference"/>
              </w:rPr>
              <w:footnoteReference w:id="48"/>
            </w:r>
            <w:r>
              <w:t xml:space="preserve"> </w:t>
            </w:r>
            <w:r>
              <w:t xml:space="preserve">TTC estimée</w:t>
            </w:r>
          </w:p>
        </w:tc>
        <w:tc>
          <w:tcPr/>
          <w:p>
            <w:pPr>
              <w:pStyle w:val="Compact"/>
            </w:pPr>
            <w:r>
              <w:t xml:space="preserve">~1 900 €</w:t>
            </w:r>
          </w:p>
        </w:tc>
        <w:tc>
          <w:tcPr/>
          <w:p>
            <w:pPr>
              <w:pStyle w:val="Compact"/>
            </w:pPr>
            <w:r>
              <w:t xml:space="preserve">~9 900 €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Mécaniques de rétention :</w:t>
      </w:r>
      <w:r>
        <w:t xml:space="preserve"> </w:t>
      </w:r>
      <w:r>
        <w:t xml:space="preserve">- Churn décroissant (−10 %/mois sur le taux après M9)</w:t>
      </w:r>
      <w:r>
        <w:t xml:space="preserve"> </w:t>
      </w:r>
      <w:r>
        <w:t xml:space="preserve">- Upsell</w:t>
      </w:r>
      <w:r>
        <w:rPr>
          <w:rStyle w:val="FootnoteReference"/>
        </w:rPr>
        <w:footnoteReference w:id="49"/>
      </w:r>
      <w:r>
        <w:t xml:space="preserve"> </w:t>
      </w:r>
      <w:r>
        <w:t xml:space="preserve">naturel via quotas (dépassements → upgrade Horizon / Rayonnement)</w:t>
      </w:r>
      <w:r>
        <w:t xml:space="preserve"> </w:t>
      </w:r>
      <w:r>
        <w:t xml:space="preserve">- Plan veille hors saison (19–49 €/mois)</w:t>
      </w:r>
    </w:p>
    <w:p>
      <w:pPr>
        <w:pStyle w:val="BodyText"/>
      </w:pPr>
      <w:r>
        <w:rPr>
          <w:b/>
          <w:bCs/>
        </w:rPr>
        <w:t xml:space="preserve">Marge brute logicielle :</w:t>
      </w:r>
      <w:r>
        <w:t xml:space="preserve"> </w:t>
      </w:r>
      <w:r>
        <w:t xml:space="preserve">~80 % avant sous-traitance dev (COGS</w:t>
      </w:r>
      <w:r>
        <w:rPr>
          <w:rStyle w:val="FootnoteReference"/>
        </w:rPr>
        <w:footnoteReference w:id="50"/>
      </w:r>
      <w:r>
        <w:t xml:space="preserve"> </w:t>
      </w:r>
      <w:r>
        <w:t xml:space="preserve">IA + infra)</w:t>
      </w:r>
    </w:p>
    <w:p>
      <w:r>
        <w:pict>
          <v:rect style="width:0;height:1.5pt" o:hralign="center" o:hrstd="t" o:hr="t"/>
        </w:pict>
      </w:r>
    </w:p>
    <w:bookmarkEnd w:id="51"/>
    <w:bookmarkStart w:id="58" w:name="slide-9-go-to-market-roadmap"/>
    <w:p>
      <w:pPr>
        <w:pStyle w:val="Heading2"/>
      </w:pPr>
      <w:r>
        <w:t xml:space="preserve">Slide 9 — Go-to-market &amp; roadmap</w:t>
      </w:r>
    </w:p>
    <w:p>
      <w:pPr>
        <w:pStyle w:val="FirstParagraph"/>
      </w:pPr>
      <w:r>
        <w:rPr>
          <w:b/>
          <w:bCs/>
        </w:rPr>
        <w:t xml:space="preserve">Phase 1 (A1) — Validation</w:t>
      </w:r>
      <w:r>
        <w:t xml:space="preserve"> </w:t>
      </w:r>
      <w:r>
        <w:t xml:space="preserve">- Entonnoir Étincelle → 15 clients payants</w:t>
      </w:r>
      <w:r>
        <w:t xml:space="preserve"> </w:t>
      </w:r>
      <w:r>
        <w:t xml:space="preserve">- Ciblage DCA + musées territoriaux (format M, ~60 œuvres/expo)</w:t>
      </w:r>
    </w:p>
    <w:p>
      <w:pPr>
        <w:pStyle w:val="CaptionedFigure"/>
      </w:pPr>
      <w:r>
        <w:drawing>
          <wp:inline>
            <wp:extent cx="5334000" cy="4916037"/>
            <wp:effectExtent b="0" l="0" r="0" t="0"/>
            <wp:docPr descr="Entonnoir d’acquisition" title="" id="53" name="Picture"/>
            <a:graphic>
              <a:graphicData uri="http://schemas.openxmlformats.org/drawingml/2006/picture">
                <pic:pic>
                  <pic:nvPicPr>
                    <pic:cNvPr descr="assets/bp/bp-funnel-acquisi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Entonnoir d’acquisition</w:t>
      </w:r>
    </w:p>
    <w:p>
      <w:pPr>
        <w:pStyle w:val="CaptionedFigure"/>
      </w:pPr>
      <w:r>
        <w:drawing>
          <wp:inline>
            <wp:extent cx="5334000" cy="5235526"/>
            <wp:effectExtent b="0" l="0" r="0" t="0"/>
            <wp:docPr descr="Carte marché France" title="" id="56" name="Picture"/>
            <a:graphic>
              <a:graphicData uri="http://schemas.openxmlformats.org/drawingml/2006/picture">
                <pic:pic>
                  <pic:nvPicPr>
                    <pic:cNvPr descr="assets/bp/carte-volumes-reg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Carte marché France</w:t>
      </w:r>
    </w:p>
    <w:p>
      <w:pPr>
        <w:pStyle w:val="BodyText"/>
      </w:pPr>
      <w:r>
        <w:rPr>
          <w:b/>
          <w:bCs/>
        </w:rPr>
        <w:t xml:space="preserve">Phase 2 (A2) — Accélération</w:t>
      </w:r>
      <w:r>
        <w:t xml:space="preserve"> </w:t>
      </w:r>
      <w:r>
        <w:t xml:space="preserve">- Horizon = cœur de marge (35 clients)</w:t>
      </w:r>
      <w:r>
        <w:t xml:space="preserve"> </w:t>
      </w:r>
      <w:r>
        <w:t xml:space="preserve">- 1er Zénith (15 k€) · réseaux festivals photo (Arles, Perpignan)</w:t>
      </w:r>
    </w:p>
    <w:p>
      <w:pPr>
        <w:pStyle w:val="BodyText"/>
      </w:pPr>
      <w:r>
        <w:rPr>
          <w:b/>
          <w:bCs/>
        </w:rPr>
        <w:t xml:space="preserve">Phase 3 (A3) — Scale</w:t>
      </w:r>
      <w:r>
        <w:t xml:space="preserve"> </w:t>
      </w:r>
      <w:r>
        <w:t xml:space="preserve">- 70 Horizon · 5 Rayonnement · expansion EU (5 langues prêtes)</w:t>
      </w:r>
    </w:p>
    <w:p>
      <w:pPr>
        <w:pStyle w:val="BodyText"/>
      </w:pPr>
      <w:r>
        <w:rPr>
          <w:b/>
          <w:bCs/>
        </w:rPr>
        <w:t xml:space="preserve">Canaux :</w:t>
      </w:r>
      <w:r>
        <w:t xml:space="preserve"> </w:t>
      </w:r>
      <w:r>
        <w:t xml:space="preserve">vente directe · réseaux pro · partenaires commissaires · BO curatoral</w:t>
      </w:r>
    </w:p>
    <w:p>
      <w:r>
        <w:pict>
          <v:rect style="width:0;height:1.5pt" o:hralign="center" o:hrstd="t" o:hr="t"/>
        </w:pict>
      </w:r>
    </w:p>
    <w:bookmarkEnd w:id="58"/>
    <w:bookmarkStart w:id="59" w:name="slide-10-lopportunité-la-demande"/>
    <w:p>
      <w:pPr>
        <w:pStyle w:val="Heading2"/>
      </w:pPr>
      <w:r>
        <w:t xml:space="preserve">Slide 10 — L’opportunité &amp; la demande</w:t>
      </w:r>
    </w:p>
    <w:p>
      <w:pPr>
        <w:pStyle w:val="FirstParagraph"/>
      </w:pPr>
      <w:r>
        <w:rPr>
          <w:b/>
          <w:bCs/>
        </w:rPr>
        <w:t xml:space="preserve">Pourquoi investir maintenant 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Double mutation</w:t>
      </w:r>
      <w:r>
        <w:t xml:space="preserve"> </w:t>
      </w:r>
      <w:r>
        <w:t xml:space="preserve">: numérisation visiteurs + IA génératrice de contenus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Produit live</w:t>
      </w:r>
      <w:r>
        <w:t xml:space="preserve"> </w:t>
      </w:r>
      <w:r>
        <w:t xml:space="preserve">avec IP protégée — pas un PowerPoint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Marché fragmenté</w:t>
      </w:r>
      <w:r>
        <w:t xml:space="preserve"> </w:t>
      </w:r>
      <w:r>
        <w:t xml:space="preserve">— aucun acteur n’intègre production + personnalisation + mesure émotion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Revenus récurrents</w:t>
      </w:r>
      <w:r>
        <w:t xml:space="preserve"> </w:t>
      </w:r>
      <w:r>
        <w:t xml:space="preserve">sur un SAM de ~4 000 structures en France seule</w:t>
      </w:r>
    </w:p>
    <w:p>
      <w:pPr>
        <w:pStyle w:val="FirstParagraph"/>
      </w:pPr>
      <w:r>
        <w:rPr>
          <w:b/>
          <w:bCs/>
        </w:rPr>
        <w:t xml:space="preserve">Use of funds (scénario ambitieux) :</w:t>
      </w:r>
      <w:r>
        <w:t xml:space="preserve"> </w:t>
      </w:r>
      <w:r>
        <w:t xml:space="preserve">- 60 % — équipe produit (5 dev sous-traités / salariés)</w:t>
      </w:r>
      <w:r>
        <w:t xml:space="preserve"> </w:t>
      </w:r>
      <w:r>
        <w:t xml:space="preserve">- 25 % — commercial &amp; marketing (réseaux culturels)</w:t>
      </w:r>
      <w:r>
        <w:t xml:space="preserve"> </w:t>
      </w:r>
      <w:r>
        <w:t xml:space="preserve">- 15 % — infra IA &amp; conformité (RGPD, scalabilité EU)</w:t>
      </w:r>
    </w:p>
    <w:p>
      <w:pPr>
        <w:pStyle w:val="BodyText"/>
      </w:pPr>
      <w:r>
        <w:rPr>
          <w:b/>
          <w:bCs/>
        </w:rPr>
        <w:t xml:space="preserve">Contact :</w:t>
      </w:r>
      <w:r>
        <w:t xml:space="preserve"> </w:t>
      </w:r>
      <w:r>
        <w:t xml:space="preserve">[votre email] ·</w:t>
      </w:r>
      <w:r>
        <w:t xml:space="preserve"> </w:t>
      </w:r>
      <w:r>
        <w:rPr>
          <w:b/>
          <w:bCs/>
        </w:rPr>
        <w:t xml:space="preserve">aimediart.com</w:t>
      </w:r>
    </w:p>
    <w:p>
      <w:r>
        <w:pict>
          <v:rect style="width:0;height:1.5pt" o:hralign="center" o:hrstd="t" o:hr="t"/>
        </w:pict>
      </w:r>
    </w:p>
    <w:bookmarkEnd w:id="59"/>
    <w:bookmarkStart w:id="60" w:name="notes-de-bas-de-page-pitch"/>
    <w:p>
      <w:pPr>
        <w:pStyle w:val="Heading2"/>
      </w:pPr>
      <w:r>
        <w:t xml:space="preserve">Notes de bas de page (pitch)</w:t>
      </w:r>
    </w:p>
    <w:p>
      <w:pPr>
        <w:pStyle w:val="FirstParagraph"/>
      </w:pPr>
      <w:r>
        <w:rPr>
          <w:i/>
          <w:iCs/>
        </w:rPr>
        <w:t xml:space="preserve">Annexe chiffrée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docs/business-plan-previsionnel-36m-new.xlsx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(</w:t>
      </w:r>
      <w:r>
        <w:rPr>
          <w:i/>
          <w:iCs/>
        </w:rPr>
        <w:t xml:space="preserve">Software as a Service</w:t>
      </w:r>
      <w:r>
        <w:t xml:space="preserve">) — logiciel accessible en ligne par abonnement, sans installation.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(</w:t>
      </w:r>
      <w:r>
        <w:rPr>
          <w:i/>
          <w:iCs/>
        </w:rPr>
        <w:t xml:space="preserve">Total Addressable Market</w:t>
      </w:r>
      <w:r>
        <w:t xml:space="preserve">) — marché total théorique adressable.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SAM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Addressable Market</w:t>
      </w:r>
      <w:r>
        <w:t xml:space="preserve">) — segment réaliste ciblable avec le produit actuel.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SOM</w:t>
      </w:r>
      <w:r>
        <w:t xml:space="preserve"> </w:t>
      </w:r>
      <w:r>
        <w:t xml:space="preserve">(</w:t>
      </w:r>
      <w:r>
        <w:rPr>
          <w:i/>
          <w:iCs/>
        </w:rPr>
        <w:t xml:space="preserve">Serviceable Obtainable Market</w:t>
      </w:r>
      <w:r>
        <w:t xml:space="preserve">) — part de marché capturable à horizon 3 ans.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DCA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Association de la Documentaton en Centres d’Art</w:t>
      </w:r>
      <w:r>
        <w:t xml:space="preserve">, réseau de 51 centres d’art contemporain en France.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ICOM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International Council of Museums</w:t>
      </w:r>
      <w:r>
        <w:t xml:space="preserve">, organisation mondiale des musées (siège Paris).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NEMO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Network of European Museum Organisations</w:t>
      </w:r>
      <w:r>
        <w:t xml:space="preserve">, fédération européenne d’organisations de musées.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ACCR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Association des Centres Culturels de Rencontre</w:t>
      </w:r>
      <w:r>
        <w:t xml:space="preserve">, 43 centres dans 15 pays.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Expositions à très forte affluence (ex. rétrospectives majeures au Musée d’Orsay) — format L (~180 œuvres).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— parcours guidé pas-à-pas dans l’interface (création œuvre → médiation → audio → QR).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TTS</w:t>
      </w:r>
      <w:r>
        <w:t xml:space="preserve"> </w:t>
      </w:r>
      <w:r>
        <w:t xml:space="preserve">(</w:t>
      </w:r>
      <w:r>
        <w:rPr>
          <w:i/>
          <w:iCs/>
        </w:rPr>
        <w:t xml:space="preserve">Text-to-Speech</w:t>
      </w:r>
      <w:r>
        <w:t xml:space="preserve">) — synthèse vocale pour les audioguides.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MRR</w:t>
      </w:r>
      <w:r>
        <w:t xml:space="preserve"> </w:t>
      </w:r>
      <w:r>
        <w:t xml:space="preserve">(</w:t>
      </w:r>
      <w:r>
        <w:rPr>
          <w:i/>
          <w:iCs/>
        </w:rPr>
        <w:t xml:space="preserve">Monthly Recurring Revenue</w:t>
      </w:r>
      <w:r>
        <w:t xml:space="preserve">) — revenu mensuel récurrent.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ARR</w:t>
      </w:r>
      <w:r>
        <w:t xml:space="preserve"> </w:t>
      </w:r>
      <w:r>
        <w:t xml:space="preserve">(</w:t>
      </w:r>
      <w:r>
        <w:rPr>
          <w:i/>
          <w:iCs/>
        </w:rPr>
        <w:t xml:space="preserve">Annual Recurring Revenue</w:t>
      </w:r>
      <w:r>
        <w:t xml:space="preserve">) — MRR × 12.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Burn</w:t>
      </w:r>
      <w:r>
        <w:t xml:space="preserve"> </w:t>
      </w:r>
      <w:r>
        <w:t xml:space="preserve">— consommation de trésorerie mensuelle nette (cash burn).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KPI</w:t>
      </w:r>
      <w:r>
        <w:t xml:space="preserve"> </w:t>
      </w:r>
      <w:r>
        <w:t xml:space="preserve">(</w:t>
      </w:r>
      <w:r>
        <w:rPr>
          <w:i/>
          <w:iCs/>
        </w:rPr>
        <w:t xml:space="preserve">Key Performance Indicator</w:t>
      </w:r>
      <w:r>
        <w:t xml:space="preserve">) — indicateur clé de performance.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ARPU</w:t>
      </w:r>
      <w:r>
        <w:t xml:space="preserve"> </w:t>
      </w:r>
      <w:r>
        <w:t xml:space="preserve">(</w:t>
      </w:r>
      <w:r>
        <w:rPr>
          <w:i/>
          <w:iCs/>
        </w:rPr>
        <w:t xml:space="preserve">Average Revenue Per User</w:t>
      </w:r>
      <w:r>
        <w:t xml:space="preserve">) — revenu moyen par client et par mois.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Churn</w:t>
      </w:r>
      <w:r>
        <w:t xml:space="preserve"> </w:t>
      </w:r>
      <w:r>
        <w:t xml:space="preserve">— taux de désabonnement mensuel.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LTV</w:t>
      </w:r>
      <w:r>
        <w:t xml:space="preserve"> </w:t>
      </w:r>
      <w:r>
        <w:t xml:space="preserve">(</w:t>
      </w:r>
      <w:r>
        <w:rPr>
          <w:i/>
          <w:iCs/>
        </w:rPr>
        <w:t xml:space="preserve">Lifetime Value</w:t>
      </w:r>
      <w:r>
        <w:t xml:space="preserve">) — revenu total généré par un client sur toute sa durée de vie.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Upsell</w:t>
      </w:r>
      <w:r>
        <w:t xml:space="preserve"> </w:t>
      </w:r>
      <w:r>
        <w:t xml:space="preserve">— vente additionnelle ou passage à un plan supérieur.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COGS</w:t>
      </w:r>
      <w:r>
        <w:t xml:space="preserve"> </w:t>
      </w:r>
      <w:r>
        <w:t xml:space="preserve">(</w:t>
      </w:r>
      <w:r>
        <w:rPr>
          <w:i/>
          <w:iCs/>
        </w:rPr>
        <w:t xml:space="preserve">Cost of Goods Sold</w:t>
      </w:r>
      <w:r>
        <w:t xml:space="preserve">) — coût direct de service (IA, hébergement).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52" Target="media/rId52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41" Target="media/rId41.png" /><Relationship Type="http://schemas.openxmlformats.org/officeDocument/2006/relationships/image" Id="rId12" Target="media/rId12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2026-06-23T08:29:01Z</dcterms:created>
  <dcterms:modified xsi:type="dcterms:W3CDTF">2026-06-23T08:29:01Z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