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9C01" w14:textId="11F7AD58" w:rsidR="00E82EF8" w:rsidRPr="00E82EF8" w:rsidRDefault="00E82EF8" w:rsidP="00E82EF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82EF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D559B13" wp14:editId="1D72B1F0">
            <wp:extent cx="2009775" cy="2009775"/>
            <wp:effectExtent l="0" t="0" r="9525" b="9525"/>
            <wp:docPr id="1439038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41F3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</w:p>
    <w:p w14:paraId="64E37DAA" w14:textId="6134A746" w:rsidR="00E82EF8" w:rsidRPr="00E82EF8" w:rsidRDefault="00E82EF8" w:rsidP="00E82EF8">
      <w:pPr>
        <w:jc w:val="center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b/>
          <w:bCs/>
          <w:lang w:val="en-US"/>
        </w:rPr>
        <w:t>THE COPPERBELT UNIVERSITY</w:t>
      </w:r>
    </w:p>
    <w:p w14:paraId="0658E07E" w14:textId="3C021A06" w:rsidR="00E82EF8" w:rsidRPr="00E82EF8" w:rsidRDefault="00E82EF8" w:rsidP="00E82EF8">
      <w:pPr>
        <w:jc w:val="center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b/>
          <w:bCs/>
          <w:lang w:val="en-US"/>
        </w:rPr>
        <w:t>SCHOOL OF GRADUATE STUDIES</w:t>
      </w:r>
    </w:p>
    <w:p w14:paraId="1AA8ED4F" w14:textId="37AD19BE" w:rsidR="00E82EF8" w:rsidRPr="00E82EF8" w:rsidRDefault="00E82EF8" w:rsidP="00E82EF8">
      <w:pPr>
        <w:jc w:val="center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b/>
          <w:bCs/>
          <w:lang w:val="en-US"/>
        </w:rPr>
        <w:t>CS 594: CLIMATE MODELLING AND DATA ANALYSIS</w:t>
      </w:r>
    </w:p>
    <w:p w14:paraId="5DA4B7A1" w14:textId="06C16565" w:rsidR="00E82EF8" w:rsidRPr="00E82EF8" w:rsidRDefault="00E82EF8" w:rsidP="00E82EF8">
      <w:pPr>
        <w:jc w:val="center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b/>
          <w:bCs/>
          <w:lang w:val="en-US"/>
        </w:rPr>
        <w:t>PRACTICAL 0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E82EF8">
        <w:rPr>
          <w:rFonts w:ascii="Times New Roman" w:hAnsi="Times New Roman" w:cs="Times New Roman"/>
          <w:b/>
          <w:bCs/>
          <w:lang w:val="en-US"/>
        </w:rPr>
        <w:t>:</w:t>
      </w:r>
    </w:p>
    <w:p w14:paraId="72277D6E" w14:textId="77777777" w:rsidR="00E82EF8" w:rsidRDefault="00E82EF8" w:rsidP="00E82EF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B666D">
        <w:rPr>
          <w:rFonts w:ascii="Times New Roman" w:hAnsi="Times New Roman" w:cs="Times New Roman"/>
          <w:b/>
          <w:bCs/>
          <w:lang w:val="en-US"/>
        </w:rPr>
        <w:t>Computing ETCCDI Extreme Climate Indices</w:t>
      </w:r>
    </w:p>
    <w:p w14:paraId="5541A942" w14:textId="77777777" w:rsidR="00E82EF8" w:rsidRPr="001B666D" w:rsidRDefault="00E82EF8" w:rsidP="00E82EF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13AD05C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Name: Fadzai Dzehonye </w:t>
      </w:r>
    </w:p>
    <w:p w14:paraId="6593B8B1" w14:textId="68581AD5" w:rsidR="00E82EF8" w:rsidRPr="001B666D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Student Number: 25184237 </w:t>
      </w:r>
    </w:p>
    <w:p w14:paraId="2E6098A1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142FAF29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5BF1A9D2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40F9B1BA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7080EB85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2DFDDD47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56645850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36B9EE92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6C568234" w14:textId="77777777" w:rsidR="00BF28E0" w:rsidRPr="001B666D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0093A7A0" w14:textId="77777777" w:rsidR="00BF28E0" w:rsidRDefault="00BF28E0" w:rsidP="001B666D">
      <w:pPr>
        <w:jc w:val="both"/>
        <w:rPr>
          <w:rFonts w:ascii="Times New Roman" w:hAnsi="Times New Roman" w:cs="Times New Roman"/>
          <w:lang w:val="en-US"/>
        </w:rPr>
      </w:pPr>
    </w:p>
    <w:p w14:paraId="52CCC93C" w14:textId="77777777" w:rsidR="00E82EF8" w:rsidRPr="001B666D" w:rsidRDefault="00E82EF8" w:rsidP="001B666D">
      <w:pPr>
        <w:jc w:val="both"/>
        <w:rPr>
          <w:rFonts w:ascii="Times New Roman" w:hAnsi="Times New Roman" w:cs="Times New Roman"/>
          <w:lang w:val="en-US"/>
        </w:rPr>
      </w:pPr>
    </w:p>
    <w:p w14:paraId="0D571083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lastRenderedPageBreak/>
        <w:t>Interpretation Report</w:t>
      </w:r>
    </w:p>
    <w:p w14:paraId="60213C71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The ETCCDI analysis for Mount </w:t>
      </w:r>
      <w:proofErr w:type="spellStart"/>
      <w:r w:rsidRPr="00E82EF8">
        <w:rPr>
          <w:rFonts w:ascii="Times New Roman" w:hAnsi="Times New Roman" w:cs="Times New Roman"/>
          <w:lang w:val="en-US"/>
        </w:rPr>
        <w:t>Makulu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(1981–2010) showed considerable year-to-year variability in both temperature and precipitation extremes. However, the Mann–Kendall test indicated that none of the four </w:t>
      </w:r>
      <w:proofErr w:type="spellStart"/>
      <w:r w:rsidRPr="00E82EF8">
        <w:rPr>
          <w:rFonts w:ascii="Times New Roman" w:hAnsi="Times New Roman" w:cs="Times New Roman"/>
          <w:lang w:val="en-US"/>
        </w:rPr>
        <w:t>analysed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indices had a statistically significant long-term trend at the 5% significance level.</w:t>
      </w:r>
    </w:p>
    <w:p w14:paraId="7618A67F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82EF8">
        <w:rPr>
          <w:rFonts w:ascii="Times New Roman" w:hAnsi="Times New Roman" w:cs="Times New Roman"/>
          <w:lang w:val="en-US"/>
        </w:rPr>
        <w:t>TXx</w:t>
      </w:r>
      <w:proofErr w:type="spellEnd"/>
      <w:r w:rsidRPr="00E82EF8">
        <w:rPr>
          <w:rFonts w:ascii="Times New Roman" w:hAnsi="Times New Roman" w:cs="Times New Roman"/>
          <w:lang w:val="en-US"/>
        </w:rPr>
        <w:t>, representing the annual warmest daily maximum temperature, showed a slight increasing tendency of 0.0667 °C/year (p = 0.0704). Although this increase was not statistically significant, it suggests a possible tendency towards warmer extreme daytime temperatures. Such variations can be influenced by persistent high-pressure systems and atmospheric blocking, which may suppress cloud formation and rainfall and allow prolonged surface heating.</w:t>
      </w:r>
    </w:p>
    <w:p w14:paraId="2AB8421C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SU, representing the annual number of days with </w:t>
      </w:r>
      <w:proofErr w:type="spellStart"/>
      <w:r w:rsidRPr="00E82EF8">
        <w:rPr>
          <w:rFonts w:ascii="Times New Roman" w:hAnsi="Times New Roman" w:cs="Times New Roman"/>
          <w:lang w:val="en-US"/>
        </w:rPr>
        <w:t>Tmax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above 25°C, showed a weak decreasing tendency of −0.3333 days/year (p = 0.7776). This trend was not statistically significant. The difference between the slight increase in </w:t>
      </w:r>
      <w:proofErr w:type="spellStart"/>
      <w:r w:rsidRPr="00E82EF8">
        <w:rPr>
          <w:rFonts w:ascii="Times New Roman" w:hAnsi="Times New Roman" w:cs="Times New Roman"/>
          <w:lang w:val="en-US"/>
        </w:rPr>
        <w:t>TXx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and decrease in SU demonstrates that changes in the intensity of the hottest days do not necessarily correspond to an increase in the total number of hot days.</w:t>
      </w:r>
    </w:p>
    <w:p w14:paraId="79CCFC44" w14:textId="77777777" w:rsid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The precipitation indices also showed substantial interannual variability. RX1day had a weak decreasing tendency of −0.0600 mm/year (p = 0.8947), while R95pTOT decreased by approximately −0.1385 percentage points/year (p = 0.5666). Neither trend was statistically significant. Variability in heavy rainfall can be related to changes in atmospheric moisture and instability. In particular, higher Convective Available Potential Energy (CAPE) can </w:t>
      </w:r>
      <w:proofErr w:type="spellStart"/>
      <w:r w:rsidRPr="00E82EF8">
        <w:rPr>
          <w:rFonts w:ascii="Times New Roman" w:hAnsi="Times New Roman" w:cs="Times New Roman"/>
          <w:lang w:val="en-US"/>
        </w:rPr>
        <w:t>favour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stronger convection and potentially intense rainfall when sufficient moisture and appropriate triggering conditions are present.</w:t>
      </w:r>
    </w:p>
    <w:p w14:paraId="0FC9BD24" w14:textId="5CA59534" w:rsid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>Table 1. Trend analysis of ETCCDI indices, 1981–2010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3237"/>
        <w:gridCol w:w="977"/>
        <w:gridCol w:w="2796"/>
      </w:tblGrid>
      <w:tr w:rsidR="00E82EF8" w:rsidRPr="00E82EF8" w14:paraId="3424B741" w14:textId="77777777" w:rsidTr="00E82EF8">
        <w:tc>
          <w:tcPr>
            <w:tcW w:w="0" w:type="auto"/>
            <w:hideMark/>
          </w:tcPr>
          <w:p w14:paraId="5084B149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82EF8">
              <w:rPr>
                <w:rFonts w:ascii="Times New Roman" w:hAnsi="Times New Roman" w:cs="Times New Roman"/>
                <w:b/>
                <w:bCs/>
                <w:lang w:val="en-US"/>
              </w:rPr>
              <w:t>Index</w:t>
            </w:r>
          </w:p>
        </w:tc>
        <w:tc>
          <w:tcPr>
            <w:tcW w:w="0" w:type="auto"/>
            <w:hideMark/>
          </w:tcPr>
          <w:p w14:paraId="0D920E12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82EF8">
              <w:rPr>
                <w:rFonts w:ascii="Times New Roman" w:hAnsi="Times New Roman" w:cs="Times New Roman"/>
                <w:b/>
                <w:bCs/>
                <w:lang w:val="en-US"/>
              </w:rPr>
              <w:t>Sen's slope</w:t>
            </w:r>
          </w:p>
        </w:tc>
        <w:tc>
          <w:tcPr>
            <w:tcW w:w="0" w:type="auto"/>
            <w:hideMark/>
          </w:tcPr>
          <w:p w14:paraId="37328622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82EF8">
              <w:rPr>
                <w:rFonts w:ascii="Times New Roman" w:hAnsi="Times New Roman" w:cs="Times New Roman"/>
                <w:b/>
                <w:bCs/>
                <w:lang w:val="en-US"/>
              </w:rPr>
              <w:t>p-value</w:t>
            </w:r>
          </w:p>
        </w:tc>
        <w:tc>
          <w:tcPr>
            <w:tcW w:w="0" w:type="auto"/>
            <w:hideMark/>
          </w:tcPr>
          <w:p w14:paraId="285085AB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82EF8">
              <w:rPr>
                <w:rFonts w:ascii="Times New Roman" w:hAnsi="Times New Roman" w:cs="Times New Roman"/>
                <w:b/>
                <w:bCs/>
                <w:lang w:val="en-US"/>
              </w:rPr>
              <w:t>Interpretation</w:t>
            </w:r>
          </w:p>
        </w:tc>
      </w:tr>
      <w:tr w:rsidR="00E82EF8" w:rsidRPr="00E82EF8" w14:paraId="0D2A9A23" w14:textId="77777777" w:rsidTr="00E82EF8">
        <w:tc>
          <w:tcPr>
            <w:tcW w:w="0" w:type="auto"/>
            <w:hideMark/>
          </w:tcPr>
          <w:p w14:paraId="7F97130C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2EF8">
              <w:rPr>
                <w:rFonts w:ascii="Times New Roman" w:hAnsi="Times New Roman" w:cs="Times New Roman"/>
                <w:lang w:val="en-US"/>
              </w:rPr>
              <w:t>TXx</w:t>
            </w:r>
            <w:proofErr w:type="spellEnd"/>
          </w:p>
        </w:tc>
        <w:tc>
          <w:tcPr>
            <w:tcW w:w="0" w:type="auto"/>
            <w:hideMark/>
          </w:tcPr>
          <w:p w14:paraId="61C2BCC7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+0.0667 °C/year</w:t>
            </w:r>
          </w:p>
        </w:tc>
        <w:tc>
          <w:tcPr>
            <w:tcW w:w="0" w:type="auto"/>
            <w:hideMark/>
          </w:tcPr>
          <w:p w14:paraId="06D0FD3B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0.0704</w:t>
            </w:r>
          </w:p>
        </w:tc>
        <w:tc>
          <w:tcPr>
            <w:tcW w:w="0" w:type="auto"/>
            <w:hideMark/>
          </w:tcPr>
          <w:p w14:paraId="1A8F793B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Increasing, not significant</w:t>
            </w:r>
          </w:p>
        </w:tc>
      </w:tr>
      <w:tr w:rsidR="00E82EF8" w:rsidRPr="00E82EF8" w14:paraId="58D0F4F7" w14:textId="77777777" w:rsidTr="00E82EF8">
        <w:tc>
          <w:tcPr>
            <w:tcW w:w="0" w:type="auto"/>
            <w:hideMark/>
          </w:tcPr>
          <w:p w14:paraId="3667F20E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SU</w:t>
            </w:r>
          </w:p>
        </w:tc>
        <w:tc>
          <w:tcPr>
            <w:tcW w:w="0" w:type="auto"/>
            <w:hideMark/>
          </w:tcPr>
          <w:p w14:paraId="4CBDC58C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−0.3333 days/year</w:t>
            </w:r>
          </w:p>
        </w:tc>
        <w:tc>
          <w:tcPr>
            <w:tcW w:w="0" w:type="auto"/>
            <w:hideMark/>
          </w:tcPr>
          <w:p w14:paraId="27506A1F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0.7776</w:t>
            </w:r>
          </w:p>
        </w:tc>
        <w:tc>
          <w:tcPr>
            <w:tcW w:w="0" w:type="auto"/>
            <w:hideMark/>
          </w:tcPr>
          <w:p w14:paraId="5303EE11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Decreasing, not significant</w:t>
            </w:r>
          </w:p>
        </w:tc>
      </w:tr>
      <w:tr w:rsidR="00E82EF8" w:rsidRPr="00E82EF8" w14:paraId="340A7C6D" w14:textId="77777777" w:rsidTr="00E82EF8">
        <w:tc>
          <w:tcPr>
            <w:tcW w:w="0" w:type="auto"/>
            <w:hideMark/>
          </w:tcPr>
          <w:p w14:paraId="63528C0F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RX1day</w:t>
            </w:r>
          </w:p>
        </w:tc>
        <w:tc>
          <w:tcPr>
            <w:tcW w:w="0" w:type="auto"/>
            <w:hideMark/>
          </w:tcPr>
          <w:p w14:paraId="70D3FD9A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−0.0600 mm/year</w:t>
            </w:r>
          </w:p>
        </w:tc>
        <w:tc>
          <w:tcPr>
            <w:tcW w:w="0" w:type="auto"/>
            <w:hideMark/>
          </w:tcPr>
          <w:p w14:paraId="0FB4FB34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0.8947</w:t>
            </w:r>
          </w:p>
        </w:tc>
        <w:tc>
          <w:tcPr>
            <w:tcW w:w="0" w:type="auto"/>
            <w:hideMark/>
          </w:tcPr>
          <w:p w14:paraId="2D15AFEA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Decreasing, not significant</w:t>
            </w:r>
          </w:p>
        </w:tc>
      </w:tr>
      <w:tr w:rsidR="00E82EF8" w:rsidRPr="00E82EF8" w14:paraId="0264DBAE" w14:textId="77777777" w:rsidTr="00E82EF8">
        <w:tc>
          <w:tcPr>
            <w:tcW w:w="0" w:type="auto"/>
            <w:hideMark/>
          </w:tcPr>
          <w:p w14:paraId="115421F7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R95pTOT</w:t>
            </w:r>
          </w:p>
        </w:tc>
        <w:tc>
          <w:tcPr>
            <w:tcW w:w="0" w:type="auto"/>
            <w:hideMark/>
          </w:tcPr>
          <w:p w14:paraId="63A7B554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−0.1385 percentage points/year</w:t>
            </w:r>
          </w:p>
        </w:tc>
        <w:tc>
          <w:tcPr>
            <w:tcW w:w="0" w:type="auto"/>
            <w:hideMark/>
          </w:tcPr>
          <w:p w14:paraId="33E444FD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0.5666</w:t>
            </w:r>
          </w:p>
        </w:tc>
        <w:tc>
          <w:tcPr>
            <w:tcW w:w="0" w:type="auto"/>
            <w:hideMark/>
          </w:tcPr>
          <w:p w14:paraId="57375FD9" w14:textId="77777777" w:rsidR="00E82EF8" w:rsidRPr="00E82EF8" w:rsidRDefault="00E82EF8" w:rsidP="00E82EF8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82EF8">
              <w:rPr>
                <w:rFonts w:ascii="Times New Roman" w:hAnsi="Times New Roman" w:cs="Times New Roman"/>
                <w:lang w:val="en-US"/>
              </w:rPr>
              <w:t>Decreasing, not significant</w:t>
            </w:r>
          </w:p>
        </w:tc>
      </w:tr>
    </w:tbl>
    <w:p w14:paraId="2A1FCF46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</w:p>
    <w:p w14:paraId="71CA8F54" w14:textId="77777777" w:rsidR="00E82EF8" w:rsidRPr="00E82EF8" w:rsidRDefault="00E82EF8" w:rsidP="00E82EF8">
      <w:pPr>
        <w:jc w:val="center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E9709F" wp14:editId="509234D7">
            <wp:extent cx="6355842" cy="3336817"/>
            <wp:effectExtent l="0" t="0" r="6985" b="0"/>
            <wp:docPr id="1617719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179" cy="3348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82EF8">
        <w:rPr>
          <w:rFonts w:ascii="Times New Roman" w:hAnsi="Times New Roman" w:cs="Times New Roman"/>
          <w:lang w:val="en-US"/>
        </w:rPr>
        <w:t xml:space="preserve">Figure 1. Annual thermal and heavy precipitation extreme indices at Mount </w:t>
      </w:r>
      <w:proofErr w:type="spellStart"/>
      <w:r w:rsidRPr="00E82EF8">
        <w:rPr>
          <w:rFonts w:ascii="Times New Roman" w:hAnsi="Times New Roman" w:cs="Times New Roman"/>
          <w:lang w:val="en-US"/>
        </w:rPr>
        <w:t>Makulu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(1981–2010).</w:t>
      </w:r>
    </w:p>
    <w:p w14:paraId="4F98F74C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Overall, the results suggest that Mount </w:t>
      </w:r>
      <w:proofErr w:type="spellStart"/>
      <w:r w:rsidRPr="00E82EF8">
        <w:rPr>
          <w:rFonts w:ascii="Times New Roman" w:hAnsi="Times New Roman" w:cs="Times New Roman"/>
          <w:lang w:val="en-US"/>
        </w:rPr>
        <w:t>Makulu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experienced substantial interannual variability rather than statistically significant long-term changes in the selected climate extremes during 1981–2010. Atmospheric blocking and variations in CAPE provide possible physical explanations for temperature and rainfall extremes respectively; however, these mechanisms were not directly </w:t>
      </w:r>
      <w:proofErr w:type="spellStart"/>
      <w:r w:rsidRPr="00E82EF8">
        <w:rPr>
          <w:rFonts w:ascii="Times New Roman" w:hAnsi="Times New Roman" w:cs="Times New Roman"/>
          <w:lang w:val="en-US"/>
        </w:rPr>
        <w:t>analysed</w:t>
      </w:r>
      <w:proofErr w:type="spellEnd"/>
      <w:r w:rsidRPr="00E82EF8">
        <w:rPr>
          <w:rFonts w:ascii="Times New Roman" w:hAnsi="Times New Roman" w:cs="Times New Roman"/>
          <w:lang w:val="en-US"/>
        </w:rPr>
        <w:t xml:space="preserve"> in this practical. Therefore, they should be interpreted as potential regional physical drivers rather than confirmed causes of the observed patterns.</w:t>
      </w:r>
    </w:p>
    <w:p w14:paraId="3A540E2E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>Conclusion</w:t>
      </w:r>
    </w:p>
    <w:p w14:paraId="45B0BFF2" w14:textId="77777777" w:rsidR="00E82EF8" w:rsidRPr="00E82EF8" w:rsidRDefault="00E82EF8" w:rsidP="00E82EF8">
      <w:pPr>
        <w:jc w:val="both"/>
        <w:rPr>
          <w:rFonts w:ascii="Times New Roman" w:hAnsi="Times New Roman" w:cs="Times New Roman"/>
          <w:lang w:val="en-US"/>
        </w:rPr>
      </w:pPr>
      <w:r w:rsidRPr="00E82EF8">
        <w:rPr>
          <w:rFonts w:ascii="Times New Roman" w:hAnsi="Times New Roman" w:cs="Times New Roman"/>
          <w:lang w:val="en-US"/>
        </w:rPr>
        <w:t xml:space="preserve">The analysis found no statistically significant trends in </w:t>
      </w:r>
      <w:proofErr w:type="spellStart"/>
      <w:r w:rsidRPr="00E82EF8">
        <w:rPr>
          <w:rFonts w:ascii="Times New Roman" w:hAnsi="Times New Roman" w:cs="Times New Roman"/>
          <w:lang w:val="en-US"/>
        </w:rPr>
        <w:t>TXx</w:t>
      </w:r>
      <w:proofErr w:type="spellEnd"/>
      <w:r w:rsidRPr="00E82EF8">
        <w:rPr>
          <w:rFonts w:ascii="Times New Roman" w:hAnsi="Times New Roman" w:cs="Times New Roman"/>
          <w:lang w:val="en-US"/>
        </w:rPr>
        <w:t>, SU, RX1day or R95pTOT. Nevertheless, the variability observed in temperature and heavy rainfall extremes remains important for climate-risk assessment because individual extreme events can affect agriculture, water resources and infrastructure even in the absence of a significant long-term trend.</w:t>
      </w:r>
    </w:p>
    <w:p w14:paraId="3245A853" w14:textId="77777777" w:rsidR="001B666D" w:rsidRDefault="001B666D" w:rsidP="001B666D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78EB65" w14:textId="77777777" w:rsidR="001B666D" w:rsidRDefault="001B666D" w:rsidP="001B666D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F758FE8" w14:textId="5E235BBA" w:rsidR="0041278F" w:rsidRPr="001B666D" w:rsidRDefault="0041278F" w:rsidP="001B666D">
      <w:pPr>
        <w:jc w:val="both"/>
        <w:rPr>
          <w:rFonts w:ascii="Times New Roman" w:hAnsi="Times New Roman" w:cs="Times New Roman"/>
        </w:rPr>
      </w:pPr>
    </w:p>
    <w:sectPr w:rsidR="0041278F" w:rsidRPr="001B6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E2A49"/>
    <w:multiLevelType w:val="multilevel"/>
    <w:tmpl w:val="C79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0002B"/>
    <w:multiLevelType w:val="multilevel"/>
    <w:tmpl w:val="545A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35348">
    <w:abstractNumId w:val="1"/>
  </w:num>
  <w:num w:numId="2" w16cid:durableId="14709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8F"/>
    <w:rsid w:val="00022550"/>
    <w:rsid w:val="0005191B"/>
    <w:rsid w:val="000970F0"/>
    <w:rsid w:val="000E1BD0"/>
    <w:rsid w:val="001B666D"/>
    <w:rsid w:val="00235D10"/>
    <w:rsid w:val="0041278F"/>
    <w:rsid w:val="004E4078"/>
    <w:rsid w:val="00520842"/>
    <w:rsid w:val="00534DC2"/>
    <w:rsid w:val="00542EFE"/>
    <w:rsid w:val="005B3773"/>
    <w:rsid w:val="006532FA"/>
    <w:rsid w:val="00671CE5"/>
    <w:rsid w:val="006D1600"/>
    <w:rsid w:val="00750024"/>
    <w:rsid w:val="00900FB4"/>
    <w:rsid w:val="00953418"/>
    <w:rsid w:val="009C54C0"/>
    <w:rsid w:val="009E744B"/>
    <w:rsid w:val="00BE5D62"/>
    <w:rsid w:val="00BE72CE"/>
    <w:rsid w:val="00BF28E0"/>
    <w:rsid w:val="00C71831"/>
    <w:rsid w:val="00C72267"/>
    <w:rsid w:val="00CF77C3"/>
    <w:rsid w:val="00E82EF8"/>
    <w:rsid w:val="00E84321"/>
    <w:rsid w:val="00EF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B56C"/>
  <w15:chartTrackingRefBased/>
  <w15:docId w15:val="{9F096967-0B7F-47ED-ACAD-C19465D1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8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8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8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8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8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8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8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1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8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8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1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8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1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8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127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8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8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2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Fadzai Dzehonye</dc:creator>
  <cp:keywords/>
  <dc:description/>
  <cp:lastModifiedBy>Fadzai Dzehonye</cp:lastModifiedBy>
  <cp:revision>1</cp:revision>
  <dcterms:created xsi:type="dcterms:W3CDTF">2026-09-01T15:40:00Z</dcterms:created>
  <dcterms:modified xsi:type="dcterms:W3CDTF">2026-09-01T19:12:00Z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9db26093-8b94-40e5-bffd-59bff8b10813</vt:lpwstr>
  </property>
</Properties>
</file>