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B7F23" w14:textId="77777777" w:rsidR="00887300" w:rsidRDefault="00A05EF3">
      <w:pPr>
        <w:jc w:val="both"/>
        <w:rPr>
          <w:b/>
          <w:bCs/>
        </w:rPr>
      </w:pPr>
      <w:r>
        <w:rPr>
          <w:rFonts w:ascii="Times New Roman" w:hAnsi="Times New Roman" w:cs="Times New Roman"/>
          <w:b/>
          <w:bCs/>
        </w:rPr>
        <w:t>Saúde mental: subjacente, porém imprescindível.</w:t>
      </w:r>
    </w:p>
    <w:p w14:paraId="233B7F24" w14:textId="77777777" w:rsidR="00887300" w:rsidRDefault="00887300">
      <w:pPr>
        <w:jc w:val="both"/>
        <w:rPr>
          <w:rFonts w:ascii="Times New Roman" w:hAnsi="Times New Roman" w:cs="Times New Roman"/>
        </w:rPr>
      </w:pPr>
    </w:p>
    <w:p w14:paraId="233B7F25" w14:textId="77777777" w:rsidR="00887300" w:rsidRDefault="00A05EF3">
      <w:pPr>
        <w:jc w:val="both"/>
        <w:rPr>
          <w:rFonts w:ascii="Times New Roman" w:hAnsi="Times New Roman" w:cs="Times New Roman"/>
        </w:rPr>
      </w:pPr>
      <w:r>
        <w:rPr>
          <w:rFonts w:ascii="Times New Roman" w:hAnsi="Times New Roman" w:cs="Times New Roman"/>
        </w:rPr>
        <w:t xml:space="preserve">Não é de se estranhar que a preocupação com pormenores cotidianos dos métodos organizativos sejam relegados a um segundo plano, isto é até um resultado natural (espontâneo) do processo de ativação e </w:t>
      </w:r>
      <w:r>
        <w:rPr>
          <w:rFonts w:ascii="Times New Roman" w:hAnsi="Times New Roman" w:cs="Times New Roman"/>
        </w:rPr>
        <w:t>coordenação da militância na busca de seus objetivos imediatos. Tal preocupação demanda tempo e em muitas medidas estão sob risco de se tornarem uma preocupação que se aprofunda infinitamente em si mesma e com isso, caso não fossem tomados os devidos cuida</w:t>
      </w:r>
      <w:r>
        <w:rPr>
          <w:rFonts w:ascii="Times New Roman" w:hAnsi="Times New Roman" w:cs="Times New Roman"/>
        </w:rPr>
        <w:t>dos, tomaria um tempo que prejudicaria o próprio processo de capilarização na classe por parte das organizações.</w:t>
      </w:r>
    </w:p>
    <w:p w14:paraId="233B7F26" w14:textId="77777777" w:rsidR="00887300" w:rsidRDefault="00887300">
      <w:pPr>
        <w:jc w:val="both"/>
        <w:rPr>
          <w:rFonts w:ascii="Times New Roman" w:hAnsi="Times New Roman" w:cs="Times New Roman"/>
        </w:rPr>
      </w:pPr>
    </w:p>
    <w:p w14:paraId="233B7F27" w14:textId="77777777" w:rsidR="00887300" w:rsidRDefault="00A05EF3">
      <w:pPr>
        <w:jc w:val="both"/>
        <w:rPr>
          <w:rFonts w:ascii="Times New Roman" w:hAnsi="Times New Roman" w:cs="Times New Roman"/>
        </w:rPr>
      </w:pPr>
      <w:r>
        <w:rPr>
          <w:rFonts w:ascii="Times New Roman" w:hAnsi="Times New Roman" w:cs="Times New Roman"/>
        </w:rPr>
        <w:t>Entretanto, da mesma maneira que ao se traçar o perfil da classe e daí extrair daí potencialidades organizativas temos que pensar que a classe</w:t>
      </w:r>
      <w:r>
        <w:rPr>
          <w:rFonts w:ascii="Times New Roman" w:hAnsi="Times New Roman" w:cs="Times New Roman"/>
        </w:rPr>
        <w:t xml:space="preserve"> é atravessada por necessidades basilares em seu cotidiano, é necessário que se formule em algum momento e de maneira aprofundada. Nesse caso, para exemplificar do que queremos tratar, cabe a metáfora da guerra, em que o objetivo final é a derrota do inimi</w:t>
      </w:r>
      <w:r>
        <w:rPr>
          <w:rFonts w:ascii="Times New Roman" w:hAnsi="Times New Roman" w:cs="Times New Roman"/>
        </w:rPr>
        <w:t>go.</w:t>
      </w:r>
    </w:p>
    <w:p w14:paraId="233B7F28" w14:textId="77777777" w:rsidR="00887300" w:rsidRDefault="00887300">
      <w:pPr>
        <w:jc w:val="both"/>
        <w:rPr>
          <w:rFonts w:ascii="Times New Roman" w:hAnsi="Times New Roman" w:cs="Times New Roman"/>
        </w:rPr>
      </w:pPr>
    </w:p>
    <w:p w14:paraId="233B7F29" w14:textId="77777777" w:rsidR="00887300" w:rsidRDefault="00A05EF3">
      <w:pPr>
        <w:jc w:val="both"/>
        <w:rPr>
          <w:rFonts w:ascii="Times New Roman" w:hAnsi="Times New Roman" w:cs="Times New Roman"/>
        </w:rPr>
      </w:pPr>
      <w:r>
        <w:rPr>
          <w:rFonts w:ascii="Times New Roman" w:hAnsi="Times New Roman" w:cs="Times New Roman"/>
        </w:rPr>
        <w:t>Muito embora o objetivo a ser perseguido em uma guerra seja nítido e claro (a vitória) e, de uma maneira geral, caso se chegue a esse objetivo de maneira inesperada não cabe recusar a vitória pelo fato dela não ter acontecido segundo nossas previsões.</w:t>
      </w:r>
      <w:r>
        <w:rPr>
          <w:rFonts w:ascii="Times New Roman" w:hAnsi="Times New Roman" w:cs="Times New Roman"/>
        </w:rPr>
        <w:t xml:space="preserve"> Porém, o fator de aleatoriedade aparece aqui como uma possibilidade ínfima, em meios a uma esmagadora gama de possibilidades de fracasso. Por isso devemos, antes de contarmos com a sorte, cercar todas as possibilidades de efetivação metodológica de nossos</w:t>
      </w:r>
      <w:r>
        <w:rPr>
          <w:rFonts w:ascii="Times New Roman" w:hAnsi="Times New Roman" w:cs="Times New Roman"/>
        </w:rPr>
        <w:t xml:space="preserve"> objetivos.</w:t>
      </w:r>
    </w:p>
    <w:p w14:paraId="233B7F2A" w14:textId="77777777" w:rsidR="00887300" w:rsidRDefault="00887300">
      <w:pPr>
        <w:jc w:val="both"/>
        <w:rPr>
          <w:rFonts w:ascii="Times New Roman" w:hAnsi="Times New Roman" w:cs="Times New Roman"/>
        </w:rPr>
      </w:pPr>
    </w:p>
    <w:p w14:paraId="233B7F2B" w14:textId="77777777" w:rsidR="00887300" w:rsidRDefault="00A05EF3">
      <w:pPr>
        <w:jc w:val="both"/>
        <w:rPr>
          <w:rFonts w:ascii="Times New Roman" w:hAnsi="Times New Roman" w:cs="Times New Roman"/>
        </w:rPr>
      </w:pPr>
      <w:r>
        <w:rPr>
          <w:rFonts w:ascii="Times New Roman" w:hAnsi="Times New Roman" w:cs="Times New Roman"/>
        </w:rPr>
        <w:t>E em uma guerra, mais do que se pensar quais soldados são aptos para quais ações, ou nosso contingente necessário e disponível para vitórias pontuais, temos de pensar também a relação entre soldados e generais, entre soldados e soldados e entr</w:t>
      </w:r>
      <w:r>
        <w:rPr>
          <w:rFonts w:ascii="Times New Roman" w:hAnsi="Times New Roman" w:cs="Times New Roman"/>
        </w:rPr>
        <w:t>e generais e generais. Não pensar em tais relações é se abdicar do quão necessário é preparar e estimular psicologicamente os combatentes em todos os níveis hierárquicos, a fim de que a forma organizativa do exército não entre como mais um fator de baixas.</w:t>
      </w:r>
      <w:r>
        <w:rPr>
          <w:rFonts w:ascii="Times New Roman" w:hAnsi="Times New Roman" w:cs="Times New Roman"/>
        </w:rPr>
        <w:t xml:space="preserve"> E por isso, mais que armas e fileiras preparadas para o impacto com o inimigo, um êxito deve ter em sua base cotidiana de atuação também os médicos, os matemáticos, os alfaiates, os mecânicos e por aí vai. Ou seja, por mais que possamos traçar quais são n</w:t>
      </w:r>
      <w:r>
        <w:rPr>
          <w:rFonts w:ascii="Times New Roman" w:hAnsi="Times New Roman" w:cs="Times New Roman"/>
        </w:rPr>
        <w:t>ossos objetivos gerais numa guerra, secundarizar eternamente o fazer cotidiano do exército empenhado nessa empreitada se trata de um erro que é definidor das possibilidades de vitória.</w:t>
      </w:r>
    </w:p>
    <w:p w14:paraId="233B7F2C" w14:textId="77777777" w:rsidR="00887300" w:rsidRDefault="00887300">
      <w:pPr>
        <w:jc w:val="both"/>
        <w:rPr>
          <w:rFonts w:ascii="Times New Roman" w:hAnsi="Times New Roman" w:cs="Times New Roman"/>
        </w:rPr>
      </w:pPr>
    </w:p>
    <w:p w14:paraId="233B7F2D" w14:textId="77777777" w:rsidR="00887300" w:rsidRDefault="00A05EF3">
      <w:pPr>
        <w:jc w:val="both"/>
        <w:rPr>
          <w:rFonts w:ascii="Times New Roman" w:hAnsi="Times New Roman" w:cs="Times New Roman"/>
        </w:rPr>
      </w:pPr>
      <w:r>
        <w:rPr>
          <w:rFonts w:ascii="Times New Roman" w:hAnsi="Times New Roman" w:cs="Times New Roman"/>
        </w:rPr>
        <w:t>Como exemplo dessa relação entre objetivos gerais e necessidades subja</w:t>
      </w:r>
      <w:r>
        <w:rPr>
          <w:rFonts w:ascii="Times New Roman" w:hAnsi="Times New Roman" w:cs="Times New Roman"/>
        </w:rPr>
        <w:t>centes, necessita-se falar sobre a questão da saúde mental.</w:t>
      </w:r>
    </w:p>
    <w:p w14:paraId="233B7F2E" w14:textId="77777777" w:rsidR="00887300" w:rsidRDefault="00887300">
      <w:pPr>
        <w:jc w:val="both"/>
        <w:rPr>
          <w:rFonts w:ascii="Times New Roman" w:hAnsi="Times New Roman" w:cs="Times New Roman"/>
        </w:rPr>
      </w:pPr>
    </w:p>
    <w:p w14:paraId="233B7F2F" w14:textId="77777777" w:rsidR="00887300" w:rsidRDefault="00A05EF3">
      <w:pPr>
        <w:jc w:val="both"/>
        <w:rPr>
          <w:rFonts w:ascii="Times New Roman" w:hAnsi="Times New Roman" w:cs="Times New Roman"/>
        </w:rPr>
      </w:pPr>
      <w:r>
        <w:rPr>
          <w:rFonts w:ascii="Times New Roman" w:hAnsi="Times New Roman" w:cs="Times New Roman"/>
        </w:rPr>
        <w:t>Um partido marxista não é um consultório terapêutico, não é um local de paz e tranquilidade onde os afetos se realizarão apartado de seu objetivo central que é a tomada do poder. Isto é tão crist</w:t>
      </w:r>
      <w:r>
        <w:rPr>
          <w:rFonts w:ascii="Times New Roman" w:hAnsi="Times New Roman" w:cs="Times New Roman"/>
        </w:rPr>
        <w:t>alino e tão óbvio que vira até uma justificativa senso comum dos “gerentes” mecanicistas da atividade partidária. Porém, ainda que não devemos tratar um partido marxista como um divã, os militantes partidários aos adentrarem na forma organizativa não são i</w:t>
      </w:r>
      <w:r>
        <w:rPr>
          <w:rFonts w:ascii="Times New Roman" w:hAnsi="Times New Roman" w:cs="Times New Roman"/>
        </w:rPr>
        <w:t xml:space="preserve">mediatamente curados ou blindados das determinações sociais de uma sociedade violentamente adoecedora. Diante de tal constatação o que devemos fazer? </w:t>
      </w:r>
    </w:p>
    <w:p w14:paraId="233B7F30" w14:textId="77777777" w:rsidR="00887300" w:rsidRDefault="00887300">
      <w:pPr>
        <w:jc w:val="both"/>
        <w:rPr>
          <w:rFonts w:ascii="Times New Roman" w:hAnsi="Times New Roman" w:cs="Times New Roman"/>
        </w:rPr>
      </w:pPr>
    </w:p>
    <w:p w14:paraId="233B7F31" w14:textId="77777777" w:rsidR="00887300" w:rsidRDefault="00A05EF3">
      <w:pPr>
        <w:jc w:val="both"/>
        <w:rPr>
          <w:rFonts w:ascii="Times New Roman" w:hAnsi="Times New Roman" w:cs="Times New Roman"/>
        </w:rPr>
      </w:pPr>
      <w:r>
        <w:rPr>
          <w:rFonts w:ascii="Times New Roman" w:hAnsi="Times New Roman" w:cs="Times New Roman"/>
        </w:rPr>
        <w:t xml:space="preserve">A análise mecânica e moral busca alguns caminhos, ainda que não explicitamente. </w:t>
      </w:r>
    </w:p>
    <w:p w14:paraId="233B7F32" w14:textId="77777777" w:rsidR="00887300" w:rsidRDefault="00887300">
      <w:pPr>
        <w:jc w:val="both"/>
        <w:rPr>
          <w:rFonts w:ascii="Times New Roman" w:hAnsi="Times New Roman" w:cs="Times New Roman"/>
        </w:rPr>
      </w:pPr>
    </w:p>
    <w:p w14:paraId="233B7F33" w14:textId="77777777" w:rsidR="00887300" w:rsidRDefault="00A05EF3">
      <w:pPr>
        <w:jc w:val="both"/>
        <w:rPr>
          <w:rFonts w:ascii="Times New Roman" w:hAnsi="Times New Roman" w:cs="Times New Roman"/>
        </w:rPr>
      </w:pPr>
      <w:r>
        <w:rPr>
          <w:rFonts w:ascii="Times New Roman" w:hAnsi="Times New Roman" w:cs="Times New Roman"/>
        </w:rPr>
        <w:t>Por um lado ela propõe</w:t>
      </w:r>
      <w:r>
        <w:rPr>
          <w:rFonts w:ascii="Times New Roman" w:hAnsi="Times New Roman" w:cs="Times New Roman"/>
        </w:rPr>
        <w:t>m que os militantes simplesmente esqueçam – em alguns casos até mesmo “curem” - suas dores no fazer prático cotidiano da militância, como se o fazer prático de qualquer esfera da sociedade capitalista fosse em si um processo terapêutico e dele emergisse ne</w:t>
      </w:r>
      <w:r>
        <w:rPr>
          <w:rFonts w:ascii="Times New Roman" w:hAnsi="Times New Roman" w:cs="Times New Roman"/>
        </w:rPr>
        <w:t>cessariamente ao plano da consciência as chaves racionalizantes para se lidar com as contradições implícitas a esse fazer. Numa sociedade em que a carga ideológica de mascaramento das contradições nas relações humanas é descomunal, sabemos bem que isto é u</w:t>
      </w:r>
      <w:r>
        <w:rPr>
          <w:rFonts w:ascii="Times New Roman" w:hAnsi="Times New Roman" w:cs="Times New Roman"/>
        </w:rPr>
        <w:t xml:space="preserve">ma mentira. Em suma se expressa nessa perspectiva </w:t>
      </w:r>
      <w:r>
        <w:rPr>
          <w:rFonts w:ascii="Times New Roman" w:hAnsi="Times New Roman" w:cs="Times New Roman"/>
        </w:rPr>
        <w:lastRenderedPageBreak/>
        <w:t>nada mais nada menos que a metamorfose da ideologia do trabalho transposta para a atividade militante, em que idealiza na atividade do trabalho prático e alienante - sob sua forma capitalista - a solução úl</w:t>
      </w:r>
      <w:r>
        <w:rPr>
          <w:rFonts w:ascii="Times New Roman" w:hAnsi="Times New Roman" w:cs="Times New Roman"/>
        </w:rPr>
        <w:t>tima para os problemas que esse mesmo capitalismo impõem ao trabalhador e com isso a atividade militante deixa de ser um aspecto integrador da constituição psíquica do trabalhador e se torna uma fuga que cobrará seu preço como fator adoecedor e politico ma</w:t>
      </w:r>
      <w:r>
        <w:rPr>
          <w:rFonts w:ascii="Times New Roman" w:hAnsi="Times New Roman" w:cs="Times New Roman"/>
        </w:rPr>
        <w:t xml:space="preserve">is cedo ou mais tarde. </w:t>
      </w:r>
    </w:p>
    <w:p w14:paraId="233B7F34" w14:textId="77777777" w:rsidR="00887300" w:rsidRDefault="00887300">
      <w:pPr>
        <w:jc w:val="both"/>
        <w:rPr>
          <w:rFonts w:ascii="Times New Roman" w:hAnsi="Times New Roman" w:cs="Times New Roman"/>
        </w:rPr>
      </w:pPr>
    </w:p>
    <w:p w14:paraId="233B7F35" w14:textId="77777777" w:rsidR="00887300" w:rsidRDefault="00A05EF3">
      <w:pPr>
        <w:jc w:val="both"/>
        <w:rPr>
          <w:rFonts w:ascii="Times New Roman" w:hAnsi="Times New Roman" w:cs="Times New Roman"/>
        </w:rPr>
      </w:pPr>
      <w:r>
        <w:rPr>
          <w:rFonts w:ascii="Times New Roman" w:hAnsi="Times New Roman" w:cs="Times New Roman"/>
        </w:rPr>
        <w:t>Além disso é paradoxal, pois esta perspectiva usa da necessidade histórica da militância para justificar um aprofundamento irracional do trabalho prático. Com o tempo ela vai frustrando os militantes, pois os resultados de um campo</w:t>
      </w:r>
      <w:r>
        <w:rPr>
          <w:rFonts w:ascii="Times New Roman" w:hAnsi="Times New Roman" w:cs="Times New Roman"/>
        </w:rPr>
        <w:t xml:space="preserve"> radical são, do ponto de vista histórico, pequenos diante dos anseios de uma classe revolucionária e, sobretudo no estágio atual da esquerda, virão somente a um longuíssimo prazo e/ou a depender de condições objetivas que impulsionem a luta. E necessariam</w:t>
      </w:r>
      <w:r>
        <w:rPr>
          <w:rFonts w:ascii="Times New Roman" w:hAnsi="Times New Roman" w:cs="Times New Roman"/>
        </w:rPr>
        <w:t>ente dessa frustração nasce o desgosto com a atividade militante o que leva a constatação tragicômica de que quem oferece resultados imediatos para o esforço praticista é justamente o mercado de trabalho capitalista, através da forma salário que as organiz</w:t>
      </w:r>
      <w:r>
        <w:rPr>
          <w:rFonts w:ascii="Times New Roman" w:hAnsi="Times New Roman" w:cs="Times New Roman"/>
        </w:rPr>
        <w:t>ações de esquerdam não conseguem implementar através do que Lenin chamava de “profissionalização”. Ou seja, treinamos nossos soldados a se adaptar a forma de nossos inimigos de tocar a guerra ao mesmo tempo que não oferecemos a nossos soldados as armas que</w:t>
      </w:r>
      <w:r>
        <w:rPr>
          <w:rFonts w:ascii="Times New Roman" w:hAnsi="Times New Roman" w:cs="Times New Roman"/>
        </w:rPr>
        <w:t xml:space="preserve"> nossos inimigos possuem. O que pode nascer daí se não a tentadora noção de que melhor se render a lógica de vida de nossos inimigos?</w:t>
      </w:r>
    </w:p>
    <w:p w14:paraId="233B7F36" w14:textId="77777777" w:rsidR="00887300" w:rsidRDefault="00887300">
      <w:pPr>
        <w:jc w:val="both"/>
        <w:rPr>
          <w:rFonts w:ascii="Times New Roman" w:hAnsi="Times New Roman" w:cs="Times New Roman"/>
        </w:rPr>
      </w:pPr>
    </w:p>
    <w:p w14:paraId="233B7F37" w14:textId="77777777" w:rsidR="00887300" w:rsidRDefault="00A05EF3">
      <w:pPr>
        <w:jc w:val="both"/>
        <w:rPr>
          <w:rFonts w:ascii="Times New Roman" w:hAnsi="Times New Roman" w:cs="Times New Roman"/>
        </w:rPr>
      </w:pPr>
      <w:r>
        <w:rPr>
          <w:rFonts w:ascii="Times New Roman" w:hAnsi="Times New Roman" w:cs="Times New Roman"/>
        </w:rPr>
        <w:t>Para se combater tal tentação, em vez de se buscar a implementação de um praticismo a golpes fraseologias sobre a importâ</w:t>
      </w:r>
      <w:r>
        <w:rPr>
          <w:rFonts w:ascii="Times New Roman" w:hAnsi="Times New Roman" w:cs="Times New Roman"/>
        </w:rPr>
        <w:t>ncia do partido, podemos desenhar algumas possibilidades. A profissionalização como pressuposto da cobrança prática excessiva e o abordagem responsável do desgaste militante. Não tratarei da primeira aqui, pois ela requer um debate longo e pormenorizado.</w:t>
      </w:r>
    </w:p>
    <w:p w14:paraId="233B7F38" w14:textId="77777777" w:rsidR="00887300" w:rsidRDefault="00887300">
      <w:pPr>
        <w:jc w:val="both"/>
        <w:rPr>
          <w:rFonts w:ascii="Times New Roman" w:hAnsi="Times New Roman" w:cs="Times New Roman"/>
        </w:rPr>
      </w:pPr>
    </w:p>
    <w:p w14:paraId="233B7F39" w14:textId="77777777" w:rsidR="00887300" w:rsidRDefault="00A05EF3">
      <w:pPr>
        <w:jc w:val="both"/>
        <w:rPr>
          <w:rFonts w:ascii="Times New Roman" w:hAnsi="Times New Roman" w:cs="Times New Roman"/>
        </w:rPr>
      </w:pPr>
      <w:r>
        <w:rPr>
          <w:rFonts w:ascii="Times New Roman" w:hAnsi="Times New Roman" w:cs="Times New Roman"/>
        </w:rPr>
        <w:t>A segunda alternativa e com um grau de importância imediata, diante das condições precárias financeiramente, é que dentro das organizações se rompa com a abordagem negacionista do sofrimento psíquico do trabalhador. Não cabe a dirigentes ou ao corpo coleti</w:t>
      </w:r>
      <w:r>
        <w:rPr>
          <w:rFonts w:ascii="Times New Roman" w:hAnsi="Times New Roman" w:cs="Times New Roman"/>
        </w:rPr>
        <w:t>vo partidário a responsabilidade (ou o privilégio?) de se fazer diagnósticos moralistas acerca do desgaste dos trabalhadores que se formam nas fileiras marxistas. O que queremos dizer com isso é que ao invés de tratar o desgaste militante atrelado ao desga</w:t>
      </w:r>
      <w:r>
        <w:rPr>
          <w:rFonts w:ascii="Times New Roman" w:hAnsi="Times New Roman" w:cs="Times New Roman"/>
        </w:rPr>
        <w:t>ste implícito a forma de vida do trabalhador sob o capitalismo com viés moralista e a abstrato, são necessários meios internos de “acolher” (no sentido clinico) os sintomas que nascem desse desgaste de maneira mais cientifica. Por exemplo, quando um milita</w:t>
      </w:r>
      <w:r>
        <w:rPr>
          <w:rFonts w:ascii="Times New Roman" w:hAnsi="Times New Roman" w:cs="Times New Roman"/>
        </w:rPr>
        <w:t>nte apresentar um quadro de adoecimento, seja pelo seu histórico anterior a organização, seja pelo agravamento desse histórico pela atividade militante ou seja pelo adoecimento advindo da própria atividade militante (sim, existe!) a organização deve ser ca</w:t>
      </w:r>
      <w:r>
        <w:rPr>
          <w:rFonts w:ascii="Times New Roman" w:hAnsi="Times New Roman" w:cs="Times New Roman"/>
        </w:rPr>
        <w:t>paz de oferecer a este militante um encaminhamento de onde encontrar ajuda.</w:t>
      </w:r>
    </w:p>
    <w:p w14:paraId="233B7F3A" w14:textId="77777777" w:rsidR="00887300" w:rsidRDefault="00887300">
      <w:pPr>
        <w:jc w:val="both"/>
        <w:rPr>
          <w:rFonts w:ascii="Times New Roman" w:hAnsi="Times New Roman" w:cs="Times New Roman"/>
        </w:rPr>
      </w:pPr>
    </w:p>
    <w:p w14:paraId="233B7F3B" w14:textId="77777777" w:rsidR="00887300" w:rsidRDefault="00A05EF3">
      <w:pPr>
        <w:jc w:val="both"/>
        <w:rPr>
          <w:rFonts w:ascii="Times New Roman" w:hAnsi="Times New Roman" w:cs="Times New Roman"/>
        </w:rPr>
      </w:pPr>
      <w:r>
        <w:rPr>
          <w:rFonts w:ascii="Times New Roman" w:hAnsi="Times New Roman" w:cs="Times New Roman"/>
        </w:rPr>
        <w:t>É no mínimo estranho que um campo que outrora foi ponta de lança da luta ati manicomial no Brasil e diante dos altos índices de adoecimento da classes e da precarização do SUS, nã</w:t>
      </w:r>
      <w:r>
        <w:rPr>
          <w:rFonts w:ascii="Times New Roman" w:hAnsi="Times New Roman" w:cs="Times New Roman"/>
        </w:rPr>
        <w:t>o se preocupe minimamente de internamente ter um mapa bem detalhado de redes de apoio psicológico extrapartido, para encaminhar seus militantes mais desgastados. Veja bem, não estou falando aqui de que o partido tenha que, necessariamente, oferecer tais se</w:t>
      </w:r>
      <w:r>
        <w:rPr>
          <w:rFonts w:ascii="Times New Roman" w:hAnsi="Times New Roman" w:cs="Times New Roman"/>
        </w:rPr>
        <w:t>rviços, isto é idealizar demais organizações partidárias que hoje capengam em suas finanças. Porém da mesma maneira que se busca fazer  mapas sindicais, mapas para fontes de recursos (quando o fazem) e se exige do militante a dedicação de tempo, nervos e m</w:t>
      </w:r>
      <w:r>
        <w:rPr>
          <w:rFonts w:ascii="Times New Roman" w:hAnsi="Times New Roman" w:cs="Times New Roman"/>
        </w:rPr>
        <w:t>úsculos em eleições diversas que na maioria das vezes logram não muito mais que alguns postos não muito determinantes na luta de classes, também se faz necessário que as direções dos diversos setores de um partido façam o movimento de mapear alternativas a</w:t>
      </w:r>
      <w:r>
        <w:rPr>
          <w:rFonts w:ascii="Times New Roman" w:hAnsi="Times New Roman" w:cs="Times New Roman"/>
        </w:rPr>
        <w:t>inda disponíveis de tratamento para que seus militantes trabalhadores sejam encaminhados e possam buscar ajuda profissional para lidar com os desgastes que se somam na sua vida cotidiana. E não adianta dizer que isto não é papel do partido, pois o desgaste</w:t>
      </w:r>
      <w:r>
        <w:rPr>
          <w:rFonts w:ascii="Times New Roman" w:hAnsi="Times New Roman" w:cs="Times New Roman"/>
        </w:rPr>
        <w:t xml:space="preserve"> militante é objetivamente responsabilidade partidária e este movimento de auxílio acontece no interior das organizações, só que tocado por grupos de afinidades, proximidades afetivas pessoais e a não formalização desse movimento reafirma a mesma dinâmica </w:t>
      </w:r>
      <w:r>
        <w:rPr>
          <w:rFonts w:ascii="Times New Roman" w:hAnsi="Times New Roman" w:cs="Times New Roman"/>
        </w:rPr>
        <w:lastRenderedPageBreak/>
        <w:t>capitalista de que suas chances de surtar ou morrer dependem pura e exclusivamente de relações pessoais.</w:t>
      </w:r>
    </w:p>
    <w:p w14:paraId="233B7F3C" w14:textId="77777777" w:rsidR="00887300" w:rsidRDefault="00887300">
      <w:pPr>
        <w:jc w:val="both"/>
        <w:rPr>
          <w:rFonts w:ascii="Times New Roman" w:hAnsi="Times New Roman" w:cs="Times New Roman"/>
        </w:rPr>
      </w:pPr>
    </w:p>
    <w:p w14:paraId="233B7F3D" w14:textId="77777777" w:rsidR="00887300" w:rsidRDefault="00A05EF3">
      <w:pPr>
        <w:jc w:val="both"/>
        <w:rPr>
          <w:rFonts w:ascii="Times New Roman" w:hAnsi="Times New Roman" w:cs="Times New Roman"/>
        </w:rPr>
      </w:pPr>
      <w:r>
        <w:rPr>
          <w:rFonts w:ascii="Times New Roman" w:hAnsi="Times New Roman" w:cs="Times New Roman"/>
        </w:rPr>
        <w:t xml:space="preserve">Decorre daí também outra necessidade e esta é ainda mais explicitamente uma responsabilidade partidária. </w:t>
      </w:r>
    </w:p>
    <w:p w14:paraId="233B7F3E" w14:textId="77777777" w:rsidR="00887300" w:rsidRDefault="00887300">
      <w:pPr>
        <w:jc w:val="both"/>
        <w:rPr>
          <w:rFonts w:ascii="Times New Roman" w:hAnsi="Times New Roman" w:cs="Times New Roman"/>
        </w:rPr>
      </w:pPr>
    </w:p>
    <w:p w14:paraId="233B7F3F" w14:textId="77777777" w:rsidR="00887300" w:rsidRDefault="00A05EF3">
      <w:pPr>
        <w:jc w:val="both"/>
        <w:rPr>
          <w:rFonts w:ascii="Times New Roman" w:hAnsi="Times New Roman" w:cs="Times New Roman"/>
        </w:rPr>
      </w:pPr>
      <w:r>
        <w:rPr>
          <w:rFonts w:ascii="Times New Roman" w:hAnsi="Times New Roman" w:cs="Times New Roman"/>
        </w:rPr>
        <w:t>Não é segredo pra ninguém que dentro das or</w:t>
      </w:r>
      <w:r>
        <w:rPr>
          <w:rFonts w:ascii="Times New Roman" w:hAnsi="Times New Roman" w:cs="Times New Roman"/>
        </w:rPr>
        <w:t>ganizações casos de assédio acontecem, sendo eles de diversas naturezas. A despeito das tentativas de negação desse fato, os militantes que possuem um nível de sensatez digno do título de “militante”, buscam alternativas do como tratar de tais casos sem qu</w:t>
      </w:r>
      <w:r>
        <w:rPr>
          <w:rFonts w:ascii="Times New Roman" w:hAnsi="Times New Roman" w:cs="Times New Roman"/>
        </w:rPr>
        <w:t>e se caia no punitivismo ou na blindagem de direções e/ou militantes acusados de assédio. Muito se formulou a respeito do caráter educativo das formas organizativas partidárias, entretanto pouco se formulou sobre métodos de “atenção a vítima”.</w:t>
      </w:r>
    </w:p>
    <w:p w14:paraId="233B7F40" w14:textId="77777777" w:rsidR="00887300" w:rsidRDefault="00887300">
      <w:pPr>
        <w:jc w:val="both"/>
        <w:rPr>
          <w:rFonts w:ascii="Times New Roman" w:hAnsi="Times New Roman" w:cs="Times New Roman"/>
        </w:rPr>
      </w:pPr>
    </w:p>
    <w:p w14:paraId="233B7F41" w14:textId="77777777" w:rsidR="00887300" w:rsidRDefault="00A05EF3">
      <w:pPr>
        <w:jc w:val="both"/>
        <w:rPr>
          <w:rFonts w:ascii="Times New Roman" w:hAnsi="Times New Roman" w:cs="Times New Roman"/>
        </w:rPr>
      </w:pPr>
      <w:r>
        <w:rPr>
          <w:rFonts w:ascii="Times New Roman" w:hAnsi="Times New Roman" w:cs="Times New Roman"/>
        </w:rPr>
        <w:t xml:space="preserve">Uma </w:t>
      </w:r>
      <w:r>
        <w:rPr>
          <w:rFonts w:ascii="Times New Roman" w:hAnsi="Times New Roman" w:cs="Times New Roman"/>
        </w:rPr>
        <w:t xml:space="preserve">acusação de assédio possui um peso politico para a organização, além de ser a pedra de toque do quanto uma organização se responsabiliza por chamar os trabalhadores para suas fileiras e o quanto ela de fato absorveu do combate as implicações das opressões </w:t>
      </w:r>
      <w:r>
        <w:rPr>
          <w:rFonts w:ascii="Times New Roman" w:hAnsi="Times New Roman" w:cs="Times New Roman"/>
        </w:rPr>
        <w:t>sobre setores historicamente atacados da classe, ela afeta diretamente os trabalhos políticos, coloca em xeque figuras historicamente consolidadas no seio do movimento, aprofunda processos de adoecimento dos militantes e cria fissuras diversas nas relações</w:t>
      </w:r>
      <w:r>
        <w:rPr>
          <w:rFonts w:ascii="Times New Roman" w:hAnsi="Times New Roman" w:cs="Times New Roman"/>
        </w:rPr>
        <w:t xml:space="preserve"> internas ao ponto de se acumularem e até explodirem em crises politicas ou através de crises politicas. Se tornam verdadeiro substrato de crises diversas.</w:t>
      </w:r>
    </w:p>
    <w:p w14:paraId="233B7F42" w14:textId="77777777" w:rsidR="00887300" w:rsidRDefault="00887300">
      <w:pPr>
        <w:jc w:val="both"/>
        <w:rPr>
          <w:rFonts w:ascii="Times New Roman" w:hAnsi="Times New Roman" w:cs="Times New Roman"/>
        </w:rPr>
      </w:pPr>
    </w:p>
    <w:p w14:paraId="233B7F43" w14:textId="77777777" w:rsidR="00887300" w:rsidRDefault="00A05EF3">
      <w:pPr>
        <w:jc w:val="both"/>
        <w:rPr>
          <w:rFonts w:ascii="Times New Roman" w:hAnsi="Times New Roman" w:cs="Times New Roman"/>
        </w:rPr>
      </w:pPr>
      <w:r>
        <w:rPr>
          <w:rFonts w:ascii="Times New Roman" w:hAnsi="Times New Roman" w:cs="Times New Roman"/>
        </w:rPr>
        <w:t>Com isto, tais episódios devem ser abordados da maneira mais fria e científica possível e novamente</w:t>
      </w:r>
      <w:r>
        <w:rPr>
          <w:rFonts w:ascii="Times New Roman" w:hAnsi="Times New Roman" w:cs="Times New Roman"/>
        </w:rPr>
        <w:t xml:space="preserve"> é estranho que orientamos nossos camaradas e se valarem da CIPA como forma de arma politica, mas não assimilamos o conteúdo avançado que levou a importância da CIPA como arma politica.</w:t>
      </w:r>
    </w:p>
    <w:p w14:paraId="233B7F44" w14:textId="77777777" w:rsidR="00887300" w:rsidRDefault="00887300">
      <w:pPr>
        <w:jc w:val="both"/>
        <w:rPr>
          <w:rFonts w:ascii="Times New Roman" w:hAnsi="Times New Roman" w:cs="Times New Roman"/>
        </w:rPr>
      </w:pPr>
    </w:p>
    <w:p w14:paraId="233B7F45" w14:textId="77777777" w:rsidR="00887300" w:rsidRDefault="00A05EF3">
      <w:pPr>
        <w:jc w:val="both"/>
        <w:rPr>
          <w:rFonts w:ascii="Times New Roman" w:hAnsi="Times New Roman" w:cs="Times New Roman"/>
        </w:rPr>
      </w:pPr>
      <w:r>
        <w:rPr>
          <w:rFonts w:ascii="Times New Roman" w:hAnsi="Times New Roman" w:cs="Times New Roman"/>
        </w:rPr>
        <w:t>Uma possibilidade que pouco se vê aplicada nas organizações, mas o pr</w:t>
      </w:r>
      <w:r>
        <w:rPr>
          <w:rFonts w:ascii="Times New Roman" w:hAnsi="Times New Roman" w:cs="Times New Roman"/>
        </w:rPr>
        <w:t>óprio capitalismo – pressionado historicamente pelos debates de classe referente a saúde do trabalho -  é de que se deve abordar um caso de assédio como uma experiência traumática antes mesmo de se buscar o veredito sobre tal caso. Um camarada ou uma camar</w:t>
      </w:r>
      <w:r>
        <w:rPr>
          <w:rFonts w:ascii="Times New Roman" w:hAnsi="Times New Roman" w:cs="Times New Roman"/>
        </w:rPr>
        <w:t>ada que denuncia um assédio, deve ser resguardado de que, ao a organização chamar pra si a responsabilidade de tratar de tal caso, a primeira atenção interna que receba seja de um profissional da saúde formado para lidar com tais casos. Impera aqui a preoc</w:t>
      </w:r>
      <w:r>
        <w:rPr>
          <w:rFonts w:ascii="Times New Roman" w:hAnsi="Times New Roman" w:cs="Times New Roman"/>
        </w:rPr>
        <w:t>upação de que a abordagem seja clínica e que antes de se buscar formular pressuposições morais e abstratas sobre a situação, se busque traçar um perfil clínico e científico focado na virima que denunciou a situação.</w:t>
      </w:r>
    </w:p>
    <w:p w14:paraId="233B7F46" w14:textId="77777777" w:rsidR="00887300" w:rsidRDefault="00887300">
      <w:pPr>
        <w:jc w:val="both"/>
        <w:rPr>
          <w:rFonts w:ascii="Times New Roman" w:hAnsi="Times New Roman" w:cs="Times New Roman"/>
        </w:rPr>
      </w:pPr>
    </w:p>
    <w:sectPr w:rsidR="0088730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300"/>
    <w:rsid w:val="00887300"/>
    <w:rsid w:val="00A05E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7F23"/>
  <w15:docId w15:val="{E88E3C62-B594-466A-87EE-41586B1E2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Corpodetexto"/>
    <w:uiPriority w:val="10"/>
    <w:qFormat/>
    <w:pPr>
      <w:keepNext/>
      <w:spacing w:before="240" w:after="120"/>
    </w:pPr>
    <w:rPr>
      <w:rFonts w:ascii="Liberation Sans" w:eastAsia="Microsoft YaHei" w:hAnsi="Liberation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1711</Words>
  <Characters>9243</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Jacome de Sousa Matos</dc:creator>
  <dc:description/>
  <cp:lastModifiedBy>Rafael Jacome de Sousa Matos</cp:lastModifiedBy>
  <cp:revision>2</cp:revision>
  <dcterms:created xsi:type="dcterms:W3CDTF">2024-10-16T13:08:00Z</dcterms:created>
  <dcterms:modified xsi:type="dcterms:W3CDTF">2024-10-16T13:08:00Z</dcterms:modified>
  <dc:language>pt-BR</dc:language>
</cp:coreProperties>
</file>