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Чернівецький національний університет імені Юрія Федьковича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Навчально-науковий інститут фізико-технічних та комп’ютерних наук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Кафедра програмного забезпечення комп’ютерних систем</w:t>
      </w:r>
    </w:p>
    <w:p>
      <w:pPr>
        <w:spacing w:before="14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ЛАБОРАТОРНА РОБОТА № 1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з дисципліни Архітектура та проєктування програмного забезпечення</w:t>
      </w:r>
    </w:p>
    <w:p>
      <w:pPr>
        <w:spacing w:before="32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Принципи GRASP</w:t>
      </w:r>
    </w:p>
    <w:p>
      <w:pPr>
        <w:spacing w:before="2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Проєктування кошика інтернет-магазину</w:t>
      </w:r>
    </w:p>
    <w:p>
      <w:pPr>
        <w:spacing w:before="1040"/>
        <w:ind w:left="5184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Виконали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студентки групи __________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Бикова Поліна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Гудан Ванесса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Перевірив або перевірила</w:t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______________________________________</w:t>
        <w:br/>
      </w:r>
    </w:p>
    <w:p>
      <w:pPr>
        <w:spacing w:before="124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Чернівці 2026</w:t>
      </w:r>
    </w:p>
    <w:p>
      <w:r>
        <w:br w:type="page"/>
      </w:r>
    </w:p>
    <w:p>
      <w:pPr>
        <w:pStyle w:val="Title"/>
        <w:jc w:val="center"/>
      </w:pPr>
      <w:r>
        <w:t>Звіт до лабораторної роботи № 1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Принципи GRASP у кошику інтернет-магазину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 роботі спроєктовано консольну систему кошика інтернет-магазину та розподілено відповідальності між класами за дев'ятьма принципами GRASP. Реалізація містить вісім предметних типів, демонструє наслідування, агрегацію й асоціацію, а зовнішні операції подано як консольні заглушки з назвою методу та аргументами.</w:t>
      </w:r>
    </w:p>
    <w:p>
      <w:pPr>
        <w:spacing w:line="276" w:lineRule="auto" w:after="1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Репозиторій з вихідним кодом: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https://github.com/faenxi/architecture</w:t>
      </w:r>
    </w:p>
    <w:p>
      <w:pPr>
        <w:pStyle w:val="Heading1"/>
        <w:keepNext/>
      </w:pPr>
      <w:r>
        <w:t>1 Мета роботи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Отримати практичні навички застосування Information Expert, Creator, Controller, Low Coupling, High Cohesion, Polymorphism, Pure Fabrication, Indirection і Protected Variations під час проєктування програмної системи.</w:t>
      </w:r>
    </w:p>
    <w:p>
      <w:pPr>
        <w:pStyle w:val="Heading1"/>
        <w:keepNext/>
      </w:pPr>
      <w:r>
        <w:t>2 Постановка задачі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Система повинна дозволяти покупцеві додавати фізичні та цифрові товари до кошика, переглядати кількість і проміжну суму, застосовувати політику знижки та оформлювати замовлення. Після успішної оплати замовлення зберігається, покупцеві надсилається чек, а кошик очищується.</w:t>
      </w:r>
    </w:p>
    <w:p>
      <w:pPr>
        <w:pStyle w:val="Heading1"/>
        <w:keepNext/>
      </w:pPr>
      <w:r>
        <w:t>3 Модель предметної області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Основні сутності відокремлено від сервісних класів. У таблиці наведено дані та операції кожного предметного типу.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Клас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Основні атрибути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Основні методи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Product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id, name, unitPrice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getDeliveryInfo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PhysicalProduct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weightKg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getDeliveryInfo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DigitalProduct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fileFormat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getDeliveryInfo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CartItem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product, quantity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getLineTotal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ShoppingCart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items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addProduct, removeProduct, getSubtotal, clear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Customer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id, fullName, email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методи доступу до даних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Order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id, customer, items, total, status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cancel, методи доступу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OrderStatus</w:t>
            </w:r>
          </w:p>
        </w:tc>
        <w:tc>
          <w:tcPr>
            <w:tcW w:type="dxa" w:w="35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PAID, CANCELLED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перелік станів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 1 Зв'язки між класами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Наслідування: PhysicalProduct і DigitalProduct розширюють абстрактний Product.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Агрегація: ShoppingCart містить CartItem; Order зберігає незмінний знімок рядків.</w:t>
      </w:r>
    </w:p>
    <w:p>
      <w:pPr>
        <w:pStyle w:val="ListBullet"/>
        <w:spacing w:after="60" w:line="259" w:lineRule="auto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Асоціація: кожне Order посилається на Customer, який його оформив.</w:t>
      </w:r>
    </w:p>
    <w:p>
      <w:pPr>
        <w:pStyle w:val="Heading1"/>
        <w:keepNext/>
      </w:pPr>
      <w:r>
        <w:t>4 Реалізація принципів GRASP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/>
        </w:trP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Принцип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Реалізація у проєкті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Information Expert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CartItem рахує вартість рядка, ShoppingCart рахує загальну суму.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Creator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ShoppingCart створює CartItem, тому що зберігає та керує ними.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Controller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CartController приймає addProduct, removeProduct і checkout.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Low Coupling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CheckoutService залежить від інтерфейсів зовнішніх механізмів.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High Cohesion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Кошик, політика, репозиторій і подання мають окремі вузькі ролі.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Polymorphism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Типи товарів і політики знижки мають взаємозамінну поведінку.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Pure Fabrication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CheckoutService та InMemoryOrderRepository виконують сервісні обов'язки.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Indirection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CartController і CheckoutService розривають прямі залежності між шарами.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Protected Variations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Знижка, оплата, чек і сховище приховані за стабільними інтерфейсами.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 1 Information Expert і Creator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CartItem володіє інформацією про товар і кількість, тому обчислює власну суму. ShoppingCart володіє колекцією рядків, обчислює підсумок і створює CartItem під час додавання товару.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public BigDecimal getLineTotal() {</w:t>
        <w:br/>
        <w:t xml:space="preserve">    return product.getUnitPrice().multiply(BigDecimal.valueOf(quantity));</w:t>
        <w:br/>
        <w:t>}</w:t>
        <w:br/>
        <w:br/>
        <w:t>items.add(new CartItem(product, quantity));</w:t>
      </w:r>
    </w:p>
    <w:p>
      <w:pPr>
        <w:pStyle w:val="Heading2"/>
        <w:keepNext/>
      </w:pPr>
      <w:r>
        <w:t>4 2 Controller і Indirection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CartController не виконує розрахунків. Він приймає зовнішню подію та передає її об'єкту, який має потрібну відповідальність. CheckoutService окремо координує розрахунок, оплату, створення замовлення, збереження та надсилання чека.</w:t>
      </w:r>
    </w:p>
    <w:p>
      <w:pPr>
        <w:pStyle w:val="Heading3"/>
        <w:keepNext/>
      </w:pPr>
      <w:r>
        <w:t>4 2 1 Делегування оформлення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public Order checkout(Customer customer) {</w:t>
        <w:br/>
        <w:t xml:space="preserve">    return checkoutService.checkout(customer, cart);</w:t>
        <w:br/>
        <w:t>}</w:t>
      </w:r>
    </w:p>
    <w:p>
      <w:pPr>
        <w:pStyle w:val="Heading2"/>
        <w:keepNext/>
      </w:pPr>
      <w:r>
        <w:t>4 3 Polymorphism і Protected Variations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DiscountPolicy визначає стабільний контракт. Реалізації NoDiscountPolicy та PercentageDiscountPolicy можна замінювати без зміни CheckoutService. Такий самий підхід використано для оплати, надсилання чека та сховища.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public interface DiscountPolicy {</w:t>
        <w:br/>
        <w:t xml:space="preserve">    BigDecimal apply(BigDecimal subtotal);</w:t>
        <w:br/>
        <w:t xml:space="preserve">    String getDescription();</w:t>
        <w:br/>
        <w:t>}</w:t>
      </w:r>
    </w:p>
    <w:p>
      <w:pPr>
        <w:pStyle w:val="Heading1"/>
        <w:keepNext/>
      </w:pPr>
      <w:r>
        <w:t>5 Приклад виконання програми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Демонстраційний клас Lab1Demo додає клавіатуру та дві копії цифрового курсу. Проміжна сума дорівнює 2200,00 грн. Після знижки 10 відсотків система передає до оплати 1980,00 грн.</w:t>
      </w:r>
    </w:p>
    <w:p>
      <w:pPr>
        <w:keepLines/>
        <w:spacing w:before="60" w:after="140" w:line="240" w:lineRule="auto"/>
        <w:ind w:left="504" w:right="216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=== ЛР1: принципи GRASP ===</w:t>
        <w:br/>
        <w:t>Кількість одиниць: 3</w:t>
        <w:br/>
        <w:t>Сума до знижки: 2200.00 грн</w:t>
        <w:br/>
        <w:t>Політика: Знижка 10%</w:t>
        <w:br/>
        <w:t>[STUB] pay(customer=Іван Петренко, amount=1980.00 грн)</w:t>
        <w:br/>
        <w:t>[STUB] save(order=ORD-1, сума=1980.00 грн, стан=PAID)</w:t>
        <w:br/>
        <w:t>Створено замовлення: ORD-1, сума=1980.00 грн, стан=PAID</w:t>
      </w:r>
    </w:p>
    <w:p>
      <w:pPr>
        <w:pStyle w:val="Heading1"/>
        <w:keepNext/>
      </w:pPr>
      <w:r>
        <w:t>6 Перевірка вимог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/>
        </w:trP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Вимога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2339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Не менше п'яти предметних класів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Виконано: вісім предметних типів.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Наслідування, агрегація, асоціація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Виконано в моделі Product, ShoppingCart, Order.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Усі принципи GRASP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Виконано та показано в коді й таблиці 1.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Заглушки бізнес-операцій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4F7FB"/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pay, send і save виводять метод та аргументи.</w:t>
            </w:r>
          </w:p>
        </w:tc>
      </w:tr>
      <w:tr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Повна документація</w:t>
            </w:r>
          </w:p>
        </w:tc>
        <w:tc>
          <w:tcPr>
            <w:tcW w:type="dxa" w:w="56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Для класів, полів і методів згенеровано Javadoc.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 Висновок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 лабораторній роботі реалізовано всі дев'ять принципів GRASP. Розрахунки залишено в інформаційних експертів, зовнішні події обробляє контролер, а змінні механізми ізольовано інтерфейсами. У результаті класи мають чіткі обов'язки та мінімум прямих залежностей.</w:t>
      </w: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037" w:right="1037" w:bottom="979" w:left="1195" w:header="403" w:footer="40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000000"/>
        <w:sz w:val="20"/>
      </w:rPr>
      <w:fldChar w:fldCharType="begin"/>
      <w:instrText xml:space="preserve"> PAGE 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i/>
        <w:color w:val="505050"/>
        <w:sz w:val="18"/>
      </w:rPr>
      <w:t>Кошик інтернет-магазину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