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Arial Unicode MS" w:hAnsi="Arial Unicode MS" w:eastAsia="Arial Unicode MS"/>
          <w:b/>
          <w:color w:val="000000"/>
          <w:sz w:val="48"/>
        </w:rPr>
        <w:t>数智课堂技术架构文档</w:t>
      </w:r>
    </w:p>
    <w:p>
      <w:pPr>
        <w:spacing w:after="240"/>
      </w:pPr>
      <w:r>
        <w:rPr>
          <w:rFonts w:ascii="Arial Unicode MS" w:hAnsi="Arial Unicode MS" w:eastAsia="Arial Unicode MS"/>
          <w:color w:val="5C6773"/>
          <w:sz w:val="26"/>
        </w:rPr>
        <w:t>React/Vite、Express/MySQL、DeepSeek 智能体、Sherpa-ONNX 语音识别与 Three.js 三维教学系统架构说明</w:t>
      </w:r>
    </w:p>
    <w:p>
      <w:pPr>
        <w:spacing w:after="40"/>
      </w:pPr>
      <w:r>
        <w:rPr>
          <w:rFonts w:ascii="Arial Unicode MS" w:hAnsi="Arial Unicode MS" w:eastAsia="Arial Unicode MS"/>
          <w:b/>
          <w:sz w:val="21"/>
        </w:rPr>
        <w:t>项目：</w:t>
      </w:r>
      <w:r>
        <w:rPr>
          <w:rFonts w:ascii="Arial Unicode MS" w:hAnsi="Arial Unicode MS" w:eastAsia="Arial Unicode MS"/>
          <w:sz w:val="21"/>
        </w:rPr>
        <w:t>数智课堂多智能体三维教学系统</w:t>
      </w:r>
    </w:p>
    <w:p>
      <w:pPr>
        <w:spacing w:after="40"/>
      </w:pPr>
      <w:r>
        <w:rPr>
          <w:rFonts w:ascii="Arial Unicode MS" w:hAnsi="Arial Unicode MS" w:eastAsia="Arial Unicode MS"/>
          <w:b/>
          <w:sz w:val="21"/>
        </w:rPr>
        <w:t>文档日期：</w:t>
      </w:r>
      <w:r>
        <w:rPr>
          <w:rFonts w:ascii="Arial Unicode MS" w:hAnsi="Arial Unicode MS" w:eastAsia="Arial Unicode MS"/>
          <w:sz w:val="21"/>
        </w:rPr>
        <w:t>2026年7月30日</w:t>
      </w:r>
    </w:p>
    <w:p>
      <w:pPr>
        <w:spacing w:after="40"/>
      </w:pPr>
      <w:r>
        <w:rPr>
          <w:rFonts w:ascii="Arial Unicode MS" w:hAnsi="Arial Unicode MS" w:eastAsia="Arial Unicode MS"/>
          <w:b/>
          <w:sz w:val="21"/>
        </w:rPr>
        <w:t>读者：</w:t>
      </w:r>
      <w:r>
        <w:rPr>
          <w:rFonts w:ascii="Arial Unicode MS" w:hAnsi="Arial Unicode MS" w:eastAsia="Arial Unicode MS"/>
          <w:sz w:val="21"/>
        </w:rPr>
        <w:t>项目评审、建设单位、实施管理人员</w:t>
      </w:r>
    </w:p>
    <w:p>
      <w:pPr>
        <w:spacing w:after="40"/>
      </w:pPr>
      <w:r>
        <w:rPr>
          <w:rFonts w:ascii="Arial Unicode MS" w:hAnsi="Arial Unicode MS" w:eastAsia="Arial Unicode MS"/>
          <w:b/>
          <w:sz w:val="21"/>
        </w:rPr>
        <w:t>状态：</w:t>
      </w:r>
      <w:r>
        <w:rPr>
          <w:rFonts w:ascii="Arial Unicode MS" w:hAnsi="Arial Unicode MS" w:eastAsia="Arial Unicode MS"/>
          <w:sz w:val="21"/>
        </w:rPr>
        <w:t>评审版</w:t>
      </w:r>
    </w:p>
    <w:p>
      <w:pPr>
        <w:pBdr>
          <w:bottom w:val="single" w:sz="12" w:space="6" w:color="2E74B5"/>
        </w:pBdr>
      </w:pPr>
    </w:p>
    <w:p>
      <w:pPr>
        <w:pStyle w:val="Heading1"/>
      </w:pPr>
      <w:r>
        <w:t>一、项目概述与建设目标</w:t>
      </w:r>
    </w:p>
    <w:p>
      <w:r>
        <w:rPr>
          <w:rFonts w:ascii="Arial Unicode MS" w:hAnsi="Arial Unicode MS" w:eastAsia="Arial Unicode MS"/>
        </w:rPr>
        <w:t>数智课堂面向课堂演示、三维模型观察、语音与手势互动、智能讲解和课堂测验场景，构建一套可在浏览器中运行的多模态教学系统。当前仓库实现已覆盖营销入口、登录注册、学生课堂主界面、管理员后台、模型资源库、AI 教学编排、语音识别、浏览器 TTS、手势控制、3D 模型加载与学习记忆。</w:t>
      </w:r>
    </w:p>
    <w:p>
      <w:pPr>
        <w:spacing w:after="100"/>
        <w:ind w:left="360" w:hanging="173"/>
      </w:pPr>
      <w:r>
        <w:rPr>
          <w:rFonts w:ascii="Arial Unicode MS" w:hAnsi="Arial Unicode MS" w:eastAsia="Arial Unicode MS"/>
          <w:b/>
          <w:color w:val="2E74B5"/>
        </w:rPr>
        <w:t xml:space="preserve">• </w:t>
      </w:r>
      <w:r>
        <w:rPr>
          <w:rFonts w:ascii="Arial Unicode MS" w:hAnsi="Arial Unicode MS" w:eastAsia="Arial Unicode MS"/>
        </w:rPr>
        <w:t>建设目标一：以 3D 模型、拆解、旋转、缩放和标注能力支撑科学、生物、地理、化学等课堂演示。</w:t>
      </w:r>
    </w:p>
    <w:p>
      <w:pPr>
        <w:spacing w:after="100"/>
        <w:ind w:left="360" w:hanging="173"/>
      </w:pPr>
      <w:r>
        <w:rPr>
          <w:rFonts w:ascii="Arial Unicode MS" w:hAnsi="Arial Unicode MS" w:eastAsia="Arial Unicode MS"/>
          <w:b/>
          <w:color w:val="2E74B5"/>
        </w:rPr>
        <w:t xml:space="preserve">• </w:t>
      </w:r>
      <w:r>
        <w:rPr>
          <w:rFonts w:ascii="Arial Unicode MS" w:hAnsi="Arial Unicode MS" w:eastAsia="Arial Unicode MS"/>
        </w:rPr>
        <w:t>建设目标二：通过语音、手势和文本输入降低课堂操作门槛，让教师和学生能自然驱动教学画面。</w:t>
      </w:r>
    </w:p>
    <w:p>
      <w:pPr>
        <w:spacing w:after="100"/>
        <w:ind w:left="360" w:hanging="173"/>
      </w:pPr>
      <w:r>
        <w:rPr>
          <w:rFonts w:ascii="Arial Unicode MS" w:hAnsi="Arial Unicode MS" w:eastAsia="Arial Unicode MS"/>
          <w:b/>
          <w:color w:val="2E74B5"/>
        </w:rPr>
        <w:t xml:space="preserve">• </w:t>
      </w:r>
      <w:r>
        <w:rPr>
          <w:rFonts w:ascii="Arial Unicode MS" w:hAnsi="Arial Unicode MS" w:eastAsia="Arial Unicode MS"/>
        </w:rPr>
        <w:t>建设目标三：通过多智能体编排将自然语言需求转化为模型选择、教学步骤、讲解、追问和测验反馈。</w:t>
      </w:r>
    </w:p>
    <w:p>
      <w:pPr>
        <w:spacing w:after="100"/>
        <w:ind w:left="360" w:hanging="173"/>
      </w:pPr>
      <w:r>
        <w:rPr>
          <w:rFonts w:ascii="Arial Unicode MS" w:hAnsi="Arial Unicode MS" w:eastAsia="Arial Unicode MS"/>
          <w:b/>
          <w:color w:val="2E74B5"/>
        </w:rPr>
        <w:t xml:space="preserve">• </w:t>
      </w:r>
      <w:r>
        <w:rPr>
          <w:rFonts w:ascii="Arial Unicode MS" w:hAnsi="Arial Unicode MS" w:eastAsia="Arial Unicode MS"/>
        </w:rPr>
        <w:t>建设目标四：通过用户、权限、资源库、学习记忆和部署运维机制，支撑试点学校的持续使用。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3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/>
          <w:i/>
          <w:color w:val="5C6773"/>
          <w:sz w:val="19"/>
        </w:rPr>
        <w:t>图 1  数智课堂总体技术架构</w:t>
      </w:r>
    </w:p>
    <w:p>
      <w:pPr>
        <w:pStyle w:val="Heading1"/>
      </w:pPr>
      <w:r>
        <w:t>二、总体架构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00"/>
        <w:gridCol w:w="2600"/>
        <w:gridCol w:w="2600"/>
        <w:gridCol w:w="24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层级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主要组成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当前实现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评审关注点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前端体验层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React 19、Vite、Tailwind、lucide-react、motion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Landing、Login、Dashboard、AdminUsers、AdminResourceLibrary、ModelGenerationStudio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界面入口完整，课堂端与管理端已分离。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多模态交互层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MediaPipe Tasks Vision、Web Audio、AudioWorklet、WebSocket、浏览器 TTS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HandController、VoiceController、serverSpeechRecognition、xiaozhiSpeechService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语音与手势均在登录后使用，浏览器权限和 HTTPS 是部署关键。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三维渲染层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Three.js、React Three Fiber、drei、DRACO、FBX/GLTF/GLB 加载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ModelViewer、ProceduralEarth、ProceduralTerrain、BioDigitalViewer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支持内置模型、上传模型、拆解、自动旋转、缩放、结构图联动。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智能体层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DeepSeek Chat API、规则兜底、流式响应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agentRuntime、learningMemory 中 AI 路由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覆盖总调度、规划、讲解、追问；外部大模型不可用时需兜底。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服务与数据层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Express 5、MySQL、JWT、cookie-parser、bcryptjs、sherpa-onnx-node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server/index.js、server/asr.js、server/learningMemory.js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认证、资源库、学习记忆和 ASR 服务集中在 Node 后端。</w:t>
            </w:r>
          </w:p>
        </w:tc>
      </w:tr>
    </w:tbl>
    <w:p>
      <w:pPr>
        <w:pStyle w:val="Heading1"/>
      </w:pPr>
      <w:r>
        <w:t>三、前端应用架构</w:t>
      </w:r>
    </w:p>
    <w:p>
      <w:r>
        <w:rPr>
          <w:rFonts w:ascii="Arial Unicode MS" w:hAnsi="Arial Unicode MS" w:eastAsia="Arial Unicode MS"/>
        </w:rPr>
        <w:t>前端以 App.tsx 作为视图状态入口，根据登录态和角色切换 landing、login、dashboard、admin 与 model-generation。登录态通过 /api/auth/me 恢复；管理员进入用户与资源管理后台，普通用户进入课堂主界面。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4300"/>
        <w:gridCol w:w="31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模块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职责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关键文件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课堂主界面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模型选择、AI 对话、手势/语音开关、答题模式、资源库、学习记忆入口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Dashboard.tsx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三维模型查看器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GLB/GLTF/FBX 加载、场景光照、DRACO 解码、拆解、拾取、自动控制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components/ModelViewer.tsx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手势控制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摄像头启停、手部关键点识别、拖拽/旋转/缩放控制引用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components/HandController.tsx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语音控制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调用服务器 ASR、显示临时与最终识别结果、触发语义指令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components/VoiceController.tsx、services/serverSpeechRecognition.ts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答题与追问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双选题、悬停确认、TTS 播报、结果汇总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components/QuizOverlay.tsx、components/FollowUpQuestionOverlay.tsx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管理后台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用户状态/角色管理、资源标签与模型上传维护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AdminUsers.tsx、AdminResourceLibrary.tsx</w:t>
            </w:r>
          </w:p>
        </w:tc>
      </w:tr>
    </w:tbl>
    <w:p>
      <w:pPr>
        <w:pStyle w:val="Heading1"/>
      </w:pPr>
      <w:r>
        <w:t>四、核心业务与数据流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69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interaction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/>
          <w:i/>
          <w:color w:val="5C6773"/>
          <w:sz w:val="19"/>
        </w:rPr>
        <w:t>图 2  语音、智能体与三维课堂交互流程</w:t>
      </w:r>
    </w:p>
    <w:p>
      <w:pPr>
        <w:pStyle w:val="Heading2"/>
      </w:pPr>
      <w:r>
        <w:t>4.1 多智能体教学链路</w:t>
      </w:r>
    </w:p>
    <w:p>
      <w:r>
        <w:rPr>
          <w:rFonts w:ascii="Arial Unicode MS" w:hAnsi="Arial Unicode MS" w:eastAsia="Arial Unicode MS"/>
        </w:rPr>
        <w:t>agentRuntime.ts 将课堂请求归一到 teach_demo、switch_model、answer、open_model_generation、start_quiz、control_model 等动作。服务端 /api/ai/completion 和 /api/ai/stream 统一代理 DeepSeek，并在 learningMemory.js 中注入只读学习背景。规划 Agent 输出 load_model、auto_rotate、auto_zoom、explode_model、reset_model_layout、enable_gesture、set_teacher_log 等工具调用，前端再逐步驱动模型画面。</w:t>
      </w:r>
    </w:p>
    <w:p>
      <w:pPr>
        <w:pStyle w:val="Heading2"/>
      </w:pPr>
      <w:r>
        <w:t>4.2 语音识别链路</w:t>
      </w:r>
    </w:p>
    <w:p>
      <w:r>
        <w:rPr>
          <w:rFonts w:ascii="Arial Unicode MS" w:hAnsi="Arial Unicode MS" w:eastAsia="Arial Unicode MS"/>
        </w:rPr>
        <w:t>浏览器通过 getUserMedia 采集单声道音频，AudioWorklet 将音频帧转换为 16kHz PCM，经同源 WebSocket /api/asr 上传。server/asr.js 使用 sherpa-onnx-node 加载 Paraformer 中英双语流式模型；服务端限制同账号单连接和最大并发连接数，输出 partial 与 final 文本，不保存录音。ASR 模型缺失或关闭时仅影响语音识别，不影响登录、资源库和模型展示。</w:t>
      </w:r>
    </w:p>
    <w:p>
      <w:pPr>
        <w:pStyle w:val="Heading2"/>
      </w:pPr>
      <w:r>
        <w:t>4.3 手势与测验链路</w:t>
      </w:r>
    </w:p>
    <w:p>
      <w:r>
        <w:rPr>
          <w:rFonts w:ascii="Arial Unicode MS" w:hAnsi="Arial Unicode MS" w:eastAsia="Arial Unicode MS"/>
        </w:rPr>
        <w:t>MediaPipe 手部关键点在浏览器侧运行。课堂模型模式下，右手捏合用于拖拽，右手双指用于控制旋转，左手张开/闭合用于缩放；答题模式下，QuizOverlay 使用手掌中心映射屏幕坐标，并通过 1.2 秒悬停确认左右选项，降低误触。</w:t>
      </w:r>
    </w:p>
    <w:p>
      <w:pPr>
        <w:pStyle w:val="Heading2"/>
      </w:pPr>
      <w:r>
        <w:t>4.4 三维模型与资源库链路</w:t>
      </w:r>
    </w:p>
    <w:p>
      <w:r>
        <w:rPr>
          <w:rFonts w:ascii="Arial Unicode MS" w:hAnsi="Arial Unicode MS" w:eastAsia="Arial Unicode MS"/>
        </w:rPr>
        <w:t>内置模型位于 public/models，由 Vite 构建后同域提供。上传模型通过管理员资源库进入后端，server/index.js 将 GLB/GLTF/FBX 主文件及关联贴图、bin 等资产写入 RESOURCE_MODEL_STORAGE_DIR，并在 MySQL 中维护标签、模型、文件映射。前端通过 /api/resource-library 获取可用资源，通过 /api/resource-models/:modelId/files/:fileId 受控读取上传文件。</w:t>
      </w:r>
    </w:p>
    <w:p>
      <w:pPr>
        <w:pStyle w:val="Heading1"/>
      </w:pPr>
      <w:r>
        <w:t>五、后端服务与接口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450"/>
        <w:gridCol w:w="2600"/>
        <w:gridCol w:w="1350"/>
        <w:gridCol w:w="396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接口类别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路径示例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权限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说明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健康检查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GET /api/health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公开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返回后端服务状态。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认证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POST /api/auth/register、/login、/admin/login；GET /api/auth/me；POST /api/auth/logout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登录/角色相关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使用 bcryptjs 与 JWT HttpOnly Cookie。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用户资料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PATCH /api/profile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登录用户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更新显示名与头像 Data URL，含大小与格式限制。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管理员用户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GET/PATCH /api/admin/users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管理员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管理用户角色和启停状态，避免移除最后一个可用管理员。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资源库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GET /api/resource-library；/api/admin/resource-tags；/api/admin/resource-models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登录/管理员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普通用户读取，管理员维护标签与上传模型。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AI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POST /api/ai/completion；POST /api/ai/stream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普通用户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代理 DeepSeek，支持 JSON 与流式返回，并结合学习记忆。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学习记忆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/api/memory/sessions、/messages、/memories、/settings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普通用户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记录课堂会话、摘要和可管理的个人学习记忆。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语音识别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GET /api/asr/health；WS /api/asr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登录用户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检查 ASR 可用性并进行同源 WebSocket 流式识别。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三维生成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POST /api/3d/submit、/query；GET /api/3d/model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登录用户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提交和查询外部三维生成任务，获取模型结果。</w:t>
            </w:r>
          </w:p>
        </w:tc>
      </w:tr>
    </w:tbl>
    <w:p>
      <w:pPr>
        <w:pStyle w:val="Heading1"/>
      </w:pPr>
      <w:r>
        <w:t>六、数据存储设计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00"/>
        <w:gridCol w:w="3350"/>
        <w:gridCol w:w="421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数据域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主要表/存储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用途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用户与权限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users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保存用户名、展示名、头像、密码哈希、角色、状态和审计时间。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资源库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resource_tags、resource_models、resource_model_files、本地文件目录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维护学科标签、内置/上传模型、关联资产和排序。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学习记忆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conversation_sessions、conversation_messages、memory_settings、user_memories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保存课堂会话、消息、摘要、学习偏好与薄弱点。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公开资产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public/models、public/mediapipe、public/draco、public/sw.js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承载内置模型、手势运行时、DRACO 解码器和缓存策略。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ASR 模型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models/asr 或 ASR_MODEL_DIR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保存 Sherpa-ONNX Paraformer 模型文件，服务启动时加载。</w:t>
            </w:r>
          </w:p>
        </w:tc>
      </w:tr>
    </w:tbl>
    <w:p>
      <w:pPr>
        <w:pStyle w:val="Heading1"/>
      </w:pPr>
      <w:r>
        <w:t>七、部署与运维</w:t>
      </w:r>
    </w:p>
    <w:p>
      <w:pPr>
        <w:spacing w:after="100"/>
        <w:ind w:left="360" w:hanging="173"/>
      </w:pPr>
      <w:r>
        <w:rPr>
          <w:rFonts w:ascii="Arial Unicode MS" w:hAnsi="Arial Unicode MS" w:eastAsia="Arial Unicode MS"/>
          <w:b/>
          <w:color w:val="2E74B5"/>
        </w:rPr>
        <w:t xml:space="preserve">• </w:t>
      </w:r>
      <w:r>
        <w:rPr>
          <w:rFonts w:ascii="Arial Unicode MS" w:hAnsi="Arial Unicode MS" w:eastAsia="Arial Unicode MS"/>
        </w:rPr>
        <w:t>生产建议使用 npm ci、npm run build、npm prune --omit=dev、NODE_ENV=production npm start 的流程部署。</w:t>
      </w:r>
    </w:p>
    <w:p>
      <w:pPr>
        <w:spacing w:after="100"/>
        <w:ind w:left="360" w:hanging="173"/>
      </w:pPr>
      <w:r>
        <w:rPr>
          <w:rFonts w:ascii="Arial Unicode MS" w:hAnsi="Arial Unicode MS" w:eastAsia="Arial Unicode MS"/>
          <w:b/>
          <w:color w:val="2E74B5"/>
        </w:rPr>
        <w:t xml:space="preserve">• </w:t>
      </w:r>
      <w:r>
        <w:rPr>
          <w:rFonts w:ascii="Arial Unicode MS" w:hAnsi="Arial Unicode MS" w:eastAsia="Arial Unicode MS"/>
        </w:rPr>
        <w:t>远程课堂必须使用 HTTPS，Nginx 同时代理 /api/ HTTP 请求和 /api/asr WebSocket，并确保 CLIENT_ORIGIN 与浏览器访问源一致。</w:t>
      </w:r>
    </w:p>
    <w:p>
      <w:pPr>
        <w:spacing w:after="100"/>
        <w:ind w:left="360" w:hanging="173"/>
      </w:pPr>
      <w:r>
        <w:rPr>
          <w:rFonts w:ascii="Arial Unicode MS" w:hAnsi="Arial Unicode MS" w:eastAsia="Arial Unicode MS"/>
          <w:b/>
          <w:color w:val="2E74B5"/>
        </w:rPr>
        <w:t xml:space="preserve">• </w:t>
      </w:r>
      <w:r>
        <w:rPr>
          <w:rFonts w:ascii="Arial Unicode MS" w:hAnsi="Arial Unicode MS" w:eastAsia="Arial Unicode MS"/>
        </w:rPr>
        <w:t>ASR 建议配置 ASR_ENABLED、ASR_MODEL_DIR、ASR_MAX_SESSIONS、ASR_NUM_THREADS、ASR_ENDPOINT_SILENCE_SECONDS；2 核 2GB 服务器建议保持单线程和 3 路以内并发。</w:t>
      </w:r>
    </w:p>
    <w:p>
      <w:pPr>
        <w:spacing w:after="100"/>
        <w:ind w:left="360" w:hanging="173"/>
      </w:pPr>
      <w:r>
        <w:rPr>
          <w:rFonts w:ascii="Arial Unicode MS" w:hAnsi="Arial Unicode MS" w:eastAsia="Arial Unicode MS"/>
          <w:b/>
          <w:color w:val="2E74B5"/>
        </w:rPr>
        <w:t xml:space="preserve">• </w:t>
      </w:r>
      <w:r>
        <w:rPr>
          <w:rFonts w:ascii="Arial Unicode MS" w:hAnsi="Arial Unicode MS" w:eastAsia="Arial Unicode MS"/>
        </w:rPr>
        <w:t>公开模型、MediaPipe 和 DRACO 资源使用 Service Worker 缓存优先策略；登录接口、API 请求、上传模型和用户私有模型不进入公开缓存。</w:t>
      </w:r>
    </w:p>
    <w:p>
      <w:pPr>
        <w:spacing w:after="100"/>
        <w:ind w:left="360" w:hanging="173"/>
      </w:pPr>
      <w:r>
        <w:rPr>
          <w:rFonts w:ascii="Arial Unicode MS" w:hAnsi="Arial Unicode MS" w:eastAsia="Arial Unicode MS"/>
          <w:b/>
          <w:color w:val="2E74B5"/>
        </w:rPr>
        <w:t xml:space="preserve">• </w:t>
      </w:r>
      <w:r>
        <w:rPr>
          <w:rFonts w:ascii="Arial Unicode MS" w:hAnsi="Arial Unicode MS" w:eastAsia="Arial Unicode MS"/>
        </w:rPr>
        <w:t>JWT_SECRET、MySQL 账号、DeepSeek API Key、腾讯云 3D 生成配置应使用 .env.local 或生产环境变量管理，不应写入前端代码。</w:t>
      </w:r>
    </w:p>
    <w:p>
      <w:pPr>
        <w:pStyle w:val="Heading1"/>
      </w:pPr>
      <w:r>
        <w:t>八、安全、风险与控制措施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00"/>
        <w:gridCol w:w="2850"/>
        <w:gridCol w:w="471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风险点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影响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控制措施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ASR 资源占用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模型加载和并发识别可能占用较高内存。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限制 ASR_MAX_SESSIONS 和线程数；健康检查暴露可用性；模型缺失时降级关闭语音。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浏览器权限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未启用 HTTPS 或用户拒绝权限会导致麦克风/摄像头不可用。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部署启用 HTTPS；前端展示可恢复错误提示；保留文本输入和按钮操作路径。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大模型接口波动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DeepSeek 超时或不可用会影响智能讲解和规划。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前端/服务端保留规则兜底计划；关键课堂操作不完全依赖 AI。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模型文件体积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GLB、贴图和 ASR 模型体积大，影响首次加载。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内置模型同域缓存；上传文件限制大小；建议稳定资源采用新文件名更新。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账号与数据安全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管理员误操作、学习记忆隐私和 Cookie 安全。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角色权限校验、最后管理员保护、HttpOnly Cookie、学习记忆可关闭和清理。</w:t>
            </w:r>
          </w:p>
        </w:tc>
      </w:tr>
    </w:tbl>
    <w:p>
      <w:pPr>
        <w:pStyle w:val="Heading1"/>
      </w:pPr>
      <w:r>
        <w:t>九、结论</w:t>
      </w:r>
    </w:p>
    <w:p>
      <w:r>
        <w:rPr>
          <w:rFonts w:ascii="Arial Unicode MS" w:hAnsi="Arial Unicode MS" w:eastAsia="Arial Unicode MS"/>
        </w:rPr>
        <w:t>当前系统已经形成从用户入口、课堂交互、三维模型、AI 编排、语音识别、学习记忆到管理后台的完整闭环。建议后续重点围绕真实课堂资源扩展、部署自动化、稳定性压测、教师配置能力和学习数据分析能力继续迭代。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 Unicode MS" w:hAnsi="Arial Unicode MS" w:eastAsia="Arial Unicode MS"/>
        <w:color w:val="5C6773"/>
        <w:sz w:val="18"/>
      </w:rPr>
      <w:t>面向项目评审的交付文档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 Unicode MS" w:hAnsi="Arial Unicode MS" w:eastAsia="Arial Unicode MS"/>
        <w:color w:val="5C6773"/>
        <w:sz w:val="18"/>
      </w:rPr>
      <w:t>数智课堂 | 技术架构文档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