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 Unicode MS" w:hAnsi="Arial Unicode MS" w:eastAsia="Arial Unicode MS"/>
          <w:b/>
          <w:color w:val="000000"/>
          <w:sz w:val="48"/>
        </w:rPr>
        <w:t>数智课堂项目计划书</w:t>
      </w:r>
    </w:p>
    <w:p>
      <w:pPr>
        <w:spacing w:after="240"/>
      </w:pPr>
      <w:r>
        <w:rPr>
          <w:rFonts w:ascii="Arial Unicode MS" w:hAnsi="Arial Unicode MS" w:eastAsia="Arial Unicode MS"/>
          <w:color w:val="5C6773"/>
          <w:sz w:val="26"/>
        </w:rPr>
        <w:t>面向项目评审的建设目标、实施阶段、交付物、人员分工、验收标准与风险控制计划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项目：</w:t>
      </w:r>
      <w:r>
        <w:rPr>
          <w:rFonts w:ascii="Arial Unicode MS" w:hAnsi="Arial Unicode MS" w:eastAsia="Arial Unicode MS"/>
          <w:sz w:val="21"/>
        </w:rPr>
        <w:t>数智课堂多智能体三维教学系统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文档日期：</w:t>
      </w:r>
      <w:r>
        <w:rPr>
          <w:rFonts w:ascii="Arial Unicode MS" w:hAnsi="Arial Unicode MS" w:eastAsia="Arial Unicode MS"/>
          <w:sz w:val="21"/>
        </w:rPr>
        <w:t>2026年7月30日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读者：</w:t>
      </w:r>
      <w:r>
        <w:rPr>
          <w:rFonts w:ascii="Arial Unicode MS" w:hAnsi="Arial Unicode MS" w:eastAsia="Arial Unicode MS"/>
          <w:sz w:val="21"/>
        </w:rPr>
        <w:t>项目评审、建设单位、实施管理人员</w:t>
      </w:r>
    </w:p>
    <w:p>
      <w:pPr>
        <w:spacing w:after="40"/>
      </w:pPr>
      <w:r>
        <w:rPr>
          <w:rFonts w:ascii="Arial Unicode MS" w:hAnsi="Arial Unicode MS" w:eastAsia="Arial Unicode MS"/>
          <w:b/>
          <w:sz w:val="21"/>
        </w:rPr>
        <w:t>状态：</w:t>
      </w:r>
      <w:r>
        <w:rPr>
          <w:rFonts w:ascii="Arial Unicode MS" w:hAnsi="Arial Unicode MS" w:eastAsia="Arial Unicode MS"/>
          <w:sz w:val="21"/>
        </w:rPr>
        <w:t>评审版</w:t>
      </w:r>
    </w:p>
    <w:p>
      <w:pPr>
        <w:pBdr>
          <w:bottom w:val="single" w:sz="12" w:space="6" w:color="2E74B5"/>
        </w:pBdr>
      </w:pPr>
    </w:p>
    <w:p>
      <w:pPr>
        <w:pStyle w:val="Heading1"/>
      </w:pPr>
      <w:r>
        <w:t>一、项目背景与目标</w:t>
      </w:r>
    </w:p>
    <w:p>
      <w:r>
        <w:rPr>
          <w:rFonts w:ascii="Arial Unicode MS" w:hAnsi="Arial Unicode MS" w:eastAsia="Arial Unicode MS"/>
        </w:rPr>
        <w:t>数智课堂项目旨在建设一套低成本、可交互、可扩展的三维教学系统，将三维模型、语音识别、手势交互、多智能体讲解、课堂测验和资源管理能力整合到同一浏览器应用中。项目重点服务课堂演示、学生观察、教师讲解、课堂反馈和校本资源沉淀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业务目标：提升抽象科学知识的可视化和互动讲解能力，降低教师使用 3D 教具和 AI 助教的门槛。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技术目标：形成前端、后端、AI、ASR、模型资产、资源库和部署运维的稳定架构。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管理目标：通过阶段计划、验收标准和风险控制，保障试点交付可控。</w:t>
      </w:r>
    </w:p>
    <w:p>
      <w:pPr>
        <w:pStyle w:val="Heading1"/>
      </w:pPr>
      <w:r>
        <w:t>二、项目范围与交付物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4250"/>
        <w:gridCol w:w="331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范围项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包含内容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交付结果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课堂应用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登录、课堂主界面、模型选择、手势控制、语音控制、AI 讲解、答题模式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可运行 Web 应用与课堂演示流程。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三维资源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内置科学模型、学生作品模型、上传模型资源库、模型缓存策略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资源库可维护，常用模型可离线缓存。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智能体能力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总调度、规划、演示执行、知识讲解、追问测验、学习记忆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自然语言驱动教学演示，并记录可管理学习背景。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管理后台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管理员登录、用户启停/角色管理、资源标签和模型上传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学校管理员可维护账号和课程资源。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部署运维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MySQL、Node 服务、Vite 构建、HTTPS/Nginx、ASR 模型配置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形成可复用部署方案和运维检查项。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项目文档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技术架构文档、项目计划书、部署说明、验收清单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支撑评审、实施、培训和验收。</w:t>
            </w:r>
          </w:p>
        </w:tc>
      </w:tr>
    </w:tbl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1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color w:val="5C6773"/>
          <w:sz w:val="19"/>
        </w:rPr>
        <w:t>图 1  项目实施阶段与建议里程碑</w:t>
      </w:r>
    </w:p>
    <w:p>
      <w:pPr>
        <w:pStyle w:val="Heading1"/>
      </w:pPr>
      <w:r>
        <w:t>三、实施阶段计划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250"/>
        <w:gridCol w:w="1200"/>
        <w:gridCol w:w="4150"/>
        <w:gridCol w:w="276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阶段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周期建议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核心任务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阶段成果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1. 需求确认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第 1 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确认试点学科、核心模型、角色权限、课堂流程、部署环境和验收口径。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需求确认记录、范围清单、验收指标。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2. 架构完善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第 2 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固化前后端接口、数据库初始化策略、ASR 参数、资源库目录和安全配置。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架构说明、接口清单、部署参数模板。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3. 功能开发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第 3-6 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完善课堂交互、模型资源、AI 编排、答题反馈、管理后台和学习记忆。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可演示版本，核心功能闭环。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4. 联调测试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第 7-8 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完成浏览器兼容、摄像头/麦克风权限、ASR 并发、模型加载、AI 兜底和权限测试。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测试报告、缺陷清单、修复版本。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5. 试点部署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第 9-10 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部署 Node/MySQL/Nginx/HTTPS，安装 ASR 模型，导入资源，组织教师试用。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试点环境、运维记录、试用反馈。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6. 验收交付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第 11-12 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完成文档、培训、问题闭环、演示脚本和最终验收。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验收材料、培训材料、交付确认。</w:t>
            </w:r>
          </w:p>
        </w:tc>
      </w:tr>
    </w:tbl>
    <w:p>
      <w:pPr>
        <w:pStyle w:val="Heading1"/>
      </w:pPr>
      <w:r>
        <w:t>四、组织分工建议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5400"/>
        <w:gridCol w:w="20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建议配置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项目负责人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范围、进度、风险、评审沟通和验收组织。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1 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前端工程师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课堂主界面、3D 渲染、手势/语音 UI、管理端交互。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1-2 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后端工程师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Express API、MySQL、认证权限、资源上传、ASR WebSocket、部署脚本。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1 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AI/算法工程师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智能体提示词、兜底策略、ASR 模型参数、教学内容质量评估。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1 人，可兼职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测试/实施工程师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浏览器、设备、性能、权限、部署联调和教师试用支持。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1 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学科教师/教研顾问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课程场景、模型素材、讲解脚本、测验题和试点反馈。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按学科配置</w:t>
            </w:r>
          </w:p>
        </w:tc>
      </w:tr>
    </w:tbl>
    <w:p>
      <w:pPr>
        <w:pStyle w:val="Heading1"/>
      </w:pPr>
      <w:r>
        <w:t>五、验收标准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验收维度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标准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功能完整性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普通用户可登录课堂端，管理员可进入后台；模型选择、语音、手势、AI 讲解、答题和资源库流程可演示。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交互效果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常用模型可稳定加载、旋转、缩放、拆解；手势答题悬停确认可用；语音识别可识别常用中文短指令。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权限安全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未登录不能访问受保护接口；管理员接口需角色校验；禁用账号无法继续使用；最后管理员保护有效。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部署可用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生产环境可通过 HTTPS 访问；/api/health 与 /api/asr/health 可检查；MySQL 与模型目录配置明确。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性能体验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常用页面加载和模型切换满足课堂演示需要；ASR 并发达到配置上限时给出可理解提示。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文档交付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技术架构、项目计划、部署说明和测试/验收记录齐备，能支撑后续运维和二次开发。</w:t>
            </w:r>
          </w:p>
        </w:tc>
      </w:tr>
    </w:tbl>
    <w:p>
      <w:pPr>
        <w:pStyle w:val="Heading1"/>
      </w:pPr>
      <w:r>
        <w:t>六、风险控制计划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等级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应对策略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模型资源体积较大导致首次加载慢。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中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内置模型使用 Service Worker 缓存；上传模型控制文件大小；对高频模型使用稳定文件名和浏览器缓存策略。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ASR 模型占用内存，低配服务器并发有限。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中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上线前压测；默认 ASR_MAX_SESSIONS=3、ASR_NUM_THREADS=1；保留文本输入和按钮控制。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浏览器拒绝麦克风或摄像头权限。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中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部署 HTTPS；提供清晰错误提示和恢复路径；培训时明确 Chrome/Edge 权限设置。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DeepSeek 或外部 3D 生成接口不稳定。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中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核心课堂功能本地可用；AI 规划具备规则兜底；外部生成作为增强能力处理。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学习记忆涉及个人学习数据。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高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默认提供设置入口；允许关闭、删除和清空记忆；服务端仅将记忆作为只读上下文。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管理员资源误删或账号误操作。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中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限制含模型标签删除、最后管理员保护、上线前制定备份与操作规程。</w:t>
            </w:r>
          </w:p>
        </w:tc>
      </w:tr>
    </w:tbl>
    <w:p>
      <w:pPr>
        <w:pStyle w:val="Heading1"/>
      </w:pPr>
      <w:r>
        <w:t>七、测试与上线检查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接口测试：认证、管理员、资源库、学习记忆、AI、ASR 健康检查和 3D 生成接口。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前端测试：登录态恢复、角色路由、模型加载、手势开关、语音输入、答题总结、资源库刷新。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设备测试：Chrome/Edge、摄像头、麦克风、触控屏或投屏环境。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部署测试：Nginx HTTPS、WebSocket Upgrade、CLIENT_ORIGIN、MySQL 权限、ASR_MODEL_DIR、公开资源缓存。</w:t>
      </w:r>
    </w:p>
    <w:p>
      <w:pPr>
        <w:spacing w:after="100"/>
        <w:ind w:left="360" w:hanging="173"/>
      </w:pPr>
      <w:r>
        <w:rPr>
          <w:rFonts w:ascii="Arial Unicode MS" w:hAnsi="Arial Unicode MS" w:eastAsia="Arial Unicode MS"/>
          <w:b/>
          <w:color w:val="2E74B5"/>
        </w:rPr>
        <w:t xml:space="preserve">• </w:t>
      </w:r>
      <w:r>
        <w:rPr>
          <w:rFonts w:ascii="Arial Unicode MS" w:hAnsi="Arial Unicode MS" w:eastAsia="Arial Unicode MS"/>
        </w:rPr>
        <w:t>安全检查：环境变量、JWT_SECRET、Cookie 属性、管理员接口权限、上传文件类型和大小限制。</w:t>
      </w:r>
    </w:p>
    <w:p>
      <w:pPr>
        <w:pStyle w:val="Heading1"/>
      </w:pPr>
      <w:r>
        <w:t>八、后续迭代路线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迭代方向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建议内容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课程资源扩展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按学科建立模型包、讲解词、测验题和课堂活动模板。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教师配置后台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允许教师配置模型讲解顺序、测验题、课堂脚本和班级资源。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学习数据分析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基于测验、追问和会话摘要形成班级薄弱点、主题掌握度和复习建议。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离线与边缘部署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探索本地大模型或校内服务器部署，降低外部 API 依赖。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运维自动化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color w:val="000000"/>
                <w:sz w:val="21"/>
              </w:rPr>
              <w:t>补充初始化脚本、备份策略、日志分级、服务监控和异常告警。</w:t>
            </w:r>
          </w:p>
        </w:tc>
      </w:tr>
    </w:tbl>
    <w:p>
      <w:pPr>
        <w:pStyle w:val="Heading1"/>
      </w:pPr>
      <w:r>
        <w:t>九、结论</w:t>
      </w:r>
    </w:p>
    <w:p>
      <w:r>
        <w:rPr>
          <w:rFonts w:ascii="Arial Unicode MS" w:hAnsi="Arial Unicode MS" w:eastAsia="Arial Unicode MS"/>
        </w:rPr>
        <w:t>按照上述计划推进，项目可在 10-12 周内形成可试点、可演示、可验收的数智课堂系统。当前代码基础已经具备完整原型能力，后续重点是将课堂内容、部署规范、测试验证和学校试点流程进一步产品化。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/>
        <w:color w:val="5C6773"/>
        <w:sz w:val="18"/>
      </w:rPr>
      <w:t>面向项目评审的交付文档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 Unicode MS" w:hAnsi="Arial Unicode MS" w:eastAsia="Arial Unicode MS"/>
        <w:color w:val="5C6773"/>
        <w:sz w:val="18"/>
      </w:rPr>
      <w:t>数智课堂 |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