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75C" w:rsidRDefault="00C25B43" w:rsidP="00D12DC2">
      <w:pPr>
        <w:pStyle w:val="BodyText1"/>
      </w:pPr>
      <w:bookmarkStart w:id="0" w:name="_GoBack"/>
      <w:bookmarkEnd w:id="0"/>
      <w:r>
        <w:rPr>
          <w:noProof/>
          <w:lang w:eastAsia="en-AU"/>
        </w:rPr>
        <w:drawing>
          <wp:inline distT="0" distB="0" distL="0" distR="0">
            <wp:extent cx="2520000" cy="1124053"/>
            <wp:effectExtent l="0" t="0" r="0" b="0"/>
            <wp:docPr id="6" name="Picture 6" descr="Department of Agriculture and Water Resources, AB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BARES_Inline-new-logo.jpg"/>
                    <pic:cNvPicPr/>
                  </pic:nvPicPr>
                  <pic:blipFill>
                    <a:blip r:embed="rId8">
                      <a:extLst>
                        <a:ext uri="{28A0092B-C50C-407E-A947-70E740481C1C}">
                          <a14:useLocalDpi xmlns:a14="http://schemas.microsoft.com/office/drawing/2010/main" val="0"/>
                        </a:ext>
                      </a:extLst>
                    </a:blip>
                    <a:stretch>
                      <a:fillRect/>
                    </a:stretch>
                  </pic:blipFill>
                  <pic:spPr>
                    <a:xfrm>
                      <a:off x="0" y="0"/>
                      <a:ext cx="2520000" cy="1124053"/>
                    </a:xfrm>
                    <a:prstGeom prst="rect">
                      <a:avLst/>
                    </a:prstGeom>
                  </pic:spPr>
                </pic:pic>
              </a:graphicData>
            </a:graphic>
          </wp:inline>
        </w:drawing>
      </w:r>
    </w:p>
    <w:p w:rsidR="003C4C7A" w:rsidRDefault="003C4C7A" w:rsidP="00D12DC2">
      <w:pPr>
        <w:pStyle w:val="BodyText1"/>
      </w:pPr>
    </w:p>
    <w:p w:rsidR="00D12DC2" w:rsidRPr="002208E0" w:rsidRDefault="00D12DC2" w:rsidP="00D12DC2">
      <w:pPr>
        <w:pStyle w:val="BodyText1"/>
      </w:pPr>
    </w:p>
    <w:p w:rsidR="00D27887" w:rsidRPr="00D27887" w:rsidRDefault="00762A12" w:rsidP="00D27887">
      <w:pPr>
        <w:pStyle w:val="Titlepageheading"/>
      </w:pPr>
      <w:r>
        <w:rPr>
          <w:rStyle w:val="TitlepageheadingChar"/>
        </w:rPr>
        <w:t>Report title</w:t>
      </w:r>
    </w:p>
    <w:p w:rsidR="00495DE2" w:rsidRPr="00F91FB6" w:rsidRDefault="00F91FB6" w:rsidP="00F91FB6">
      <w:pPr>
        <w:pStyle w:val="Subtitlesupplementarydocumenttitle"/>
      </w:pPr>
      <w:r w:rsidRPr="00F91FB6">
        <w:t>Supplementary report title</w:t>
      </w:r>
    </w:p>
    <w:p w:rsidR="002B0A63" w:rsidRDefault="00762A12" w:rsidP="00210424">
      <w:pPr>
        <w:pStyle w:val="Titlepageauthor"/>
        <w:ind w:left="1560" w:hanging="130"/>
      </w:pPr>
      <w:r>
        <w:rPr>
          <w:color w:val="808080"/>
        </w:rPr>
        <w:t>Author name</w:t>
      </w:r>
    </w:p>
    <w:p w:rsidR="00F949BD" w:rsidRDefault="00F949BD" w:rsidP="00F24C79">
      <w:pPr>
        <w:pStyle w:val="Titlepageauthor"/>
        <w:ind w:left="1418"/>
      </w:pPr>
    </w:p>
    <w:p w:rsidR="00D21D93" w:rsidRPr="00402350" w:rsidRDefault="00CB0C60" w:rsidP="00402350">
      <w:pPr>
        <w:pStyle w:val="BodyText1"/>
        <w:jc w:val="right"/>
        <w:rPr>
          <w:rFonts w:asciiTheme="minorHAnsi" w:hAnsiTheme="minorHAnsi"/>
          <w:b/>
          <w:sz w:val="20"/>
          <w:szCs w:val="20"/>
        </w:rPr>
      </w:pPr>
      <w:r>
        <w:rPr>
          <w:rFonts w:asciiTheme="minorHAnsi" w:hAnsiTheme="minorHAnsi"/>
          <w:b/>
          <w:noProof/>
          <w:color w:val="auto"/>
          <w:sz w:val="20"/>
          <w:szCs w:val="20"/>
          <w:lang w:eastAsia="en-AU"/>
        </w:rPr>
        <mc:AlternateContent>
          <mc:Choice Requires="wps">
            <w:drawing>
              <wp:anchor distT="4294967295" distB="4294967295" distL="114300" distR="114300" simplePos="0" relativeHeight="251662336" behindDoc="0" locked="0" layoutInCell="1" allowOverlap="1">
                <wp:simplePos x="0" y="0"/>
                <wp:positionH relativeFrom="column">
                  <wp:posOffset>890270</wp:posOffset>
                </wp:positionH>
                <wp:positionV relativeFrom="paragraph">
                  <wp:posOffset>440689</wp:posOffset>
                </wp:positionV>
                <wp:extent cx="4886325" cy="0"/>
                <wp:effectExtent l="0" t="0" r="28575" b="19050"/>
                <wp:wrapNone/>
                <wp:docPr id="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0"/>
                        </a:xfrm>
                        <a:prstGeom prst="straightConnector1">
                          <a:avLst/>
                        </a:prstGeom>
                        <a:noFill/>
                        <a:ln w="9525">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AD3CE50" id="_x0000_t32" coordsize="21600,21600" o:spt="32" o:oned="t" path="m,l21600,21600e" filled="f">
                <v:path arrowok="t" fillok="f" o:connecttype="none"/>
                <o:lock v:ext="edit" shapetype="t"/>
              </v:shapetype>
              <v:shape id="AutoShape 8" o:spid="_x0000_s1026" type="#_x0000_t32" style="position:absolute;margin-left:70.1pt;margin-top:34.7pt;width:384.75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MclHwIAADsEAAAOAAAAZHJzL2Uyb0RvYy54bWysU8GO2jAQvVfqP1i+QxI2sCEirFYJ9LJt&#10;kXb7AcZ2EquJbdmGgKr+e8eGoKW9VFUvzjgz8+bNzPPq6dR36MiNFUoWOJnGGHFJFROyKfC3t+0k&#10;w8g6IhnplOQFPnOLn9YfP6wGnfOZalXHuEEAIm0+6AK3zuk8iixteU/sVGkuwVkr0xMHV9NEzJAB&#10;0PsumsXxIhqUYdooyq2Fv9XFidcBv645dV/r2nKHugIDNxdOE869P6P1iuSNIboV9EqD/AOLnggJ&#10;RW9QFXEEHYz4A6oX1Cirajelqo9UXQvKQw/QTRL/1s1rSzQPvcBwrL6Nyf4/WPrluDNIsAI/YiRJ&#10;Dyt6PjgVKqPMj2fQNoeoUu6Mb5Ce5Kt+UfS7RVKVLZEND8FvZw25ic+I7lL8xWoosh8+KwYxBPDD&#10;rE616T0kTAGdwkrOt5Xwk0MUfqZZtniYzTGioy8i+ZiojXWfuOqRNwpsnSGiaV2ppITFK5OEMuT4&#10;Yp2nRfIxwVeVaiu6Luy/k2go8HIOdbzHqk4w7wwX0+zLzqAj8QqKZ/EiiAbA7sKMOkgWwFpO2OZq&#10;OyK6iw3xnfR40BjQuVoXifxYxstNtsnSSTpbbCZpXFWT522ZThbb5HFePVRlWSU/PbUkzVvBGJee&#10;3SjXJP07OVwfzkVoN8HexhDdo4d5AdnxG0iHzfplXmSxV+y8M+PGQaEh+Pqa/BN4fwf7/Ztf/wIA&#10;AP//AwBQSwMEFAAGAAgAAAAhAIXPIUDgAAAACQEAAA8AAABkcnMvZG93bnJldi54bWxMj01PwzAM&#10;hu9I/IfISNxYwjQNWppOwAQSHKYyPrRj2pi20DilybbCr8eIAxxf+9Hrx9lidJ3Y4RBaTxpOJwoE&#10;UuVtS7WGp8ebk3MQIRqypvOEGj4xwCI/PMhMav2eHnC3jrXgEgqp0dDE2KdShqpBZ8LE90i8e/WD&#10;M5HjUEs7mD2Xu05OlZpLZ1riC43p8brB6n29dRpW8mNTlM93xfLq/rZQX5u35qVcan18NF5egIg4&#10;xj8YfvRZHXJ2Kv2WbBAd55maMqphnsxAMJCo5AxE+TuQeSb/f5B/AwAA//8DAFBLAQItABQABgAI&#10;AAAAIQC2gziS/gAAAOEBAAATAAAAAAAAAAAAAAAAAAAAAABbQ29udGVudF9UeXBlc10ueG1sUEsB&#10;Ai0AFAAGAAgAAAAhADj9If/WAAAAlAEAAAsAAAAAAAAAAAAAAAAALwEAAF9yZWxzLy5yZWxzUEsB&#10;Ai0AFAAGAAgAAAAhAMbIxyUfAgAAOwQAAA4AAAAAAAAAAAAAAAAALgIAAGRycy9lMm9Eb2MueG1s&#10;UEsBAi0AFAAGAAgAAAAhAIXPIUDgAAAACQEAAA8AAAAAAAAAAAAAAAAAeQQAAGRycy9kb3ducmV2&#10;LnhtbFBLBQYAAAAABAAEAPMAAACGBQAAAAA=&#10;" strokecolor="#002060"/>
            </w:pict>
          </mc:Fallback>
        </mc:AlternateContent>
      </w:r>
      <w:r w:rsidR="00D21D93" w:rsidRPr="00402350">
        <w:rPr>
          <w:rFonts w:asciiTheme="minorHAnsi" w:hAnsiTheme="minorHAnsi"/>
          <w:b/>
          <w:sz w:val="20"/>
          <w:szCs w:val="20"/>
        </w:rPr>
        <w:t>Research by the Australian Bureau of Agricultural</w:t>
      </w:r>
      <w:r w:rsidR="00220447" w:rsidRPr="00402350">
        <w:rPr>
          <w:rFonts w:asciiTheme="minorHAnsi" w:hAnsiTheme="minorHAnsi"/>
          <w:b/>
          <w:sz w:val="20"/>
          <w:szCs w:val="20"/>
        </w:rPr>
        <w:br/>
      </w:r>
      <w:r w:rsidR="007E5D1E" w:rsidRPr="00402350">
        <w:rPr>
          <w:rFonts w:asciiTheme="minorHAnsi" w:hAnsiTheme="minorHAnsi"/>
          <w:b/>
          <w:sz w:val="20"/>
          <w:szCs w:val="20"/>
        </w:rPr>
        <w:t>a</w:t>
      </w:r>
      <w:r w:rsidR="00D21D93" w:rsidRPr="00402350">
        <w:rPr>
          <w:rFonts w:asciiTheme="minorHAnsi" w:hAnsiTheme="minorHAnsi"/>
          <w:b/>
          <w:sz w:val="20"/>
          <w:szCs w:val="20"/>
        </w:rPr>
        <w:t>nd Resource Economics and Sciences</w:t>
      </w:r>
    </w:p>
    <w:p w:rsidR="00D21D93" w:rsidRDefault="00762A12" w:rsidP="00CD1F38">
      <w:pPr>
        <w:pStyle w:val="Titlepageauthor"/>
        <w:ind w:left="1843"/>
        <w:jc w:val="right"/>
      </w:pPr>
      <w:r>
        <w:t>Publication series</w:t>
      </w:r>
    </w:p>
    <w:p w:rsidR="00434FB6" w:rsidRDefault="00E972DA" w:rsidP="00B733D0">
      <w:pPr>
        <w:pStyle w:val="Titlepagedate"/>
      </w:pPr>
      <w:r>
        <w:t>May</w:t>
      </w:r>
      <w:r w:rsidR="00F902D7">
        <w:t xml:space="preserve"> 2016</w:t>
      </w:r>
    </w:p>
    <w:p w:rsidR="003F2853" w:rsidRDefault="003F2853" w:rsidP="00754529">
      <w:pPr>
        <w:pStyle w:val="BodyText1"/>
      </w:pPr>
    </w:p>
    <w:p w:rsidR="00AF37A6" w:rsidRDefault="00AF37A6" w:rsidP="00754529">
      <w:pPr>
        <w:pStyle w:val="BodyText1"/>
      </w:pPr>
    </w:p>
    <w:p w:rsidR="00300DCE" w:rsidRDefault="00300DCE" w:rsidP="00754529">
      <w:pPr>
        <w:pStyle w:val="BodyText1"/>
      </w:pPr>
    </w:p>
    <w:p w:rsidR="00300DCE" w:rsidRPr="00F22684" w:rsidRDefault="00300DCE" w:rsidP="00754529">
      <w:pPr>
        <w:pStyle w:val="BodyText1"/>
        <w:jc w:val="center"/>
        <w:rPr>
          <w:rStyle w:val="Bold"/>
          <w:color w:val="FF0000"/>
          <w:sz w:val="36"/>
        </w:rPr>
      </w:pPr>
      <w:r w:rsidRPr="00F22684">
        <w:rPr>
          <w:rStyle w:val="Bold"/>
          <w:color w:val="FF0000"/>
          <w:sz w:val="36"/>
        </w:rPr>
        <w:t>INSERT ABARES Biosphere</w:t>
      </w:r>
    </w:p>
    <w:p w:rsidR="00300DCE" w:rsidRPr="00F22684" w:rsidRDefault="003570B1" w:rsidP="00754529">
      <w:pPr>
        <w:pStyle w:val="BodyText1"/>
        <w:jc w:val="center"/>
        <w:rPr>
          <w:rStyle w:val="Bold"/>
        </w:rPr>
      </w:pPr>
      <w:r w:rsidRPr="00F22684">
        <w:rPr>
          <w:rStyle w:val="Bold"/>
        </w:rPr>
        <w:t>Available from the ABARES team site</w:t>
      </w:r>
    </w:p>
    <w:p w:rsidR="003C413C" w:rsidRDefault="00153F03" w:rsidP="00517D16">
      <w:pPr>
        <w:pStyle w:val="BodyText1"/>
        <w:jc w:val="center"/>
      </w:pPr>
      <w:hyperlink r:id="rId9" w:history="1">
        <w:r w:rsidR="003570B1" w:rsidRPr="00B40EB0">
          <w:rPr>
            <w:rStyle w:val="Hyperlink"/>
          </w:rPr>
          <w:t>http://mylink.agdaff.gov.au/team/abares/PublishingImages/Forms/AllItems.aspx?RootFolder=/team/abares/PublishingImages/New%20ABARES%20Biospheres&amp;FolderCTID=&amp;View={EB907063-4A2F-47EA-9720-EBD3B0525CB7}</w:t>
        </w:r>
      </w:hyperlink>
    </w:p>
    <w:p w:rsidR="00DA47A7" w:rsidRDefault="00DA47A7" w:rsidP="00D12DC2">
      <w:pPr>
        <w:pStyle w:val="BodyText1"/>
        <w:rPr>
          <w:sz w:val="19"/>
        </w:rPr>
      </w:pPr>
      <w:r>
        <w:br w:type="page"/>
      </w:r>
    </w:p>
    <w:p w:rsidR="001B25C5" w:rsidRDefault="001B25C5" w:rsidP="001B25C5">
      <w:pPr>
        <w:pStyle w:val="Tabletext"/>
      </w:pPr>
      <w:r>
        <w:lastRenderedPageBreak/>
        <w:t>© Commonwealth of Australia 201</w:t>
      </w:r>
      <w:r w:rsidR="00F902D7">
        <w:t>6</w:t>
      </w:r>
    </w:p>
    <w:p w:rsidR="005F3A45" w:rsidRDefault="005F3A45" w:rsidP="001B25C5">
      <w:pPr>
        <w:pStyle w:val="Tabletext"/>
      </w:pPr>
    </w:p>
    <w:p w:rsidR="001B25C5" w:rsidRDefault="001B25C5" w:rsidP="001B25C5">
      <w:pPr>
        <w:pStyle w:val="Copyrightpageheading"/>
      </w:pPr>
      <w:r>
        <w:t>Ownership of intellectual property rights</w:t>
      </w:r>
    </w:p>
    <w:p w:rsidR="001B25C5" w:rsidRDefault="001B25C5" w:rsidP="001B25C5">
      <w:pPr>
        <w:pStyle w:val="Tabletext"/>
      </w:pPr>
      <w:r>
        <w:t>Unless otherwise noted, copyright (and any other intellectual property rights, if any) in this publication is owned by the Commonwealth of Australia (referred to as the Commonwealth).</w:t>
      </w:r>
    </w:p>
    <w:p w:rsidR="001B25C5" w:rsidRDefault="001B25C5" w:rsidP="001B25C5">
      <w:pPr>
        <w:pStyle w:val="Copyrightpageheading"/>
      </w:pPr>
      <w:r>
        <w:t>Creative Commons licence</w:t>
      </w:r>
    </w:p>
    <w:p w:rsidR="001B25C5" w:rsidRDefault="001B25C5" w:rsidP="001B25C5">
      <w:pPr>
        <w:pStyle w:val="Tabletext"/>
      </w:pPr>
      <w:r>
        <w:t>All material in this publication is licensed under a Creative Commons Attribution 3.0 Australia Licence, save for content supplied by third parties, logos and the Commonwealth Coat of Arms.</w:t>
      </w:r>
    </w:p>
    <w:p w:rsidR="001B25C5" w:rsidRDefault="001B25C5" w:rsidP="001B25C5">
      <w:pPr>
        <w:pStyle w:val="Tabletext"/>
      </w:pPr>
      <w:r>
        <w:rPr>
          <w:noProof/>
          <w:lang w:eastAsia="en-AU"/>
        </w:rPr>
        <w:drawing>
          <wp:inline distT="0" distB="0" distL="0" distR="0">
            <wp:extent cx="723265" cy="254635"/>
            <wp:effectExtent l="0" t="0" r="0" b="0"/>
            <wp:docPr id="1" name="Picture 1" descr="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265" cy="254635"/>
                    </a:xfrm>
                    <a:prstGeom prst="rect">
                      <a:avLst/>
                    </a:prstGeom>
                    <a:noFill/>
                    <a:ln>
                      <a:noFill/>
                    </a:ln>
                  </pic:spPr>
                </pic:pic>
              </a:graphicData>
            </a:graphic>
          </wp:inline>
        </w:drawing>
      </w:r>
    </w:p>
    <w:p w:rsidR="001B25C5" w:rsidRDefault="001B25C5" w:rsidP="001B25C5">
      <w:pPr>
        <w:pStyle w:val="Tabletext"/>
      </w:pPr>
      <w:r>
        <w:t xml:space="preserve">Creative Commons Attribution 3.0 Australia Licence is a standard form licence agreement that allows you to copy, distribute, transmit and adapt this publication provided you attribute the work. A summary of the licence terms is available from </w:t>
      </w:r>
      <w:hyperlink r:id="rId11" w:history="1">
        <w:r>
          <w:rPr>
            <w:rStyle w:val="Hyperlink"/>
          </w:rPr>
          <w:t>creativecommons.org/licenses/by/3.0/au/deed.en</w:t>
        </w:r>
      </w:hyperlink>
      <w:r>
        <w:t xml:space="preserve">. The full licence terms are available from </w:t>
      </w:r>
      <w:hyperlink r:id="rId12" w:history="1">
        <w:r>
          <w:rPr>
            <w:rStyle w:val="Hyperlink"/>
          </w:rPr>
          <w:t>creativecommons.org/licenses/by/3.0/au/legalcode</w:t>
        </w:r>
      </w:hyperlink>
      <w:r>
        <w:t>.</w:t>
      </w:r>
    </w:p>
    <w:p w:rsidR="001B25C5" w:rsidRDefault="001B25C5" w:rsidP="001B25C5">
      <w:pPr>
        <w:pStyle w:val="Copyrightpageheading"/>
      </w:pPr>
      <w:r>
        <w:t>Cataloguing data</w:t>
      </w:r>
    </w:p>
    <w:p w:rsidR="001B25C5" w:rsidRDefault="001B25C5" w:rsidP="001B25C5">
      <w:pPr>
        <w:pStyle w:val="Tabletext"/>
      </w:pPr>
      <w:r>
        <w:t>Autho</w:t>
      </w:r>
      <w:r w:rsidR="00E972DA">
        <w:t>r, A, Author, B &amp; Author, C 2016</w:t>
      </w:r>
      <w:r>
        <w:t>, [</w:t>
      </w:r>
      <w:r>
        <w:rPr>
          <w:rStyle w:val="Emphasis"/>
        </w:rPr>
        <w:t>Report title</w:t>
      </w:r>
      <w:r>
        <w:t>] ABARES [research report, technical report, report to client prepared for the ‘insert name of client’], Canberra, [Month]. CC BY 3.0.</w:t>
      </w:r>
    </w:p>
    <w:p w:rsidR="00350B96" w:rsidRDefault="001B25C5" w:rsidP="001B25C5">
      <w:pPr>
        <w:pStyle w:val="Tabletext"/>
      </w:pPr>
      <w:r>
        <w:t>ISSN XXXXXXX</w:t>
      </w:r>
    </w:p>
    <w:p w:rsidR="00350B96" w:rsidRDefault="001B25C5" w:rsidP="001B25C5">
      <w:pPr>
        <w:pStyle w:val="Tabletext"/>
      </w:pPr>
      <w:r>
        <w:t>IS</w:t>
      </w:r>
      <w:r w:rsidR="0060073B">
        <w:t>BN XXXXXXX</w:t>
      </w:r>
    </w:p>
    <w:p w:rsidR="001B25C5" w:rsidRDefault="0060073B" w:rsidP="001B25C5">
      <w:pPr>
        <w:pStyle w:val="Tabletext"/>
      </w:pPr>
      <w:r>
        <w:t>ABARES project 4XXXX</w:t>
      </w:r>
    </w:p>
    <w:p w:rsidR="00350B96" w:rsidRDefault="00350B96" w:rsidP="001B25C5">
      <w:pPr>
        <w:pStyle w:val="Tabletext"/>
      </w:pPr>
    </w:p>
    <w:p w:rsidR="001B25C5" w:rsidRDefault="001B25C5" w:rsidP="001B25C5">
      <w:pPr>
        <w:pStyle w:val="Copyrightpageheading"/>
      </w:pPr>
      <w:r>
        <w:t>Internet</w:t>
      </w:r>
    </w:p>
    <w:p w:rsidR="001B25C5" w:rsidRDefault="001B25C5" w:rsidP="001B25C5">
      <w:pPr>
        <w:pStyle w:val="Tabletext"/>
      </w:pPr>
      <w:r>
        <w:t>[</w:t>
      </w:r>
      <w:r>
        <w:rPr>
          <w:rStyle w:val="Emphasis"/>
        </w:rPr>
        <w:t>Report title</w:t>
      </w:r>
      <w:r>
        <w:t xml:space="preserve">] is available at </w:t>
      </w:r>
      <w:hyperlink r:id="rId13" w:history="1">
        <w:r w:rsidR="00F85544">
          <w:rPr>
            <w:rStyle w:val="Hyperlink"/>
          </w:rPr>
          <w:t>agriculture.gov.au/abares/publications</w:t>
        </w:r>
      </w:hyperlink>
      <w:r>
        <w:t>.</w:t>
      </w:r>
    </w:p>
    <w:p w:rsidR="001B25C5" w:rsidRDefault="001B25C5" w:rsidP="00350B96">
      <w:pPr>
        <w:pStyle w:val="Tabletext"/>
        <w:spacing w:before="0" w:after="0"/>
        <w:rPr>
          <w:rStyle w:val="Bold"/>
        </w:rPr>
      </w:pPr>
      <w:r>
        <w:rPr>
          <w:rStyle w:val="Bold"/>
        </w:rPr>
        <w:t>Australian Bureau of Agricultural and Resource Economics and Sciences (ABARES)</w:t>
      </w:r>
    </w:p>
    <w:p w:rsidR="00350B96" w:rsidRDefault="003E567F" w:rsidP="00350B96">
      <w:pPr>
        <w:pStyle w:val="Tabletext"/>
        <w:spacing w:before="0" w:after="0"/>
      </w:pPr>
      <w:r>
        <w:t>Postal address GPO Box 858</w:t>
      </w:r>
      <w:r w:rsidR="001B25C5">
        <w:t xml:space="preserve"> Canberra ACT </w:t>
      </w:r>
      <w:r>
        <w:t>2601</w:t>
      </w:r>
    </w:p>
    <w:p w:rsidR="00350B96" w:rsidRDefault="003E567F" w:rsidP="00350B96">
      <w:pPr>
        <w:pStyle w:val="Tabletext"/>
        <w:spacing w:before="0" w:after="0"/>
      </w:pPr>
      <w:r>
        <w:t>Switchboard +61 2 6272 3933</w:t>
      </w:r>
    </w:p>
    <w:p w:rsidR="00350B96" w:rsidRDefault="001B25C5" w:rsidP="00350B96">
      <w:pPr>
        <w:pStyle w:val="Tabletext"/>
        <w:spacing w:before="0" w:after="0"/>
      </w:pPr>
      <w:r>
        <w:t xml:space="preserve">Email </w:t>
      </w:r>
      <w:hyperlink r:id="rId14" w:history="1">
        <w:r w:rsidR="00F85544">
          <w:rPr>
            <w:rStyle w:val="Hyperlink"/>
          </w:rPr>
          <w:t>info.abares@agriculture.gov.au</w:t>
        </w:r>
      </w:hyperlink>
    </w:p>
    <w:p w:rsidR="001B25C5" w:rsidRDefault="001B25C5" w:rsidP="00350B96">
      <w:pPr>
        <w:pStyle w:val="Tabletext"/>
        <w:spacing w:before="0"/>
      </w:pPr>
      <w:r>
        <w:t xml:space="preserve">Web </w:t>
      </w:r>
      <w:hyperlink r:id="rId15" w:history="1">
        <w:r w:rsidR="00F85544">
          <w:rPr>
            <w:rStyle w:val="Hyperlink"/>
          </w:rPr>
          <w:t>agriculture.gov.au/abares</w:t>
        </w:r>
      </w:hyperlink>
    </w:p>
    <w:p w:rsidR="001B25C5" w:rsidRDefault="001B25C5" w:rsidP="001B25C5">
      <w:pPr>
        <w:pStyle w:val="Tabletext"/>
      </w:pPr>
      <w:r>
        <w:t xml:space="preserve">Inquiries about the licence and any use of this document should be sent to </w:t>
      </w:r>
      <w:hyperlink r:id="rId16" w:history="1">
        <w:r w:rsidR="00F85544">
          <w:rPr>
            <w:rStyle w:val="Hyperlink"/>
          </w:rPr>
          <w:t>copyright@agriculture.gov.au</w:t>
        </w:r>
      </w:hyperlink>
      <w:r>
        <w:t>.</w:t>
      </w:r>
    </w:p>
    <w:p w:rsidR="001B25C5" w:rsidRDefault="001B25C5" w:rsidP="001B25C5">
      <w:pPr>
        <w:pStyle w:val="Tabletext"/>
      </w:pPr>
      <w:r>
        <w:t>The Australian Government acting through the Department of Agriculture</w:t>
      </w:r>
      <w:r w:rsidR="000F1571">
        <w:t xml:space="preserve"> and Water Resources</w:t>
      </w:r>
      <w:r>
        <w:t xml:space="preserve">, represented by the Australian Bureau of Agricultural and Resource Economics and Sciences, has exercised due care and skill in preparing and compiling the information and data in this publication. Notwithstanding, the </w:t>
      </w:r>
      <w:r w:rsidR="000F1571">
        <w:t>Department of Agriculture and Water Resources</w:t>
      </w:r>
      <w:r>
        <w:t>, ABARES, its employees and advisers disclaim all liability, including for negligence and for any loss, damage, injury, expense or cost incurred by any person as a result o</w:t>
      </w:r>
      <w:r w:rsidR="00D313EC">
        <w:t xml:space="preserve">f accessing, using or relying </w:t>
      </w:r>
      <w:r>
        <w:t>on information or data in this publication to the maximum extent permitted by law.</w:t>
      </w:r>
    </w:p>
    <w:p w:rsidR="001B25C5" w:rsidRPr="001B25C5" w:rsidRDefault="001B25C5" w:rsidP="001B25C5">
      <w:pPr>
        <w:pStyle w:val="Tabletext"/>
        <w:rPr>
          <w:rStyle w:val="Bold"/>
        </w:rPr>
      </w:pPr>
      <w:r w:rsidRPr="001B25C5">
        <w:rPr>
          <w:rStyle w:val="Bold"/>
        </w:rPr>
        <w:t>Acknowledgements</w:t>
      </w:r>
    </w:p>
    <w:p w:rsidR="001B25C5" w:rsidRDefault="001B25C5" w:rsidP="001B25C5">
      <w:pPr>
        <w:pStyle w:val="Tabletext"/>
      </w:pPr>
      <w:r>
        <w:t>The authors thank interview and survey participants for their input. Thanks also to Caroline Leung and Stefano Missoni for their support during the project and in preparing this report.</w:t>
      </w:r>
    </w:p>
    <w:p w:rsidR="00626FAB" w:rsidRPr="00626FAB" w:rsidRDefault="00626FAB" w:rsidP="00626FAB">
      <w:pPr>
        <w:pStyle w:val="BodyText1"/>
      </w:pPr>
    </w:p>
    <w:p w:rsidR="00626FAB" w:rsidRDefault="00626FAB" w:rsidP="00A56A8A">
      <w:pPr>
        <w:pStyle w:val="BodyText1"/>
        <w:sectPr w:rsidR="00626FAB" w:rsidSect="004C1FC9">
          <w:pgSz w:w="11906" w:h="16838"/>
          <w:pgMar w:top="1247" w:right="1418" w:bottom="1418" w:left="1418" w:header="510" w:footer="709" w:gutter="0"/>
          <w:pgNumType w:start="1"/>
          <w:cols w:space="708"/>
          <w:docGrid w:linePitch="360"/>
        </w:sectPr>
      </w:pPr>
    </w:p>
    <w:p w:rsidR="008044DB" w:rsidRDefault="008044DB" w:rsidP="008044DB">
      <w:pPr>
        <w:pStyle w:val="Heading1unnumberedchapter"/>
      </w:pPr>
      <w:bookmarkStart w:id="1" w:name="_Toc366225164"/>
      <w:bookmarkStart w:id="2" w:name="_Toc358282840"/>
      <w:bookmarkStart w:id="3" w:name="_Toc415751177"/>
      <w:r>
        <w:lastRenderedPageBreak/>
        <w:t>Foreword</w:t>
      </w:r>
      <w:bookmarkEnd w:id="1"/>
      <w:bookmarkEnd w:id="2"/>
      <w:bookmarkEnd w:id="3"/>
    </w:p>
    <w:p w:rsidR="008044DB" w:rsidRDefault="008044DB" w:rsidP="008044DB">
      <w:r>
        <w:t xml:space="preserve">This paper is one of two background papers prepared as part of a collaborative project between ABARES and the Forestry Economics and Development Research Center (FEDRC) of China’s State Forestry Administration to develop a sustainable land and forest management research agenda. The other paper is </w:t>
      </w:r>
      <w:r>
        <w:rPr>
          <w:rStyle w:val="Italic"/>
        </w:rPr>
        <w:t xml:space="preserve">Sustainable forest management: the Australian context </w:t>
      </w:r>
      <w:r>
        <w:t>(Clancy &amp; Howell 2012).</w:t>
      </w:r>
    </w:p>
    <w:p w:rsidR="008044DB" w:rsidRDefault="008044DB" w:rsidP="008044DB">
      <w:pPr>
        <w:pStyle w:val="BodyText1"/>
      </w:pPr>
      <w:r>
        <w:t>The Sustainable Land and Forest Management Research Agenda project, funded through AusAID’s Australia China Environment Development Partnership (ACEDP) program</w:t>
      </w:r>
      <w:r w:rsidR="00EA328B">
        <w:t>me</w:t>
      </w:r>
      <w:r>
        <w:t>, has strengthened technical cooperation in areas of common interest in sustainable forest management and land resources assessment.</w:t>
      </w:r>
    </w:p>
    <w:p w:rsidR="008044DB" w:rsidRDefault="008044DB" w:rsidP="008044DB">
      <w:pPr>
        <w:pStyle w:val="BodyText1"/>
      </w:pPr>
      <w:r>
        <w:t>The two background papers supported discussions held by FEDRC and ABARES (in Beijing in October 2011 and in Canberra in December 2011). The discussions led to agreement on common areas of research interest in sustainable forest management and land resources assessment. The project partners ABARES and FEDRC intend to use the papers as background information to support collaborative engagement and as reports to the ACEDP managing contractor (GHD Pty Ltd) and AusAID.</w:t>
      </w:r>
    </w:p>
    <w:p w:rsidR="001C47CE" w:rsidRPr="001C47CE" w:rsidRDefault="001C47CE" w:rsidP="00D12DC2">
      <w:pPr>
        <w:pStyle w:val="BodyText1"/>
      </w:pPr>
    </w:p>
    <w:p w:rsidR="001C47CE" w:rsidRDefault="001C47CE" w:rsidP="00D12DC2">
      <w:pPr>
        <w:pStyle w:val="BodyText1"/>
        <w:sectPr w:rsidR="001C47CE" w:rsidSect="001C47CE">
          <w:headerReference w:type="default" r:id="rId17"/>
          <w:footerReference w:type="default" r:id="rId18"/>
          <w:pgSz w:w="11906" w:h="16838"/>
          <w:pgMar w:top="1247" w:right="1418" w:bottom="1418" w:left="1418" w:header="510" w:footer="709" w:gutter="0"/>
          <w:pgNumType w:fmt="lowerRoman"/>
          <w:cols w:space="708"/>
          <w:docGrid w:linePitch="360"/>
        </w:sectPr>
      </w:pPr>
    </w:p>
    <w:sdt>
      <w:sdtPr>
        <w:rPr>
          <w:rFonts w:ascii="Calibri" w:eastAsia="Calibri" w:hAnsi="Calibri" w:cs="Times New Roman"/>
          <w:b/>
          <w:bCs w:val="0"/>
          <w:noProof/>
          <w:color w:val="000000" w:themeColor="text1"/>
          <w:sz w:val="22"/>
          <w:szCs w:val="22"/>
          <w:lang w:val="en-AU" w:eastAsia="en-US"/>
        </w:rPr>
        <w:id w:val="785527796"/>
        <w:docPartObj>
          <w:docPartGallery w:val="Table of Contents"/>
          <w:docPartUnique/>
        </w:docPartObj>
      </w:sdtPr>
      <w:sdtEndPr>
        <w:rPr>
          <w:rFonts w:ascii="Cambria" w:hAnsi="Cambria"/>
          <w:b w:val="0"/>
        </w:rPr>
      </w:sdtEndPr>
      <w:sdtContent>
        <w:p w:rsidR="00E53AF0" w:rsidRDefault="00E53AF0" w:rsidP="00C05EF5">
          <w:pPr>
            <w:pStyle w:val="TOCHeading"/>
          </w:pPr>
          <w:r w:rsidRPr="00770540">
            <w:t>Contents</w:t>
          </w:r>
        </w:p>
        <w:p w:rsidR="000B59F3" w:rsidRDefault="000A7BBE">
          <w:pPr>
            <w:pStyle w:val="TOC1"/>
            <w:rPr>
              <w:rFonts w:asciiTheme="minorHAnsi" w:eastAsiaTheme="minorEastAsia" w:hAnsiTheme="minorHAnsi" w:cstheme="minorBidi"/>
              <w:color w:val="auto"/>
              <w:lang w:eastAsia="en-AU"/>
            </w:rPr>
          </w:pPr>
          <w:r>
            <w:fldChar w:fldCharType="begin"/>
          </w:r>
          <w:r w:rsidR="00B20859">
            <w:instrText xml:space="preserve"> TOC \o "1</w:instrText>
          </w:r>
          <w:r w:rsidR="002B2A7C">
            <w:instrText>-</w:instrText>
          </w:r>
          <w:r w:rsidR="004257E3">
            <w:instrText>2</w:instrText>
          </w:r>
          <w:r w:rsidR="002B2A7C">
            <w:instrText>" \h \z \t "Heading 1,</w:instrText>
          </w:r>
          <w:r w:rsidR="007D54E2">
            <w:instrText>4</w:instrText>
          </w:r>
          <w:r w:rsidR="002B2A7C">
            <w:instrText>,Heading 1  (</w:instrText>
          </w:r>
          <w:r w:rsidR="00B20859">
            <w:instrText>un</w:instrText>
          </w:r>
          <w:r w:rsidR="002B2A7C">
            <w:instrText>numbered chapter),1</w:instrText>
          </w:r>
          <w:r w:rsidR="00B20859">
            <w:instrText>,Heading 2,2</w:instrText>
          </w:r>
          <w:r w:rsidR="002B2A7C">
            <w:instrText xml:space="preserve">" </w:instrText>
          </w:r>
          <w:r>
            <w:fldChar w:fldCharType="separate"/>
          </w:r>
          <w:hyperlink w:anchor="_Toc415751177" w:history="1">
            <w:r w:rsidR="000B59F3" w:rsidRPr="00482A64">
              <w:rPr>
                <w:rStyle w:val="Hyperlink"/>
              </w:rPr>
              <w:t>Foreword</w:t>
            </w:r>
            <w:r w:rsidR="000B59F3">
              <w:rPr>
                <w:webHidden/>
              </w:rPr>
              <w:tab/>
            </w:r>
            <w:r>
              <w:rPr>
                <w:webHidden/>
              </w:rPr>
              <w:fldChar w:fldCharType="begin"/>
            </w:r>
            <w:r w:rsidR="000B59F3">
              <w:rPr>
                <w:webHidden/>
              </w:rPr>
              <w:instrText xml:space="preserve"> PAGEREF _Toc415751177 \h </w:instrText>
            </w:r>
            <w:r>
              <w:rPr>
                <w:webHidden/>
              </w:rPr>
            </w:r>
            <w:r>
              <w:rPr>
                <w:webHidden/>
              </w:rPr>
              <w:fldChar w:fldCharType="separate"/>
            </w:r>
            <w:r w:rsidR="00073D21">
              <w:rPr>
                <w:webHidden/>
              </w:rPr>
              <w:t>iii</w:t>
            </w:r>
            <w:r>
              <w:rPr>
                <w:webHidden/>
              </w:rPr>
              <w:fldChar w:fldCharType="end"/>
            </w:r>
          </w:hyperlink>
        </w:p>
        <w:p w:rsidR="000B59F3" w:rsidRDefault="00153F03">
          <w:pPr>
            <w:pStyle w:val="TOC1"/>
            <w:rPr>
              <w:rFonts w:asciiTheme="minorHAnsi" w:eastAsiaTheme="minorEastAsia" w:hAnsiTheme="minorHAnsi" w:cstheme="minorBidi"/>
              <w:color w:val="auto"/>
              <w:lang w:eastAsia="en-AU"/>
            </w:rPr>
          </w:pPr>
          <w:hyperlink w:anchor="_Toc415751178" w:history="1">
            <w:r w:rsidR="000B59F3" w:rsidRPr="00482A64">
              <w:rPr>
                <w:rStyle w:val="Hyperlink"/>
              </w:rPr>
              <w:t>Summary</w:t>
            </w:r>
            <w:r w:rsidR="000B59F3">
              <w:rPr>
                <w:webHidden/>
              </w:rPr>
              <w:tab/>
            </w:r>
            <w:r w:rsidR="000A7BBE">
              <w:rPr>
                <w:webHidden/>
              </w:rPr>
              <w:fldChar w:fldCharType="begin"/>
            </w:r>
            <w:r w:rsidR="000B59F3">
              <w:rPr>
                <w:webHidden/>
              </w:rPr>
              <w:instrText xml:space="preserve"> PAGEREF _Toc415751178 \h </w:instrText>
            </w:r>
            <w:r w:rsidR="000A7BBE">
              <w:rPr>
                <w:webHidden/>
              </w:rPr>
            </w:r>
            <w:r w:rsidR="000A7BBE">
              <w:rPr>
                <w:webHidden/>
              </w:rPr>
              <w:fldChar w:fldCharType="separate"/>
            </w:r>
            <w:r w:rsidR="00073D21">
              <w:rPr>
                <w:webHidden/>
              </w:rPr>
              <w:t>vi</w:t>
            </w:r>
            <w:r w:rsidR="000A7BBE">
              <w:rPr>
                <w:webHidden/>
              </w:rPr>
              <w:fldChar w:fldCharType="end"/>
            </w:r>
          </w:hyperlink>
        </w:p>
        <w:p w:rsidR="000B59F3" w:rsidRDefault="00153F03">
          <w:pPr>
            <w:pStyle w:val="TOC4"/>
            <w:rPr>
              <w:rFonts w:asciiTheme="minorHAnsi" w:eastAsiaTheme="minorEastAsia" w:hAnsiTheme="minorHAnsi" w:cstheme="minorBidi"/>
              <w:b w:val="0"/>
              <w:noProof/>
              <w:color w:val="auto"/>
              <w:lang w:eastAsia="en-AU"/>
            </w:rPr>
          </w:pPr>
          <w:hyperlink w:anchor="_Toc415751179" w:history="1">
            <w:r w:rsidR="000B59F3" w:rsidRPr="00482A64">
              <w:rPr>
                <w:rStyle w:val="Hyperlink"/>
                <w:noProof/>
              </w:rPr>
              <w:t>1</w:t>
            </w:r>
            <w:r w:rsidR="000B59F3">
              <w:rPr>
                <w:rFonts w:asciiTheme="minorHAnsi" w:eastAsiaTheme="minorEastAsia" w:hAnsiTheme="minorHAnsi" w:cstheme="minorBidi"/>
                <w:b w:val="0"/>
                <w:noProof/>
                <w:color w:val="auto"/>
                <w:lang w:eastAsia="en-AU"/>
              </w:rPr>
              <w:tab/>
            </w:r>
            <w:r w:rsidR="000B59F3" w:rsidRPr="00482A64">
              <w:rPr>
                <w:rStyle w:val="Hyperlink"/>
                <w:noProof/>
              </w:rPr>
              <w:t>Introduction</w:t>
            </w:r>
            <w:r w:rsidR="000B59F3">
              <w:rPr>
                <w:noProof/>
                <w:webHidden/>
              </w:rPr>
              <w:tab/>
            </w:r>
            <w:r w:rsidR="000A7BBE">
              <w:rPr>
                <w:noProof/>
                <w:webHidden/>
              </w:rPr>
              <w:fldChar w:fldCharType="begin"/>
            </w:r>
            <w:r w:rsidR="000B59F3">
              <w:rPr>
                <w:noProof/>
                <w:webHidden/>
              </w:rPr>
              <w:instrText xml:space="preserve"> PAGEREF _Toc415751179 \h </w:instrText>
            </w:r>
            <w:r w:rsidR="000A7BBE">
              <w:rPr>
                <w:noProof/>
                <w:webHidden/>
              </w:rPr>
            </w:r>
            <w:r w:rsidR="000A7BBE">
              <w:rPr>
                <w:noProof/>
                <w:webHidden/>
              </w:rPr>
              <w:fldChar w:fldCharType="separate"/>
            </w:r>
            <w:r w:rsidR="00073D21">
              <w:rPr>
                <w:noProof/>
                <w:webHidden/>
              </w:rPr>
              <w:t>6</w:t>
            </w:r>
            <w:r w:rsidR="000A7BBE">
              <w:rPr>
                <w:noProof/>
                <w:webHidden/>
              </w:rPr>
              <w:fldChar w:fldCharType="end"/>
            </w:r>
          </w:hyperlink>
        </w:p>
        <w:p w:rsidR="000B59F3" w:rsidRDefault="00153F03">
          <w:pPr>
            <w:pStyle w:val="TOC4"/>
            <w:rPr>
              <w:rFonts w:asciiTheme="minorHAnsi" w:eastAsiaTheme="minorEastAsia" w:hAnsiTheme="minorHAnsi" w:cstheme="minorBidi"/>
              <w:b w:val="0"/>
              <w:noProof/>
              <w:color w:val="auto"/>
              <w:lang w:eastAsia="en-AU"/>
            </w:rPr>
          </w:pPr>
          <w:hyperlink w:anchor="_Toc415751180" w:history="1">
            <w:r w:rsidR="000B59F3" w:rsidRPr="00482A64">
              <w:rPr>
                <w:rStyle w:val="Hyperlink"/>
                <w:noProof/>
              </w:rPr>
              <w:t>2</w:t>
            </w:r>
            <w:r w:rsidR="000B59F3">
              <w:rPr>
                <w:rFonts w:asciiTheme="minorHAnsi" w:eastAsiaTheme="minorEastAsia" w:hAnsiTheme="minorHAnsi" w:cstheme="minorBidi"/>
                <w:b w:val="0"/>
                <w:noProof/>
                <w:color w:val="auto"/>
                <w:lang w:eastAsia="en-AU"/>
              </w:rPr>
              <w:tab/>
            </w:r>
            <w:r w:rsidR="000B59F3" w:rsidRPr="00482A64">
              <w:rPr>
                <w:rStyle w:val="Hyperlink"/>
                <w:noProof/>
              </w:rPr>
              <w:t>Chapter heading</w:t>
            </w:r>
            <w:r w:rsidR="000B59F3">
              <w:rPr>
                <w:noProof/>
                <w:webHidden/>
              </w:rPr>
              <w:tab/>
            </w:r>
            <w:r w:rsidR="000A7BBE">
              <w:rPr>
                <w:noProof/>
                <w:webHidden/>
              </w:rPr>
              <w:fldChar w:fldCharType="begin"/>
            </w:r>
            <w:r w:rsidR="000B59F3">
              <w:rPr>
                <w:noProof/>
                <w:webHidden/>
              </w:rPr>
              <w:instrText xml:space="preserve"> PAGEREF _Toc415751180 \h </w:instrText>
            </w:r>
            <w:r w:rsidR="000A7BBE">
              <w:rPr>
                <w:noProof/>
                <w:webHidden/>
              </w:rPr>
            </w:r>
            <w:r w:rsidR="000A7BBE">
              <w:rPr>
                <w:noProof/>
                <w:webHidden/>
              </w:rPr>
              <w:fldChar w:fldCharType="separate"/>
            </w:r>
            <w:r w:rsidR="00073D21">
              <w:rPr>
                <w:noProof/>
                <w:webHidden/>
              </w:rPr>
              <w:t>6</w:t>
            </w:r>
            <w:r w:rsidR="000A7BBE">
              <w:rPr>
                <w:noProof/>
                <w:webHidden/>
              </w:rPr>
              <w:fldChar w:fldCharType="end"/>
            </w:r>
          </w:hyperlink>
        </w:p>
        <w:p w:rsidR="000B59F3" w:rsidRDefault="00153F03">
          <w:pPr>
            <w:pStyle w:val="TOC2"/>
            <w:rPr>
              <w:rFonts w:asciiTheme="minorHAnsi" w:eastAsiaTheme="minorEastAsia" w:hAnsiTheme="minorHAnsi" w:cstheme="minorBidi"/>
              <w:color w:val="auto"/>
              <w:szCs w:val="22"/>
              <w:lang w:eastAsia="en-AU"/>
            </w:rPr>
          </w:pPr>
          <w:hyperlink w:anchor="_Toc415751181" w:history="1">
            <w:r w:rsidR="000B59F3" w:rsidRPr="00482A64">
              <w:rPr>
                <w:rStyle w:val="Hyperlink"/>
              </w:rPr>
              <w:t>Heading style 2</w:t>
            </w:r>
            <w:r w:rsidR="000B59F3">
              <w:rPr>
                <w:webHidden/>
              </w:rPr>
              <w:tab/>
            </w:r>
            <w:r w:rsidR="000A7BBE">
              <w:rPr>
                <w:webHidden/>
              </w:rPr>
              <w:fldChar w:fldCharType="begin"/>
            </w:r>
            <w:r w:rsidR="000B59F3">
              <w:rPr>
                <w:webHidden/>
              </w:rPr>
              <w:instrText xml:space="preserve"> PAGEREF _Toc415751181 \h </w:instrText>
            </w:r>
            <w:r w:rsidR="000A7BBE">
              <w:rPr>
                <w:webHidden/>
              </w:rPr>
            </w:r>
            <w:r w:rsidR="000A7BBE">
              <w:rPr>
                <w:webHidden/>
              </w:rPr>
              <w:fldChar w:fldCharType="separate"/>
            </w:r>
            <w:r w:rsidR="00073D21">
              <w:rPr>
                <w:webHidden/>
              </w:rPr>
              <w:t>6</w:t>
            </w:r>
            <w:r w:rsidR="000A7BBE">
              <w:rPr>
                <w:webHidden/>
              </w:rPr>
              <w:fldChar w:fldCharType="end"/>
            </w:r>
          </w:hyperlink>
        </w:p>
        <w:p w:rsidR="000B59F3" w:rsidRDefault="00153F03">
          <w:pPr>
            <w:pStyle w:val="TOC1"/>
            <w:tabs>
              <w:tab w:val="left" w:pos="1540"/>
            </w:tabs>
            <w:rPr>
              <w:rFonts w:asciiTheme="minorHAnsi" w:eastAsiaTheme="minorEastAsia" w:hAnsiTheme="minorHAnsi" w:cstheme="minorBidi"/>
              <w:color w:val="auto"/>
              <w:lang w:eastAsia="en-AU"/>
            </w:rPr>
          </w:pPr>
          <w:hyperlink w:anchor="_Toc415751182" w:history="1">
            <w:r w:rsidR="000B59F3" w:rsidRPr="00482A64">
              <w:rPr>
                <w:rStyle w:val="Hyperlink"/>
              </w:rPr>
              <w:t>Appendix A:</w:t>
            </w:r>
            <w:r w:rsidR="000B59F3">
              <w:rPr>
                <w:rFonts w:asciiTheme="minorHAnsi" w:eastAsiaTheme="minorEastAsia" w:hAnsiTheme="minorHAnsi" w:cstheme="minorBidi"/>
                <w:color w:val="auto"/>
                <w:lang w:eastAsia="en-AU"/>
              </w:rPr>
              <w:tab/>
            </w:r>
            <w:r w:rsidR="000B59F3" w:rsidRPr="00482A64">
              <w:rPr>
                <w:rStyle w:val="Hyperlink"/>
              </w:rPr>
              <w:t>Production estimates</w:t>
            </w:r>
            <w:r w:rsidR="000B59F3">
              <w:rPr>
                <w:webHidden/>
              </w:rPr>
              <w:tab/>
            </w:r>
            <w:r w:rsidR="000A7BBE">
              <w:rPr>
                <w:webHidden/>
              </w:rPr>
              <w:fldChar w:fldCharType="begin"/>
            </w:r>
            <w:r w:rsidR="000B59F3">
              <w:rPr>
                <w:webHidden/>
              </w:rPr>
              <w:instrText xml:space="preserve"> PAGEREF _Toc415751182 \h </w:instrText>
            </w:r>
            <w:r w:rsidR="000A7BBE">
              <w:rPr>
                <w:webHidden/>
              </w:rPr>
            </w:r>
            <w:r w:rsidR="000A7BBE">
              <w:rPr>
                <w:webHidden/>
              </w:rPr>
              <w:fldChar w:fldCharType="separate"/>
            </w:r>
            <w:r w:rsidR="00073D21">
              <w:rPr>
                <w:webHidden/>
              </w:rPr>
              <w:t>6</w:t>
            </w:r>
            <w:r w:rsidR="000A7BBE">
              <w:rPr>
                <w:webHidden/>
              </w:rPr>
              <w:fldChar w:fldCharType="end"/>
            </w:r>
          </w:hyperlink>
        </w:p>
        <w:p w:rsidR="000B59F3" w:rsidRDefault="00153F03">
          <w:pPr>
            <w:pStyle w:val="TOC1"/>
            <w:rPr>
              <w:rFonts w:asciiTheme="minorHAnsi" w:eastAsiaTheme="minorEastAsia" w:hAnsiTheme="minorHAnsi" w:cstheme="minorBidi"/>
              <w:color w:val="auto"/>
              <w:lang w:eastAsia="en-AU"/>
            </w:rPr>
          </w:pPr>
          <w:hyperlink w:anchor="_Toc415751183" w:history="1">
            <w:r w:rsidR="000B59F3" w:rsidRPr="00482A64">
              <w:rPr>
                <w:rStyle w:val="Hyperlink"/>
              </w:rPr>
              <w:t>Glossary</w:t>
            </w:r>
            <w:r w:rsidR="000B59F3">
              <w:rPr>
                <w:webHidden/>
              </w:rPr>
              <w:tab/>
            </w:r>
            <w:r w:rsidR="000A7BBE">
              <w:rPr>
                <w:webHidden/>
              </w:rPr>
              <w:fldChar w:fldCharType="begin"/>
            </w:r>
            <w:r w:rsidR="000B59F3">
              <w:rPr>
                <w:webHidden/>
              </w:rPr>
              <w:instrText xml:space="preserve"> PAGEREF _Toc415751183 \h </w:instrText>
            </w:r>
            <w:r w:rsidR="000A7BBE">
              <w:rPr>
                <w:webHidden/>
              </w:rPr>
            </w:r>
            <w:r w:rsidR="000A7BBE">
              <w:rPr>
                <w:webHidden/>
              </w:rPr>
              <w:fldChar w:fldCharType="separate"/>
            </w:r>
            <w:r w:rsidR="00073D21">
              <w:rPr>
                <w:webHidden/>
              </w:rPr>
              <w:t>6</w:t>
            </w:r>
            <w:r w:rsidR="000A7BBE">
              <w:rPr>
                <w:webHidden/>
              </w:rPr>
              <w:fldChar w:fldCharType="end"/>
            </w:r>
          </w:hyperlink>
        </w:p>
        <w:p w:rsidR="000B59F3" w:rsidRDefault="00153F03">
          <w:pPr>
            <w:pStyle w:val="TOC1"/>
            <w:rPr>
              <w:rFonts w:asciiTheme="minorHAnsi" w:eastAsiaTheme="minorEastAsia" w:hAnsiTheme="minorHAnsi" w:cstheme="minorBidi"/>
              <w:color w:val="auto"/>
              <w:lang w:eastAsia="en-AU"/>
            </w:rPr>
          </w:pPr>
          <w:hyperlink w:anchor="_Toc415751184" w:history="1">
            <w:r w:rsidR="000B59F3" w:rsidRPr="00482A64">
              <w:rPr>
                <w:rStyle w:val="Hyperlink"/>
              </w:rPr>
              <w:t>References</w:t>
            </w:r>
            <w:r w:rsidR="000B59F3">
              <w:rPr>
                <w:webHidden/>
              </w:rPr>
              <w:tab/>
            </w:r>
            <w:r w:rsidR="000A7BBE">
              <w:rPr>
                <w:webHidden/>
              </w:rPr>
              <w:fldChar w:fldCharType="begin"/>
            </w:r>
            <w:r w:rsidR="000B59F3">
              <w:rPr>
                <w:webHidden/>
              </w:rPr>
              <w:instrText xml:space="preserve"> PAGEREF _Toc415751184 \h </w:instrText>
            </w:r>
            <w:r w:rsidR="000A7BBE">
              <w:rPr>
                <w:webHidden/>
              </w:rPr>
            </w:r>
            <w:r w:rsidR="000A7BBE">
              <w:rPr>
                <w:webHidden/>
              </w:rPr>
              <w:fldChar w:fldCharType="separate"/>
            </w:r>
            <w:r w:rsidR="00073D21">
              <w:rPr>
                <w:webHidden/>
              </w:rPr>
              <w:t>6</w:t>
            </w:r>
            <w:r w:rsidR="000A7BBE">
              <w:rPr>
                <w:webHidden/>
              </w:rPr>
              <w:fldChar w:fldCharType="end"/>
            </w:r>
          </w:hyperlink>
        </w:p>
        <w:p w:rsidR="00E53AF0" w:rsidRPr="00B92A2C" w:rsidRDefault="000A7BBE">
          <w:pPr>
            <w:pStyle w:val="TOC1"/>
          </w:pPr>
          <w:r>
            <w:fldChar w:fldCharType="end"/>
          </w:r>
        </w:p>
      </w:sdtContent>
    </w:sdt>
    <w:p w:rsidR="00B92A2C" w:rsidRPr="00770540" w:rsidRDefault="00B92A2C" w:rsidP="00C05EF5">
      <w:pPr>
        <w:pStyle w:val="TOCHeading"/>
      </w:pPr>
      <w:r w:rsidRPr="00C05EF5">
        <w:t>Tables</w:t>
      </w:r>
    </w:p>
    <w:p w:rsidR="000B59F3" w:rsidRDefault="000A7BBE">
      <w:pPr>
        <w:pStyle w:val="TableofFigures"/>
        <w:rPr>
          <w:rFonts w:asciiTheme="minorHAnsi" w:eastAsiaTheme="minorEastAsia" w:hAnsiTheme="minorHAnsi" w:cstheme="minorBidi"/>
          <w:color w:val="auto"/>
          <w:lang w:eastAsia="en-AU"/>
        </w:rPr>
      </w:pPr>
      <w:r w:rsidRPr="000B59F3">
        <w:rPr>
          <w:bCs/>
        </w:rPr>
        <w:fldChar w:fldCharType="begin"/>
      </w:r>
      <w:r w:rsidR="00826756" w:rsidRPr="000B59F3">
        <w:rPr>
          <w:bCs/>
        </w:rPr>
        <w:instrText xml:space="preserve"> TOC </w:instrText>
      </w:r>
      <w:r w:rsidR="00DF16D6" w:rsidRPr="000B59F3">
        <w:instrText>\h</w:instrText>
      </w:r>
      <w:r w:rsidR="00DF16D6" w:rsidRPr="000B59F3">
        <w:rPr>
          <w:bCs/>
        </w:rPr>
        <w:instrText xml:space="preserve"> </w:instrText>
      </w:r>
      <w:r w:rsidR="00826756" w:rsidRPr="000B59F3">
        <w:rPr>
          <w:bCs/>
        </w:rPr>
        <w:instrText>\z \c "Table"</w:instrText>
      </w:r>
      <w:r w:rsidRPr="000B59F3">
        <w:rPr>
          <w:bCs/>
        </w:rPr>
        <w:fldChar w:fldCharType="separate"/>
      </w:r>
      <w:hyperlink w:anchor="_Toc415751185" w:history="1">
        <w:r w:rsidR="000B59F3">
          <w:rPr>
            <w:rStyle w:val="Hyperlink"/>
          </w:rPr>
          <w:t xml:space="preserve">Table </w:t>
        </w:r>
        <w:r w:rsidR="000B59F3" w:rsidRPr="00B1701D">
          <w:rPr>
            <w:rStyle w:val="Hyperlink"/>
          </w:rPr>
          <w:t>1</w:t>
        </w:r>
        <w:r w:rsidR="000B59F3">
          <w:rPr>
            <w:rStyle w:val="Hyperlink"/>
          </w:rPr>
          <w:tab/>
        </w:r>
        <w:r w:rsidR="000B59F3">
          <w:rPr>
            <w:rStyle w:val="Hyperlink"/>
          </w:rPr>
          <w:tab/>
        </w:r>
        <w:r w:rsidR="000B59F3" w:rsidRPr="00B1701D">
          <w:rPr>
            <w:rStyle w:val="Hyperlink"/>
          </w:rPr>
          <w:t>Total plantation area, by jurisdiction,</w:t>
        </w:r>
        <w:r w:rsidR="000B59F3">
          <w:rPr>
            <w:rStyle w:val="Hyperlink"/>
          </w:rPr>
          <w:t> </w:t>
        </w:r>
        <w:r w:rsidR="000B59F3" w:rsidRPr="00B1701D">
          <w:rPr>
            <w:rStyle w:val="Hyperlink"/>
          </w:rPr>
          <w:t>2011</w:t>
        </w:r>
        <w:r w:rsidR="000B59F3">
          <w:rPr>
            <w:rStyle w:val="Hyperlink"/>
          </w:rPr>
          <w:noBreakHyphen/>
        </w:r>
        <w:r w:rsidR="000B59F3" w:rsidRPr="00B1701D">
          <w:rPr>
            <w:rStyle w:val="Hyperlink"/>
          </w:rPr>
          <w:t>12</w:t>
        </w:r>
        <w:r w:rsidR="000B59F3">
          <w:rPr>
            <w:webHidden/>
          </w:rPr>
          <w:tab/>
        </w:r>
        <w:r>
          <w:rPr>
            <w:webHidden/>
          </w:rPr>
          <w:fldChar w:fldCharType="begin"/>
        </w:r>
        <w:r w:rsidR="000B59F3">
          <w:rPr>
            <w:webHidden/>
          </w:rPr>
          <w:instrText xml:space="preserve"> PAGEREF _Toc415751185 \h </w:instrText>
        </w:r>
        <w:r>
          <w:rPr>
            <w:webHidden/>
          </w:rPr>
        </w:r>
        <w:r>
          <w:rPr>
            <w:webHidden/>
          </w:rPr>
          <w:fldChar w:fldCharType="separate"/>
        </w:r>
        <w:r w:rsidR="00073D21">
          <w:rPr>
            <w:webHidden/>
          </w:rPr>
          <w:t>6</w:t>
        </w:r>
        <w:r>
          <w:rPr>
            <w:webHidden/>
          </w:rPr>
          <w:fldChar w:fldCharType="end"/>
        </w:r>
      </w:hyperlink>
    </w:p>
    <w:p w:rsidR="000B59F3" w:rsidRDefault="00153F03">
      <w:pPr>
        <w:pStyle w:val="TableofFigures"/>
        <w:rPr>
          <w:rFonts w:asciiTheme="minorHAnsi" w:eastAsiaTheme="minorEastAsia" w:hAnsiTheme="minorHAnsi" w:cstheme="minorBidi"/>
          <w:color w:val="auto"/>
          <w:lang w:eastAsia="en-AU"/>
        </w:rPr>
      </w:pPr>
      <w:hyperlink w:anchor="_Toc415751186" w:history="1">
        <w:r w:rsidR="000B59F3">
          <w:rPr>
            <w:rStyle w:val="Hyperlink"/>
          </w:rPr>
          <w:t xml:space="preserve">Table </w:t>
        </w:r>
        <w:r w:rsidR="000B59F3" w:rsidRPr="00B1701D">
          <w:rPr>
            <w:rStyle w:val="Hyperlink"/>
          </w:rPr>
          <w:t>2</w:t>
        </w:r>
        <w:r w:rsidR="000B59F3">
          <w:rPr>
            <w:rStyle w:val="Hyperlink"/>
          </w:rPr>
          <w:tab/>
        </w:r>
        <w:r w:rsidR="000B59F3">
          <w:rPr>
            <w:rStyle w:val="Hyperlink"/>
          </w:rPr>
          <w:tab/>
        </w:r>
        <w:r w:rsidR="000B59F3" w:rsidRPr="00B1701D">
          <w:rPr>
            <w:rStyle w:val="Hyperlink"/>
          </w:rPr>
          <w:t>Assumptions used in business-as-usual scenario</w:t>
        </w:r>
        <w:r w:rsidR="000B59F3">
          <w:rPr>
            <w:webHidden/>
          </w:rPr>
          <w:tab/>
        </w:r>
        <w:r w:rsidR="000A7BBE">
          <w:rPr>
            <w:webHidden/>
          </w:rPr>
          <w:fldChar w:fldCharType="begin"/>
        </w:r>
        <w:r w:rsidR="000B59F3">
          <w:rPr>
            <w:webHidden/>
          </w:rPr>
          <w:instrText xml:space="preserve"> PAGEREF _Toc415751186 \h </w:instrText>
        </w:r>
        <w:r w:rsidR="000A7BBE">
          <w:rPr>
            <w:webHidden/>
          </w:rPr>
        </w:r>
        <w:r w:rsidR="000A7BBE">
          <w:rPr>
            <w:webHidden/>
          </w:rPr>
          <w:fldChar w:fldCharType="separate"/>
        </w:r>
        <w:r w:rsidR="00073D21">
          <w:rPr>
            <w:webHidden/>
          </w:rPr>
          <w:t>6</w:t>
        </w:r>
        <w:r w:rsidR="000A7BBE">
          <w:rPr>
            <w:webHidden/>
          </w:rPr>
          <w:fldChar w:fldCharType="end"/>
        </w:r>
      </w:hyperlink>
    </w:p>
    <w:p w:rsidR="000B59F3" w:rsidRDefault="000A7BBE" w:rsidP="00EA328B">
      <w:pPr>
        <w:pStyle w:val="TableofFigures"/>
        <w:ind w:left="0" w:firstLine="0"/>
      </w:pPr>
      <w:r w:rsidRPr="000B59F3">
        <w:rPr>
          <w:bCs/>
        </w:rPr>
        <w:fldChar w:fldCharType="end"/>
      </w:r>
      <w:r w:rsidRPr="000B59F3">
        <w:rPr>
          <w:bCs/>
        </w:rPr>
        <w:fldChar w:fldCharType="begin"/>
      </w:r>
      <w:r w:rsidR="003D147F" w:rsidRPr="000B59F3">
        <w:rPr>
          <w:bCs/>
        </w:rPr>
        <w:instrText xml:space="preserve"> </w:instrText>
      </w:r>
      <w:r w:rsidR="00826756" w:rsidRPr="000B59F3">
        <w:rPr>
          <w:bCs/>
        </w:rPr>
        <w:instrText xml:space="preserve">TOC </w:instrText>
      </w:r>
      <w:r w:rsidR="00DF16D6" w:rsidRPr="000B59F3">
        <w:instrText>\h</w:instrText>
      </w:r>
      <w:r w:rsidR="00DF16D6" w:rsidRPr="000B59F3">
        <w:rPr>
          <w:bCs/>
        </w:rPr>
        <w:instrText xml:space="preserve"> </w:instrText>
      </w:r>
      <w:r w:rsidR="00826756" w:rsidRPr="000B59F3">
        <w:rPr>
          <w:bCs/>
        </w:rPr>
        <w:instrText>\z \c "</w:instrText>
      </w:r>
      <w:r w:rsidR="003D147F" w:rsidRPr="000B59F3">
        <w:rPr>
          <w:bCs/>
        </w:rPr>
        <w:instrText>Table</w:instrText>
      </w:r>
      <w:r w:rsidR="00D67ADE" w:rsidRPr="000B59F3">
        <w:rPr>
          <w:bCs/>
        </w:rPr>
        <w:instrText>A</w:instrText>
      </w:r>
      <w:r w:rsidR="00826756" w:rsidRPr="000B59F3">
        <w:rPr>
          <w:bCs/>
        </w:rPr>
        <w:instrText>"</w:instrText>
      </w:r>
      <w:r w:rsidRPr="000B59F3">
        <w:rPr>
          <w:bCs/>
        </w:rPr>
        <w:fldChar w:fldCharType="separate"/>
      </w:r>
    </w:p>
    <w:p w:rsidR="000B59F3" w:rsidRDefault="00153F03">
      <w:pPr>
        <w:pStyle w:val="TableofFigures"/>
        <w:rPr>
          <w:rFonts w:asciiTheme="minorHAnsi" w:eastAsiaTheme="minorEastAsia" w:hAnsiTheme="minorHAnsi" w:cstheme="minorBidi"/>
          <w:color w:val="auto"/>
          <w:lang w:eastAsia="en-AU"/>
        </w:rPr>
      </w:pPr>
      <w:hyperlink w:anchor="_Toc415751187" w:history="1">
        <w:r w:rsidR="000B59F3">
          <w:rPr>
            <w:rStyle w:val="Hyperlink"/>
          </w:rPr>
          <w:t xml:space="preserve">Table </w:t>
        </w:r>
        <w:r w:rsidR="000B59F3" w:rsidRPr="00F24E2D">
          <w:rPr>
            <w:rStyle w:val="Hyperlink"/>
          </w:rPr>
          <w:t>A1</w:t>
        </w:r>
        <w:r w:rsidR="000B59F3">
          <w:rPr>
            <w:rStyle w:val="Hyperlink"/>
          </w:rPr>
          <w:tab/>
        </w:r>
        <w:r w:rsidR="000B59F3">
          <w:rPr>
            <w:rStyle w:val="Hyperlink"/>
          </w:rPr>
          <w:tab/>
        </w:r>
        <w:r w:rsidR="000B59F3" w:rsidRPr="00F24E2D">
          <w:rPr>
            <w:rStyle w:val="Hyperlink"/>
          </w:rPr>
          <w:t>New plantation areas, 2000, 2005, 2011 and 2012</w:t>
        </w:r>
        <w:r w:rsidR="000B59F3">
          <w:rPr>
            <w:webHidden/>
          </w:rPr>
          <w:tab/>
        </w:r>
        <w:r w:rsidR="000A7BBE">
          <w:rPr>
            <w:webHidden/>
          </w:rPr>
          <w:fldChar w:fldCharType="begin"/>
        </w:r>
        <w:r w:rsidR="000B59F3">
          <w:rPr>
            <w:webHidden/>
          </w:rPr>
          <w:instrText xml:space="preserve"> PAGEREF _Toc415751187 \h </w:instrText>
        </w:r>
        <w:r w:rsidR="000A7BBE">
          <w:rPr>
            <w:webHidden/>
          </w:rPr>
        </w:r>
        <w:r w:rsidR="000A7BBE">
          <w:rPr>
            <w:webHidden/>
          </w:rPr>
          <w:fldChar w:fldCharType="separate"/>
        </w:r>
        <w:r w:rsidR="00073D21">
          <w:rPr>
            <w:webHidden/>
          </w:rPr>
          <w:t>6</w:t>
        </w:r>
        <w:r w:rsidR="000A7BBE">
          <w:rPr>
            <w:webHidden/>
          </w:rPr>
          <w:fldChar w:fldCharType="end"/>
        </w:r>
      </w:hyperlink>
    </w:p>
    <w:p w:rsidR="000B59F3" w:rsidRDefault="00153F03">
      <w:pPr>
        <w:pStyle w:val="TableofFigures"/>
        <w:rPr>
          <w:rFonts w:asciiTheme="minorHAnsi" w:eastAsiaTheme="minorEastAsia" w:hAnsiTheme="minorHAnsi" w:cstheme="minorBidi"/>
          <w:color w:val="auto"/>
          <w:lang w:eastAsia="en-AU"/>
        </w:rPr>
      </w:pPr>
      <w:hyperlink w:anchor="_Toc415751188" w:history="1">
        <w:r w:rsidR="000B59F3">
          <w:rPr>
            <w:rStyle w:val="Hyperlink"/>
          </w:rPr>
          <w:t xml:space="preserve">Table </w:t>
        </w:r>
        <w:r w:rsidR="000B59F3" w:rsidRPr="00F24E2D">
          <w:rPr>
            <w:rStyle w:val="Hyperlink"/>
          </w:rPr>
          <w:t>A2</w:t>
        </w:r>
        <w:r w:rsidR="000B59F3">
          <w:rPr>
            <w:rStyle w:val="Hyperlink"/>
          </w:rPr>
          <w:tab/>
        </w:r>
        <w:r w:rsidR="000B59F3">
          <w:rPr>
            <w:rStyle w:val="Hyperlink"/>
          </w:rPr>
          <w:tab/>
        </w:r>
        <w:r w:rsidR="000B59F3" w:rsidRPr="00F24E2D">
          <w:rPr>
            <w:rStyle w:val="Hyperlink"/>
          </w:rPr>
          <w:t>Notes on southern bluefin tuna recreational fishing activities and monitoring programmes based on presentations and discussions at the 2011 technical workshop</w:t>
        </w:r>
        <w:r w:rsidR="000B59F3">
          <w:rPr>
            <w:webHidden/>
          </w:rPr>
          <w:tab/>
        </w:r>
        <w:r w:rsidR="000A7BBE">
          <w:rPr>
            <w:webHidden/>
          </w:rPr>
          <w:fldChar w:fldCharType="begin"/>
        </w:r>
        <w:r w:rsidR="000B59F3">
          <w:rPr>
            <w:webHidden/>
          </w:rPr>
          <w:instrText xml:space="preserve"> PAGEREF _Toc415751188 \h </w:instrText>
        </w:r>
        <w:r w:rsidR="000A7BBE">
          <w:rPr>
            <w:webHidden/>
          </w:rPr>
        </w:r>
        <w:r w:rsidR="000A7BBE">
          <w:rPr>
            <w:webHidden/>
          </w:rPr>
          <w:fldChar w:fldCharType="separate"/>
        </w:r>
        <w:r w:rsidR="00073D21">
          <w:rPr>
            <w:webHidden/>
          </w:rPr>
          <w:t>6</w:t>
        </w:r>
        <w:r w:rsidR="000A7BBE">
          <w:rPr>
            <w:webHidden/>
          </w:rPr>
          <w:fldChar w:fldCharType="end"/>
        </w:r>
      </w:hyperlink>
    </w:p>
    <w:p w:rsidR="00281EA4" w:rsidRDefault="000A7BBE" w:rsidP="00C83E06">
      <w:pPr>
        <w:pStyle w:val="TableofFigures"/>
      </w:pPr>
      <w:r w:rsidRPr="000B59F3">
        <w:rPr>
          <w:bCs/>
        </w:rPr>
        <w:fldChar w:fldCharType="end"/>
      </w:r>
    </w:p>
    <w:p w:rsidR="00F41278" w:rsidRPr="00770540" w:rsidRDefault="00F41278">
      <w:pPr>
        <w:pStyle w:val="TOCHeading"/>
      </w:pPr>
      <w:r w:rsidRPr="00770540">
        <w:t>Figures</w:t>
      </w:r>
    </w:p>
    <w:p w:rsidR="000B59F3" w:rsidRDefault="000A7BBE">
      <w:pPr>
        <w:pStyle w:val="TableofFigures"/>
        <w:rPr>
          <w:rFonts w:asciiTheme="minorHAnsi" w:eastAsiaTheme="minorEastAsia" w:hAnsiTheme="minorHAnsi" w:cstheme="minorBidi"/>
          <w:color w:val="auto"/>
          <w:lang w:eastAsia="en-AU"/>
        </w:rPr>
      </w:pPr>
      <w:r w:rsidRPr="000B59F3">
        <w:rPr>
          <w:bCs/>
        </w:rPr>
        <w:fldChar w:fldCharType="begin"/>
      </w:r>
      <w:r w:rsidR="000A6EC2" w:rsidRPr="000B59F3">
        <w:rPr>
          <w:bCs/>
        </w:rPr>
        <w:instrText xml:space="preserve"> TOC </w:instrText>
      </w:r>
      <w:r w:rsidR="000A6EC2" w:rsidRPr="000B59F3">
        <w:instrText>\h</w:instrText>
      </w:r>
      <w:r w:rsidR="000A6EC2" w:rsidRPr="000B59F3">
        <w:rPr>
          <w:bCs/>
        </w:rPr>
        <w:instrText xml:space="preserve"> \z \c "Figure"</w:instrText>
      </w:r>
      <w:r w:rsidRPr="000B59F3">
        <w:rPr>
          <w:bCs/>
        </w:rPr>
        <w:fldChar w:fldCharType="separate"/>
      </w:r>
      <w:hyperlink w:anchor="_Toc415751189" w:history="1">
        <w:r w:rsidR="000B59F3">
          <w:rPr>
            <w:rStyle w:val="Hyperlink"/>
          </w:rPr>
          <w:t xml:space="preserve">Figure </w:t>
        </w:r>
        <w:r w:rsidR="000B59F3" w:rsidRPr="00155024">
          <w:rPr>
            <w:rStyle w:val="Hyperlink"/>
          </w:rPr>
          <w:t>1</w:t>
        </w:r>
        <w:r w:rsidR="000B59F3">
          <w:rPr>
            <w:rStyle w:val="Hyperlink"/>
          </w:rPr>
          <w:tab/>
        </w:r>
        <w:r w:rsidR="000B59F3">
          <w:rPr>
            <w:rStyle w:val="Hyperlink"/>
          </w:rPr>
          <w:tab/>
        </w:r>
        <w:r w:rsidR="000B59F3" w:rsidRPr="00155024">
          <w:rPr>
            <w:rStyle w:val="Hyperlink"/>
          </w:rPr>
          <w:t>Hemp seed processing and products</w:t>
        </w:r>
        <w:r w:rsidR="000B59F3">
          <w:rPr>
            <w:webHidden/>
          </w:rPr>
          <w:tab/>
        </w:r>
        <w:r>
          <w:rPr>
            <w:webHidden/>
          </w:rPr>
          <w:fldChar w:fldCharType="begin"/>
        </w:r>
        <w:r w:rsidR="000B59F3">
          <w:rPr>
            <w:webHidden/>
          </w:rPr>
          <w:instrText xml:space="preserve"> PAGEREF _Toc415751189 \h </w:instrText>
        </w:r>
        <w:r>
          <w:rPr>
            <w:webHidden/>
          </w:rPr>
        </w:r>
        <w:r>
          <w:rPr>
            <w:webHidden/>
          </w:rPr>
          <w:fldChar w:fldCharType="separate"/>
        </w:r>
        <w:r w:rsidR="00073D21">
          <w:rPr>
            <w:webHidden/>
          </w:rPr>
          <w:t>6</w:t>
        </w:r>
        <w:r>
          <w:rPr>
            <w:webHidden/>
          </w:rPr>
          <w:fldChar w:fldCharType="end"/>
        </w:r>
      </w:hyperlink>
    </w:p>
    <w:p w:rsidR="000B59F3" w:rsidRDefault="00153F03">
      <w:pPr>
        <w:pStyle w:val="TableofFigures"/>
        <w:rPr>
          <w:rFonts w:asciiTheme="minorHAnsi" w:eastAsiaTheme="minorEastAsia" w:hAnsiTheme="minorHAnsi" w:cstheme="minorBidi"/>
          <w:color w:val="auto"/>
          <w:lang w:eastAsia="en-AU"/>
        </w:rPr>
      </w:pPr>
      <w:hyperlink w:anchor="_Toc415751190" w:history="1">
        <w:r w:rsidR="000B59F3">
          <w:rPr>
            <w:rStyle w:val="Hyperlink"/>
          </w:rPr>
          <w:t xml:space="preserve">Figure </w:t>
        </w:r>
        <w:r w:rsidR="000B59F3" w:rsidRPr="00155024">
          <w:rPr>
            <w:rStyle w:val="Hyperlink"/>
          </w:rPr>
          <w:t>2</w:t>
        </w:r>
        <w:r w:rsidR="000B59F3">
          <w:rPr>
            <w:rStyle w:val="Hyperlink"/>
          </w:rPr>
          <w:tab/>
        </w:r>
        <w:r w:rsidR="000B59F3">
          <w:rPr>
            <w:rStyle w:val="Hyperlink"/>
          </w:rPr>
          <w:tab/>
        </w:r>
        <w:r w:rsidR="000B59F3" w:rsidRPr="00155024">
          <w:rPr>
            <w:rStyle w:val="Hyperlink"/>
          </w:rPr>
          <w:t>Index of price received, by vegetable crop,</w:t>
        </w:r>
        <w:r w:rsidR="000B59F3">
          <w:rPr>
            <w:rStyle w:val="Hyperlink"/>
          </w:rPr>
          <w:t> </w:t>
        </w:r>
        <w:r w:rsidR="000B59F3" w:rsidRPr="00155024">
          <w:rPr>
            <w:rStyle w:val="Hyperlink"/>
          </w:rPr>
          <w:t>2005</w:t>
        </w:r>
        <w:r w:rsidR="000B59F3">
          <w:rPr>
            <w:rStyle w:val="Hyperlink"/>
          </w:rPr>
          <w:noBreakHyphen/>
        </w:r>
        <w:r w:rsidR="000B59F3" w:rsidRPr="00155024">
          <w:rPr>
            <w:rStyle w:val="Hyperlink"/>
          </w:rPr>
          <w:t>06 to</w:t>
        </w:r>
        <w:r w:rsidR="000B59F3">
          <w:rPr>
            <w:rStyle w:val="Hyperlink"/>
          </w:rPr>
          <w:t> </w:t>
        </w:r>
        <w:r w:rsidR="000B59F3" w:rsidRPr="00155024">
          <w:rPr>
            <w:rStyle w:val="Hyperlink"/>
          </w:rPr>
          <w:t>2011</w:t>
        </w:r>
        <w:r w:rsidR="000B59F3">
          <w:rPr>
            <w:rStyle w:val="Hyperlink"/>
          </w:rPr>
          <w:noBreakHyphen/>
        </w:r>
        <w:r w:rsidR="000B59F3" w:rsidRPr="00155024">
          <w:rPr>
            <w:rStyle w:val="Hyperlink"/>
          </w:rPr>
          <w:t>12</w:t>
        </w:r>
        <w:r w:rsidR="000B59F3">
          <w:rPr>
            <w:webHidden/>
          </w:rPr>
          <w:tab/>
        </w:r>
        <w:r w:rsidR="000A7BBE">
          <w:rPr>
            <w:webHidden/>
          </w:rPr>
          <w:fldChar w:fldCharType="begin"/>
        </w:r>
        <w:r w:rsidR="000B59F3">
          <w:rPr>
            <w:webHidden/>
          </w:rPr>
          <w:instrText xml:space="preserve"> PAGEREF _Toc415751190 \h </w:instrText>
        </w:r>
        <w:r w:rsidR="000A7BBE">
          <w:rPr>
            <w:webHidden/>
          </w:rPr>
        </w:r>
        <w:r w:rsidR="000A7BBE">
          <w:rPr>
            <w:webHidden/>
          </w:rPr>
          <w:fldChar w:fldCharType="separate"/>
        </w:r>
        <w:r w:rsidR="00073D21">
          <w:rPr>
            <w:webHidden/>
          </w:rPr>
          <w:t>6</w:t>
        </w:r>
        <w:r w:rsidR="000A7BBE">
          <w:rPr>
            <w:webHidden/>
          </w:rPr>
          <w:fldChar w:fldCharType="end"/>
        </w:r>
      </w:hyperlink>
    </w:p>
    <w:p w:rsidR="000A6EC2" w:rsidRPr="00EA328B" w:rsidRDefault="000A7BBE" w:rsidP="00EA328B">
      <w:pPr>
        <w:pStyle w:val="TableofFigures"/>
      </w:pPr>
      <w:r w:rsidRPr="000B59F3">
        <w:rPr>
          <w:bCs/>
        </w:rPr>
        <w:fldChar w:fldCharType="end"/>
      </w:r>
    </w:p>
    <w:p w:rsidR="00C07D25" w:rsidRPr="001C1747" w:rsidRDefault="00C07D25">
      <w:pPr>
        <w:pStyle w:val="TOCHeading"/>
      </w:pPr>
      <w:r w:rsidRPr="001C1747">
        <w:t>Maps</w:t>
      </w:r>
    </w:p>
    <w:p w:rsidR="000B59F3" w:rsidRDefault="000A7BBE">
      <w:pPr>
        <w:pStyle w:val="TableofFigures"/>
        <w:rPr>
          <w:rFonts w:asciiTheme="minorHAnsi" w:eastAsiaTheme="minorEastAsia" w:hAnsiTheme="minorHAnsi" w:cstheme="minorBidi"/>
          <w:color w:val="auto"/>
          <w:lang w:eastAsia="en-AU"/>
        </w:rPr>
      </w:pPr>
      <w:r w:rsidRPr="000B59F3">
        <w:rPr>
          <w:bCs/>
        </w:rPr>
        <w:fldChar w:fldCharType="begin"/>
      </w:r>
      <w:r w:rsidR="000A6EC2" w:rsidRPr="000B59F3">
        <w:rPr>
          <w:bCs/>
        </w:rPr>
        <w:instrText xml:space="preserve"> TOC </w:instrText>
      </w:r>
      <w:r w:rsidR="000A6EC2" w:rsidRPr="000B59F3">
        <w:instrText>\h</w:instrText>
      </w:r>
      <w:r w:rsidR="000A6EC2" w:rsidRPr="000B59F3">
        <w:rPr>
          <w:bCs/>
        </w:rPr>
        <w:instrText xml:space="preserve"> \z \c "Map"</w:instrText>
      </w:r>
      <w:r w:rsidRPr="000B59F3">
        <w:rPr>
          <w:bCs/>
        </w:rPr>
        <w:fldChar w:fldCharType="separate"/>
      </w:r>
      <w:hyperlink w:anchor="_Toc415751191" w:history="1">
        <w:r w:rsidR="000B59F3">
          <w:rPr>
            <w:rStyle w:val="Hyperlink"/>
          </w:rPr>
          <w:t xml:space="preserve">Map </w:t>
        </w:r>
        <w:r w:rsidR="000B59F3" w:rsidRPr="001B736C">
          <w:rPr>
            <w:rStyle w:val="Hyperlink"/>
          </w:rPr>
          <w:t>1</w:t>
        </w:r>
        <w:r w:rsidR="000B59F3">
          <w:rPr>
            <w:rStyle w:val="Hyperlink"/>
          </w:rPr>
          <w:tab/>
        </w:r>
        <w:r w:rsidR="000B59F3">
          <w:rPr>
            <w:rStyle w:val="Hyperlink"/>
          </w:rPr>
          <w:tab/>
        </w:r>
        <w:r w:rsidR="000B59F3" w:rsidRPr="001B736C">
          <w:rPr>
            <w:rStyle w:val="Hyperlink"/>
          </w:rPr>
          <w:t>National Plantation Inventory regions</w:t>
        </w:r>
        <w:r w:rsidR="000B59F3">
          <w:rPr>
            <w:webHidden/>
          </w:rPr>
          <w:tab/>
        </w:r>
        <w:r>
          <w:rPr>
            <w:webHidden/>
          </w:rPr>
          <w:fldChar w:fldCharType="begin"/>
        </w:r>
        <w:r w:rsidR="000B59F3">
          <w:rPr>
            <w:webHidden/>
          </w:rPr>
          <w:instrText xml:space="preserve"> PAGEREF _Toc415751191 \h </w:instrText>
        </w:r>
        <w:r>
          <w:rPr>
            <w:webHidden/>
          </w:rPr>
        </w:r>
        <w:r>
          <w:rPr>
            <w:webHidden/>
          </w:rPr>
          <w:fldChar w:fldCharType="separate"/>
        </w:r>
        <w:r w:rsidR="00073D21">
          <w:rPr>
            <w:webHidden/>
          </w:rPr>
          <w:t>6</w:t>
        </w:r>
        <w:r>
          <w:rPr>
            <w:webHidden/>
          </w:rPr>
          <w:fldChar w:fldCharType="end"/>
        </w:r>
      </w:hyperlink>
    </w:p>
    <w:p w:rsidR="00EA328B" w:rsidRDefault="000A7BBE" w:rsidP="00EA328B">
      <w:pPr>
        <w:pStyle w:val="TableofFigures"/>
        <w:rPr>
          <w:bCs/>
        </w:rPr>
      </w:pPr>
      <w:r w:rsidRPr="000B59F3">
        <w:rPr>
          <w:bCs/>
        </w:rPr>
        <w:fldChar w:fldCharType="end"/>
      </w:r>
    </w:p>
    <w:p w:rsidR="00EA328B" w:rsidRDefault="00EA328B" w:rsidP="00EA328B">
      <w:pPr>
        <w:rPr>
          <w:noProof/>
        </w:rPr>
      </w:pPr>
      <w:r>
        <w:br w:type="page"/>
      </w:r>
    </w:p>
    <w:p w:rsidR="00123E78" w:rsidRPr="001C1747" w:rsidRDefault="00123E78">
      <w:pPr>
        <w:pStyle w:val="TOCHeading"/>
      </w:pPr>
      <w:r w:rsidRPr="001C1747">
        <w:lastRenderedPageBreak/>
        <w:t>Boxes</w:t>
      </w:r>
    </w:p>
    <w:p w:rsidR="000B59F3" w:rsidRDefault="000A7BBE">
      <w:pPr>
        <w:pStyle w:val="TableofFigures"/>
        <w:rPr>
          <w:rFonts w:asciiTheme="minorHAnsi" w:eastAsiaTheme="minorEastAsia" w:hAnsiTheme="minorHAnsi" w:cstheme="minorBidi"/>
          <w:color w:val="auto"/>
          <w:lang w:eastAsia="en-AU"/>
        </w:rPr>
      </w:pPr>
      <w:r w:rsidRPr="000B59F3">
        <w:rPr>
          <w:bCs/>
        </w:rPr>
        <w:fldChar w:fldCharType="begin"/>
      </w:r>
      <w:r w:rsidR="000A6EC2" w:rsidRPr="000B59F3">
        <w:rPr>
          <w:bCs/>
        </w:rPr>
        <w:instrText xml:space="preserve"> TOC </w:instrText>
      </w:r>
      <w:r w:rsidR="000A6EC2" w:rsidRPr="000B59F3">
        <w:instrText>\h</w:instrText>
      </w:r>
      <w:r w:rsidR="000A6EC2" w:rsidRPr="000B59F3">
        <w:rPr>
          <w:bCs/>
        </w:rPr>
        <w:instrText xml:space="preserve"> \z \c "Box"</w:instrText>
      </w:r>
      <w:r w:rsidRPr="000B59F3">
        <w:rPr>
          <w:bCs/>
        </w:rPr>
        <w:fldChar w:fldCharType="separate"/>
      </w:r>
      <w:hyperlink w:anchor="_Toc415751192" w:history="1">
        <w:r w:rsidR="000B59F3">
          <w:rPr>
            <w:rStyle w:val="Hyperlink"/>
          </w:rPr>
          <w:t xml:space="preserve">Box </w:t>
        </w:r>
        <w:r w:rsidR="000B59F3" w:rsidRPr="004C5914">
          <w:rPr>
            <w:rStyle w:val="Hyperlink"/>
          </w:rPr>
          <w:t>1</w:t>
        </w:r>
        <w:r w:rsidR="000B59F3">
          <w:rPr>
            <w:rStyle w:val="Hyperlink"/>
          </w:rPr>
          <w:tab/>
        </w:r>
        <w:r w:rsidR="000B59F3">
          <w:rPr>
            <w:rStyle w:val="Hyperlink"/>
          </w:rPr>
          <w:tab/>
        </w:r>
        <w:r w:rsidR="000B59F3" w:rsidRPr="004C5914">
          <w:rPr>
            <w:rStyle w:val="Hyperlink"/>
          </w:rPr>
          <w:t>Case study: Importance of flexibility in programmes</w:t>
        </w:r>
        <w:r w:rsidR="000B59F3">
          <w:rPr>
            <w:webHidden/>
          </w:rPr>
          <w:tab/>
        </w:r>
        <w:r>
          <w:rPr>
            <w:webHidden/>
          </w:rPr>
          <w:fldChar w:fldCharType="begin"/>
        </w:r>
        <w:r w:rsidR="000B59F3">
          <w:rPr>
            <w:webHidden/>
          </w:rPr>
          <w:instrText xml:space="preserve"> PAGEREF _Toc415751192 \h </w:instrText>
        </w:r>
        <w:r>
          <w:rPr>
            <w:webHidden/>
          </w:rPr>
        </w:r>
        <w:r>
          <w:rPr>
            <w:webHidden/>
          </w:rPr>
          <w:fldChar w:fldCharType="separate"/>
        </w:r>
        <w:r w:rsidR="00073D21">
          <w:rPr>
            <w:webHidden/>
          </w:rPr>
          <w:t>6</w:t>
        </w:r>
        <w:r>
          <w:rPr>
            <w:webHidden/>
          </w:rPr>
          <w:fldChar w:fldCharType="end"/>
        </w:r>
      </w:hyperlink>
    </w:p>
    <w:p w:rsidR="00EA328B" w:rsidRDefault="000A7BBE" w:rsidP="00EA328B">
      <w:pPr>
        <w:pStyle w:val="TableofFigures"/>
        <w:rPr>
          <w:b/>
        </w:rPr>
      </w:pPr>
      <w:r w:rsidRPr="000B59F3">
        <w:rPr>
          <w:bCs/>
        </w:rPr>
        <w:fldChar w:fldCharType="end"/>
      </w:r>
    </w:p>
    <w:p w:rsidR="00850963" w:rsidRDefault="00850963" w:rsidP="00C83E06">
      <w:pPr>
        <w:pStyle w:val="TableofFigures"/>
        <w:rPr>
          <w:b/>
        </w:rPr>
        <w:sectPr w:rsidR="00850963" w:rsidSect="003366E6">
          <w:pgSz w:w="11906" w:h="16838"/>
          <w:pgMar w:top="1247" w:right="1418" w:bottom="1418" w:left="1418" w:header="510" w:footer="709" w:gutter="0"/>
          <w:cols w:space="708"/>
          <w:docGrid w:linePitch="360"/>
        </w:sectPr>
      </w:pPr>
    </w:p>
    <w:p w:rsidR="00123E78" w:rsidRDefault="00123E78" w:rsidP="00123E78">
      <w:pPr>
        <w:pStyle w:val="Heading1unnumberedchapter"/>
      </w:pPr>
      <w:bookmarkStart w:id="4" w:name="_Toc298849274"/>
      <w:bookmarkStart w:id="5" w:name="_Toc415751178"/>
      <w:r w:rsidRPr="00140A48">
        <w:lastRenderedPageBreak/>
        <w:t>Summary</w:t>
      </w:r>
      <w:bookmarkEnd w:id="4"/>
      <w:bookmarkEnd w:id="5"/>
    </w:p>
    <w:p w:rsidR="00DB2ED2" w:rsidRDefault="00DB2ED2" w:rsidP="005B4842">
      <w:pPr>
        <w:pStyle w:val="BodyText1"/>
      </w:pPr>
      <w:r>
        <w:t>Native vegetation management on Australia’s agricultural land is important for landscape condition, biodiversity and soil health and for providing native pastures. It can also contribute to climate change mitigation and adaptation. Understanding the links between native vegetation and management of agricultural land is critical to maintaining delivery of a mix of goods and services, particularly those related to environmental values.</w:t>
      </w:r>
    </w:p>
    <w:p w:rsidR="00DB2ED2" w:rsidRDefault="00DB2ED2" w:rsidP="005B4842">
      <w:pPr>
        <w:pStyle w:val="BodyText1"/>
      </w:pPr>
      <w:r>
        <w:t>Historically, the Australian community has benefitted from the increased extent and improved efficiency of agricultural production on farmland that was made possible by clearing native vegetation. As the extent of native vegetation has fallen its role in providing a range of environmental benefits has been increasingly recognised and during the latter part of the twentieth century society began to question whether broadscale clearing should continue.</w:t>
      </w:r>
    </w:p>
    <w:p w:rsidR="00DB2ED2" w:rsidRDefault="00DB2ED2" w:rsidP="005B4842">
      <w:pPr>
        <w:pStyle w:val="BodyText1"/>
      </w:pPr>
      <w:r>
        <w:t>All Australian governments have taken steps to limit further decline in the extent and condition of native vegetation; for example, state and territory based regulations restrict clearing of native vegetation. In addition, governments have invested in incentive and stewardship program</w:t>
      </w:r>
      <w:r w:rsidR="00EA328B">
        <w:t>me</w:t>
      </w:r>
      <w:r>
        <w:t>s, extension support and research and development to help and reward farmers who invest in native vegetation management, and enhance the public good benefits of native vegetation on agricultural land. A range of private sector initiatives has emerged and farmers are taking private action to enhance the extent and condition of native vegetation and the ecosystem services it provides.</w:t>
      </w:r>
    </w:p>
    <w:p w:rsidR="00DB2ED2" w:rsidRDefault="00DB2ED2" w:rsidP="005B4842">
      <w:pPr>
        <w:pStyle w:val="BodyText1"/>
      </w:pPr>
      <w:bookmarkStart w:id="6" w:name="OLE_LINK30"/>
      <w:bookmarkStart w:id="7" w:name="OLE_LINK24"/>
      <w:r>
        <w:t>This report focuses on the role of regulation and incentive program</w:t>
      </w:r>
      <w:r w:rsidR="00EA328B">
        <w:t>me</w:t>
      </w:r>
      <w:r>
        <w:t>s, together with extension services and private action, and their relevance to native vegetation management on agricultural land. It is supported by a national survey of 985 farmers designed specifically to address farmer attitudes to and involvement in native vegetation management. It also drew lessons from the literature and the experience of Australian and state and territory government agencies, natural resource management groups and landholders across Australia.</w:t>
      </w:r>
    </w:p>
    <w:bookmarkEnd w:id="6"/>
    <w:bookmarkEnd w:id="7"/>
    <w:p w:rsidR="00DB2ED2" w:rsidRDefault="00DB2ED2" w:rsidP="00250A35">
      <w:pPr>
        <w:pStyle w:val="Heading3"/>
      </w:pPr>
      <w:r>
        <w:t xml:space="preserve">Key </w:t>
      </w:r>
      <w:r w:rsidRPr="00250A35">
        <w:t>findings</w:t>
      </w:r>
    </w:p>
    <w:p w:rsidR="00DB2ED2" w:rsidRPr="00567A81" w:rsidRDefault="00DB2ED2" w:rsidP="00567A81">
      <w:pPr>
        <w:pStyle w:val="Bulletlist-level1"/>
      </w:pPr>
      <w:r w:rsidRPr="00567A81">
        <w:t>The agricultural sector is playing an important role in managing native vegetation for environmental and production outcomes.</w:t>
      </w:r>
    </w:p>
    <w:p w:rsidR="00DB2ED2" w:rsidRPr="00B43C5E" w:rsidRDefault="00DB2ED2" w:rsidP="00567A81">
      <w:pPr>
        <w:pStyle w:val="Bulletlist-level1"/>
      </w:pPr>
      <w:r>
        <w:t xml:space="preserve">Most farmers are managing native vegetation for both environmental and production </w:t>
      </w:r>
      <w:r w:rsidRPr="00D3146D">
        <w:t>outcomes</w:t>
      </w:r>
      <w:r w:rsidRPr="00B43C5E">
        <w:t xml:space="preserve"> and many intend to do more to improve the condition and extent of native vegetation.</w:t>
      </w:r>
    </w:p>
    <w:p w:rsidR="00DB2ED2" w:rsidRDefault="00DB2ED2" w:rsidP="00567A81">
      <w:pPr>
        <w:pStyle w:val="Bulletlist-level1"/>
      </w:pPr>
      <w:r w:rsidRPr="00B43C5E">
        <w:t>From a national perspective, intentions to clear formed a relatively small part of farmers’ intentions for</w:t>
      </w:r>
      <w:r>
        <w:t xml:space="preserve"> native vegetation management, but there are regional differences.</w:t>
      </w:r>
    </w:p>
    <w:p w:rsidR="00DB2ED2" w:rsidRDefault="00DB2ED2" w:rsidP="00567A81">
      <w:pPr>
        <w:pStyle w:val="Bulletlist-level1"/>
      </w:pPr>
      <w:r>
        <w:t xml:space="preserve">While most farmers who </w:t>
      </w:r>
      <w:r w:rsidRPr="005B4842">
        <w:t>applied</w:t>
      </w:r>
      <w:r>
        <w:t xml:space="preserve"> for government funding to manage native vegetation were </w:t>
      </w:r>
      <w:r w:rsidRPr="00D3146D">
        <w:t>successful</w:t>
      </w:r>
      <w:r>
        <w:t>, improvements could be made so farmers can more easily find out about and apply for funding program</w:t>
      </w:r>
      <w:r w:rsidR="00EA328B">
        <w:t>me</w:t>
      </w:r>
      <w:r>
        <w:t>s.</w:t>
      </w:r>
    </w:p>
    <w:p w:rsidR="00DB2ED2" w:rsidRDefault="00DB2ED2" w:rsidP="00567A81">
      <w:pPr>
        <w:pStyle w:val="Bulletlist-level1"/>
      </w:pPr>
      <w:r>
        <w:t>Improving the transparency of purpose, operation and outcomes of government program</w:t>
      </w:r>
      <w:r w:rsidR="00EA328B">
        <w:t>me</w:t>
      </w:r>
      <w:r>
        <w:t>s and regulations would improve their effectiveness in delivering environmental outcomes through greater farmer engagement.</w:t>
      </w:r>
    </w:p>
    <w:p w:rsidR="00DB2ED2" w:rsidRDefault="00DB2ED2" w:rsidP="00567A81">
      <w:pPr>
        <w:pStyle w:val="Bulletlist-level1"/>
      </w:pPr>
      <w:r>
        <w:t>Improving available market information and developing markets for environmental services may provide new opportunities to increase environmental outcomes and benefits to farmers.</w:t>
      </w:r>
    </w:p>
    <w:p w:rsidR="00DB2ED2" w:rsidRDefault="00DB2ED2" w:rsidP="00567A81">
      <w:pPr>
        <w:pStyle w:val="BodyText1"/>
      </w:pPr>
      <w:r>
        <w:lastRenderedPageBreak/>
        <w:t>There are opportunities to build on existing program</w:t>
      </w:r>
      <w:r w:rsidR="00EA328B">
        <w:t>me</w:t>
      </w:r>
      <w:r>
        <w:t>s to improve production and conservation outcomes on farmland. Farmers are uncertain about what the various levels of government want to achieve through the mix of regulation and incentive program</w:t>
      </w:r>
      <w:r w:rsidR="00EA328B">
        <w:t>me</w:t>
      </w:r>
      <w:r>
        <w:t xml:space="preserve">s. A challenge for natural resource managers, including farmers, is the changing nature of funding sources and objectives for </w:t>
      </w:r>
      <w:r w:rsidRPr="004A0AF0">
        <w:t>program</w:t>
      </w:r>
      <w:r w:rsidR="00EA328B">
        <w:t>me</w:t>
      </w:r>
      <w:r w:rsidRPr="004A0AF0">
        <w:t>s</w:t>
      </w:r>
      <w:r>
        <w:t>. This can act as a significant barrier to managing native vegetation on agricultural and other private land. Similarly, changing regulations create uncertainty for farmers and industry. As native vegetation management is a long-term process, a lack of continuity in policy can present a challenge for both farmers and for delivering long-term benefits. Greater stability in policy and particularly program</w:t>
      </w:r>
      <w:r w:rsidR="00EA328B">
        <w:t>me</w:t>
      </w:r>
      <w:r>
        <w:t xml:space="preserve"> availability and funding is important. </w:t>
      </w:r>
      <w:r>
        <w:rPr>
          <w:rFonts w:asciiTheme="majorHAnsi" w:hAnsiTheme="majorHAnsi"/>
        </w:rPr>
        <w:t>These features can be summarised as:</w:t>
      </w:r>
    </w:p>
    <w:p w:rsidR="00DB2ED2" w:rsidRDefault="00DB2ED2" w:rsidP="00211151">
      <w:pPr>
        <w:pStyle w:val="Numberedlist-level1"/>
      </w:pPr>
      <w:r w:rsidRPr="00C30F38">
        <w:t>ecosystem</w:t>
      </w:r>
      <w:r>
        <w:t xml:space="preserve"> characteristics</w:t>
      </w:r>
    </w:p>
    <w:p w:rsidR="00DB2ED2" w:rsidRDefault="00DB2ED2" w:rsidP="00567A81">
      <w:pPr>
        <w:pStyle w:val="Numberedlist-level2"/>
      </w:pPr>
      <w:r>
        <w:t xml:space="preserve">plant and </w:t>
      </w:r>
      <w:r w:rsidRPr="00AE275F">
        <w:t>animal</w:t>
      </w:r>
      <w:r>
        <w:t xml:space="preserve"> species</w:t>
      </w:r>
    </w:p>
    <w:p w:rsidR="00567A81" w:rsidRDefault="00DB2ED2" w:rsidP="00567A81">
      <w:pPr>
        <w:pStyle w:val="Numberedlist-level3"/>
      </w:pPr>
      <w:r w:rsidRPr="00211151">
        <w:t>threatened</w:t>
      </w:r>
      <w:r>
        <w:t xml:space="preserve"> or endangered</w:t>
      </w:r>
    </w:p>
    <w:p w:rsidR="00DB2ED2" w:rsidRDefault="00DB2ED2" w:rsidP="00567A81">
      <w:pPr>
        <w:pStyle w:val="Numberedlist-level3"/>
      </w:pPr>
      <w:r>
        <w:t>non-</w:t>
      </w:r>
      <w:r w:rsidRPr="00AE275F">
        <w:t>indigenous</w:t>
      </w:r>
    </w:p>
    <w:p w:rsidR="00DB2ED2" w:rsidRDefault="00DB2ED2" w:rsidP="00567A81">
      <w:pPr>
        <w:pStyle w:val="Numberedlist-level2"/>
      </w:pPr>
      <w:r>
        <w:t>water availability</w:t>
      </w:r>
    </w:p>
    <w:p w:rsidR="00211151" w:rsidRDefault="00DB2ED2" w:rsidP="00567A81">
      <w:pPr>
        <w:pStyle w:val="Numberedlist-level1"/>
      </w:pPr>
      <w:r>
        <w:t xml:space="preserve">physical </w:t>
      </w:r>
      <w:r w:rsidRPr="00C30F38">
        <w:t>characteristics</w:t>
      </w:r>
    </w:p>
    <w:p w:rsidR="00211151" w:rsidRDefault="00DB2ED2" w:rsidP="00567A81">
      <w:pPr>
        <w:pStyle w:val="Numberedlist-level2"/>
      </w:pPr>
      <w:r>
        <w:t>climatic variability</w:t>
      </w:r>
    </w:p>
    <w:p w:rsidR="00211151" w:rsidRDefault="00C05EF5" w:rsidP="00567A81">
      <w:pPr>
        <w:pStyle w:val="Numberedlist-level2"/>
      </w:pPr>
      <w:r>
        <w:t>densely forested</w:t>
      </w:r>
      <w:r w:rsidR="00026D24">
        <w:t>.</w:t>
      </w:r>
    </w:p>
    <w:p w:rsidR="008535A2" w:rsidRPr="008535A2" w:rsidRDefault="00DB2ED2" w:rsidP="008535A2">
      <w:pPr>
        <w:pStyle w:val="BodyText1"/>
        <w:sectPr w:rsidR="008535A2" w:rsidRPr="008535A2" w:rsidSect="00445754">
          <w:pgSz w:w="11906" w:h="16838"/>
          <w:pgMar w:top="1247" w:right="1418" w:bottom="1418" w:left="1418" w:header="510" w:footer="709" w:gutter="0"/>
          <w:pgNumType w:fmt="lowerRoman"/>
          <w:cols w:space="708"/>
          <w:docGrid w:linePitch="360"/>
        </w:sectPr>
      </w:pPr>
      <w:r>
        <w:t>Improved management of native vegetation will require a range of flexible approaches and greater recognition of the wider benefits of native vegetation. This report highlights the role of program</w:t>
      </w:r>
      <w:r w:rsidR="00EA328B">
        <w:t>me</w:t>
      </w:r>
      <w:r>
        <w:t>s, regulations, markets and extension in native vegetation management. Given the range of policy instruments available to government, it is necessary to understand how these instruments engage farmers and deliver outcomes. This can be used to improve the structure, operational requirements and flexibility of policy instruments. In doing so, it is important to ensure these instruments function at a scale relevant to protecting and improving native vegetation while delivering environmental and, potentially, production outcomes.</w:t>
      </w:r>
    </w:p>
    <w:p w:rsidR="00123E78" w:rsidRDefault="008F1E94" w:rsidP="00305108">
      <w:pPr>
        <w:pStyle w:val="Heading1"/>
      </w:pPr>
      <w:bookmarkStart w:id="8" w:name="_Toc286147926"/>
      <w:bookmarkStart w:id="9" w:name="_Toc415751179"/>
      <w:r w:rsidRPr="00123E78">
        <w:lastRenderedPageBreak/>
        <w:t>Introduction</w:t>
      </w:r>
      <w:bookmarkStart w:id="10" w:name="_Toc286147928"/>
      <w:bookmarkEnd w:id="8"/>
      <w:bookmarkEnd w:id="9"/>
    </w:p>
    <w:p w:rsidR="00DB2ED2" w:rsidRDefault="00DB2ED2" w:rsidP="005B4842">
      <w:pPr>
        <w:pStyle w:val="BodyText1"/>
      </w:pPr>
      <w:r>
        <w:t>Hemp seed is produced commercially from a low tetrahydrocannabinol strain of the plant Cannabis sativa, which is commonly used for fibre production. Hemp seed oil can be used in a range of cosmetics and pharmaceutical products while hemp seed meal is mostly used as animal feed and protein powder (</w:t>
      </w:r>
      <w:r w:rsidR="000A7BBE">
        <w:fldChar w:fldCharType="begin"/>
      </w:r>
      <w:r>
        <w:rPr>
          <w:highlight w:val="yellow"/>
        </w:rPr>
        <w:instrText xml:space="preserve"> REF _Ref345685012 \h </w:instrText>
      </w:r>
      <w:r w:rsidR="000A7BBE">
        <w:fldChar w:fldCharType="separate"/>
      </w:r>
      <w:r w:rsidR="00073D21">
        <w:t xml:space="preserve">Figure </w:t>
      </w:r>
      <w:r w:rsidR="00073D21">
        <w:rPr>
          <w:noProof/>
        </w:rPr>
        <w:t>1</w:t>
      </w:r>
      <w:r w:rsidR="000A7BBE">
        <w:fldChar w:fldCharType="end"/>
      </w:r>
      <w:r>
        <w:t>).</w:t>
      </w:r>
    </w:p>
    <w:p w:rsidR="00DB2ED2" w:rsidRDefault="00DB2ED2" w:rsidP="00920C0F">
      <w:pPr>
        <w:pStyle w:val="Caption"/>
      </w:pPr>
      <w:bookmarkStart w:id="11" w:name="_Ref345685012"/>
      <w:bookmarkStart w:id="12" w:name="_Toc358282853"/>
      <w:bookmarkStart w:id="13" w:name="_Toc374975648"/>
      <w:bookmarkStart w:id="14" w:name="_Toc415751189"/>
      <w:r>
        <w:t xml:space="preserve">Figure </w:t>
      </w:r>
      <w:r w:rsidR="000A7BBE">
        <w:fldChar w:fldCharType="begin"/>
      </w:r>
      <w:r w:rsidR="005F6BB5">
        <w:instrText xml:space="preserve"> SEQ Figure \* ARABIC </w:instrText>
      </w:r>
      <w:r w:rsidR="000A7BBE">
        <w:fldChar w:fldCharType="separate"/>
      </w:r>
      <w:r w:rsidR="00073D21">
        <w:rPr>
          <w:noProof/>
        </w:rPr>
        <w:t>1</w:t>
      </w:r>
      <w:r w:rsidR="000A7BBE">
        <w:rPr>
          <w:noProof/>
        </w:rPr>
        <w:fldChar w:fldCharType="end"/>
      </w:r>
      <w:bookmarkEnd w:id="11"/>
      <w:r>
        <w:t xml:space="preserve"> Hemp seed processing and products</w:t>
      </w:r>
      <w:bookmarkEnd w:id="12"/>
      <w:bookmarkEnd w:id="13"/>
      <w:bookmarkEnd w:id="14"/>
    </w:p>
    <w:p w:rsidR="00B71354" w:rsidRDefault="00B71354" w:rsidP="00B71354">
      <w:pPr>
        <w:pStyle w:val="NoSpacing"/>
        <w:keepLines/>
      </w:pPr>
      <w:r>
        <w:rPr>
          <w:noProof/>
          <w:lang w:eastAsia="en-AU"/>
        </w:rPr>
        <w:drawing>
          <wp:inline distT="0" distB="0" distL="0" distR="0">
            <wp:extent cx="5759450" cy="3679825"/>
            <wp:effectExtent l="19050" t="0" r="0" b="0"/>
            <wp:docPr id="9" name="Picture 9" descr="Hemp seed processing and products are discussed in the previous paragraph."/>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59450" cy="3679825"/>
                    </a:xfrm>
                    <a:prstGeom prst="rect">
                      <a:avLst/>
                    </a:prstGeom>
                  </pic:spPr>
                </pic:pic>
              </a:graphicData>
            </a:graphic>
          </wp:inline>
        </w:drawing>
      </w:r>
    </w:p>
    <w:p w:rsidR="00E32FF1" w:rsidRPr="00E32FF1" w:rsidRDefault="00DB2ED2" w:rsidP="00E32FF1">
      <w:pPr>
        <w:pStyle w:val="Notesourcetext"/>
      </w:pPr>
      <w:r>
        <w:t>Source:</w:t>
      </w:r>
      <w:r w:rsidRPr="00402350">
        <w:rPr>
          <w:rStyle w:val="Italic"/>
        </w:rPr>
        <w:t xml:space="preserve"> </w:t>
      </w:r>
      <w:r>
        <w:t>North American Industrial Hemp Council</w:t>
      </w:r>
    </w:p>
    <w:p w:rsidR="00FA5B5E" w:rsidRDefault="00123E78" w:rsidP="00DB2ED2">
      <w:pPr>
        <w:pStyle w:val="Heading1"/>
      </w:pPr>
      <w:bookmarkStart w:id="15" w:name="_Toc415751180"/>
      <w:r>
        <w:lastRenderedPageBreak/>
        <w:t>Chapter heading</w:t>
      </w:r>
      <w:bookmarkEnd w:id="15"/>
    </w:p>
    <w:p w:rsidR="00DB2ED2" w:rsidRDefault="00DB2ED2" w:rsidP="00250A35">
      <w:pPr>
        <w:pStyle w:val="Heading2"/>
      </w:pPr>
      <w:bookmarkStart w:id="16" w:name="_Toc358282844"/>
      <w:bookmarkStart w:id="17" w:name="_Toc415751181"/>
      <w:r>
        <w:t>Heading style 2</w:t>
      </w:r>
      <w:bookmarkEnd w:id="16"/>
      <w:bookmarkEnd w:id="17"/>
    </w:p>
    <w:p w:rsidR="00DB2ED2" w:rsidRDefault="00DB2ED2" w:rsidP="00482477">
      <w:pPr>
        <w:pStyle w:val="BodyText1"/>
      </w:pPr>
      <w:r>
        <w:t>The Department of Fisheries’ price estimates are used to estimate gross value of production (GVP). These prices should represent a beach price that ABARES defines as:</w:t>
      </w:r>
    </w:p>
    <w:p w:rsidR="00DB2ED2" w:rsidRDefault="00DB2ED2" w:rsidP="00482477">
      <w:pPr>
        <w:pStyle w:val="Quote-block"/>
      </w:pPr>
      <w:r>
        <w:t>The price paid to fishers at the wharf side for whole weight fish for landed catch on a per kilogram basis. As a wharf side price it does not include any cost mark ups for marketing and transport of catch to wholesale/retail markets or costs associated with on board processing of catch.</w:t>
      </w:r>
    </w:p>
    <w:p w:rsidR="00DB2ED2" w:rsidRDefault="00DB2ED2" w:rsidP="00482477">
      <w:pPr>
        <w:pStyle w:val="BodyText1"/>
      </w:pPr>
      <w:r>
        <w:t xml:space="preserve">The </w:t>
      </w:r>
      <w:hyperlink r:id="rId20" w:history="1">
        <w:r w:rsidRPr="000F4027">
          <w:rPr>
            <w:rStyle w:val="Hyperlink"/>
          </w:rPr>
          <w:t>Atlas of Living Australia</w:t>
        </w:r>
      </w:hyperlink>
      <w:r w:rsidRPr="000F4027">
        <w:t xml:space="preserve"> website</w:t>
      </w:r>
      <w:r>
        <w:t xml:space="preserve"> (ALA 2013) enables users to upload photographs and provide details of sightings of animals and plants.</w:t>
      </w:r>
    </w:p>
    <w:p w:rsidR="00DB2ED2" w:rsidRDefault="00DB2ED2" w:rsidP="00DB2ED2">
      <w:pPr>
        <w:pStyle w:val="Heading3"/>
      </w:pPr>
      <w:r>
        <w:t>Heading style 3</w:t>
      </w:r>
    </w:p>
    <w:p w:rsidR="00DB2ED2" w:rsidRDefault="00DB2ED2" w:rsidP="00482477">
      <w:pPr>
        <w:pStyle w:val="BodyText1"/>
      </w:pPr>
      <w:r>
        <w:t>Vegetable growing farms produce a variety of vegetable products and the prices farmers receive for these products can vary widely from year to year (ABARES 2012a). Indexes of vegetable prices show mixed results from 2005–06 to 2011–12. Overall, prices for potatoes, pumpkins and onions trended upward, while prices for carrots fell (</w:t>
      </w:r>
      <w:r w:rsidR="000A7BBE">
        <w:fldChar w:fldCharType="begin"/>
      </w:r>
      <w:r>
        <w:rPr>
          <w:highlight w:val="yellow"/>
        </w:rPr>
        <w:instrText xml:space="preserve"> REF _Ref345685034 \h </w:instrText>
      </w:r>
      <w:r w:rsidR="000A7BBE">
        <w:fldChar w:fldCharType="separate"/>
      </w:r>
      <w:r w:rsidR="00073D21">
        <w:t xml:space="preserve">Figure </w:t>
      </w:r>
      <w:r w:rsidR="00073D21">
        <w:rPr>
          <w:noProof/>
        </w:rPr>
        <w:t>2</w:t>
      </w:r>
      <w:r w:rsidR="000A7BBE">
        <w:fldChar w:fldCharType="end"/>
      </w:r>
      <w:r>
        <w:t>).</w:t>
      </w:r>
    </w:p>
    <w:p w:rsidR="00DB2ED2" w:rsidRDefault="00DB2ED2" w:rsidP="00920C0F">
      <w:pPr>
        <w:pStyle w:val="Caption"/>
      </w:pPr>
      <w:bookmarkStart w:id="18" w:name="_Ref345685034"/>
      <w:bookmarkStart w:id="19" w:name="_Toc358282854"/>
      <w:bookmarkStart w:id="20" w:name="_Toc374975649"/>
      <w:bookmarkStart w:id="21" w:name="_Toc415751190"/>
      <w:r>
        <w:t xml:space="preserve">Figure </w:t>
      </w:r>
      <w:r w:rsidR="000A7BBE">
        <w:fldChar w:fldCharType="begin"/>
      </w:r>
      <w:r w:rsidR="005F6BB5">
        <w:instrText xml:space="preserve"> SEQ Figure \* ARABIC </w:instrText>
      </w:r>
      <w:r w:rsidR="000A7BBE">
        <w:fldChar w:fldCharType="separate"/>
      </w:r>
      <w:r w:rsidR="00073D21">
        <w:rPr>
          <w:noProof/>
        </w:rPr>
        <w:t>2</w:t>
      </w:r>
      <w:r w:rsidR="000A7BBE">
        <w:rPr>
          <w:noProof/>
        </w:rPr>
        <w:fldChar w:fldCharType="end"/>
      </w:r>
      <w:bookmarkEnd w:id="18"/>
      <w:r>
        <w:t xml:space="preserve"> Index of price received, by vegetable crop, 2005–06 to 2011–12</w:t>
      </w:r>
      <w:bookmarkEnd w:id="19"/>
      <w:bookmarkEnd w:id="20"/>
      <w:bookmarkEnd w:id="21"/>
    </w:p>
    <w:p w:rsidR="00C97723" w:rsidRDefault="00C97723" w:rsidP="00C97723">
      <w:pPr>
        <w:pStyle w:val="BodyText1"/>
      </w:pPr>
      <w:r>
        <w:rPr>
          <w:noProof/>
          <w:lang w:eastAsia="en-AU"/>
        </w:rPr>
        <w:drawing>
          <wp:inline distT="0" distB="0" distL="0" distR="0">
            <wp:extent cx="3853683" cy="3081600"/>
            <wp:effectExtent l="19050" t="0" r="0" b="0"/>
            <wp:docPr id="2" name="Picture 1" descr="Prices received for vegetables are discussed in the previous para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jpg"/>
                    <pic:cNvPicPr/>
                  </pic:nvPicPr>
                  <pic:blipFill>
                    <a:blip r:embed="rId21"/>
                    <a:stretch>
                      <a:fillRect/>
                    </a:stretch>
                  </pic:blipFill>
                  <pic:spPr>
                    <a:xfrm>
                      <a:off x="0" y="0"/>
                      <a:ext cx="3853683" cy="3081600"/>
                    </a:xfrm>
                    <a:prstGeom prst="rect">
                      <a:avLst/>
                    </a:prstGeom>
                  </pic:spPr>
                </pic:pic>
              </a:graphicData>
            </a:graphic>
          </wp:inline>
        </w:drawing>
      </w:r>
    </w:p>
    <w:p w:rsidR="00C97723" w:rsidRPr="00C97723" w:rsidRDefault="00C97723" w:rsidP="00C97723">
      <w:pPr>
        <w:pStyle w:val="Notesourcetext"/>
      </w:pPr>
      <w:r w:rsidRPr="00F22684">
        <w:t>Source: ABARES</w:t>
      </w:r>
    </w:p>
    <w:p w:rsidR="00DB2ED2" w:rsidRDefault="00DB2ED2" w:rsidP="00920C0F">
      <w:pPr>
        <w:pStyle w:val="Caption"/>
      </w:pPr>
      <w:bookmarkStart w:id="22" w:name="_Toc358282865"/>
      <w:bookmarkStart w:id="23" w:name="_Toc374975651"/>
      <w:bookmarkStart w:id="24" w:name="_Toc415751192"/>
      <w:r>
        <w:t xml:space="preserve">Box </w:t>
      </w:r>
      <w:r w:rsidR="000A7BBE">
        <w:fldChar w:fldCharType="begin"/>
      </w:r>
      <w:r w:rsidR="00A125F0">
        <w:instrText xml:space="preserve"> SEQ Box </w:instrText>
      </w:r>
      <w:r w:rsidR="004A2267">
        <w:instrText>\* Arabic</w:instrText>
      </w:r>
      <w:r w:rsidR="004A2267" w:rsidDel="00F601A1">
        <w:instrText xml:space="preserve"> </w:instrText>
      </w:r>
      <w:r w:rsidR="000A7BBE">
        <w:fldChar w:fldCharType="separate"/>
      </w:r>
      <w:r w:rsidR="00073D21">
        <w:rPr>
          <w:noProof/>
        </w:rPr>
        <w:t>1</w:t>
      </w:r>
      <w:r w:rsidR="000A7BBE">
        <w:rPr>
          <w:noProof/>
        </w:rPr>
        <w:fldChar w:fldCharType="end"/>
      </w:r>
      <w:r>
        <w:t xml:space="preserve"> Case study: Importance of flexibility in program</w:t>
      </w:r>
      <w:r w:rsidR="00EA328B">
        <w:t>me</w:t>
      </w:r>
      <w:r>
        <w:t>s</w:t>
      </w:r>
      <w:bookmarkEnd w:id="22"/>
      <w:bookmarkEnd w:id="23"/>
      <w:bookmarkEnd w:id="24"/>
    </w:p>
    <w:tbl>
      <w:tblPr>
        <w:tblStyle w:val="Textboxtable"/>
        <w:tblW w:w="0" w:type="auto"/>
        <w:tblLayout w:type="fixed"/>
        <w:tblLook w:val="04A0" w:firstRow="1" w:lastRow="0" w:firstColumn="1" w:lastColumn="0" w:noHBand="0" w:noVBand="1"/>
      </w:tblPr>
      <w:tblGrid>
        <w:gridCol w:w="9286"/>
      </w:tblGrid>
      <w:tr w:rsidR="00DB2ED2" w:rsidTr="00A1089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286" w:type="dxa"/>
            <w:tcBorders>
              <w:top w:val="single" w:sz="4" w:space="0" w:color="auto"/>
              <w:left w:val="single" w:sz="4" w:space="0" w:color="auto"/>
              <w:bottom w:val="single" w:sz="4" w:space="0" w:color="auto"/>
              <w:right w:val="single" w:sz="4" w:space="0" w:color="auto"/>
            </w:tcBorders>
            <w:hideMark/>
          </w:tcPr>
          <w:p w:rsidR="00DB2ED2" w:rsidRPr="00C05EF5" w:rsidRDefault="00DB2ED2" w:rsidP="00C05EF5">
            <w:pPr>
              <w:pStyle w:val="Boxtext"/>
              <w:rPr>
                <w:sz w:val="20"/>
                <w:szCs w:val="20"/>
              </w:rPr>
            </w:pPr>
            <w:r w:rsidRPr="00C05EF5">
              <w:rPr>
                <w:sz w:val="20"/>
                <w:szCs w:val="20"/>
              </w:rPr>
              <w:t>Having clear program</w:t>
            </w:r>
            <w:r w:rsidR="00EA328B">
              <w:rPr>
                <w:sz w:val="20"/>
                <w:szCs w:val="20"/>
              </w:rPr>
              <w:t>me</w:t>
            </w:r>
            <w:r w:rsidRPr="00C05EF5">
              <w:rPr>
                <w:sz w:val="20"/>
                <w:szCs w:val="20"/>
              </w:rPr>
              <w:t xml:space="preserve"> objectives can encourage participation by those farmers who feel their management objectives for farm or native vegetation can align with program</w:t>
            </w:r>
            <w:r w:rsidR="00EA328B">
              <w:rPr>
                <w:sz w:val="20"/>
                <w:szCs w:val="20"/>
              </w:rPr>
              <w:t>me</w:t>
            </w:r>
            <w:r w:rsidRPr="00C05EF5">
              <w:rPr>
                <w:sz w:val="20"/>
                <w:szCs w:val="20"/>
              </w:rPr>
              <w:t xml:space="preserve"> objectives. However, the program</w:t>
            </w:r>
            <w:r w:rsidR="00EA328B">
              <w:rPr>
                <w:sz w:val="20"/>
                <w:szCs w:val="20"/>
              </w:rPr>
              <w:t>me</w:t>
            </w:r>
            <w:r w:rsidRPr="00C05EF5">
              <w:rPr>
                <w:sz w:val="20"/>
                <w:szCs w:val="20"/>
              </w:rPr>
              <w:t xml:space="preserve"> objectives need to be supported by flexible working rules that reflect local circumstances and regional and sectoral contexts.</w:t>
            </w:r>
          </w:p>
        </w:tc>
      </w:tr>
    </w:tbl>
    <w:p w:rsidR="00DB2ED2" w:rsidRDefault="00DB2ED2" w:rsidP="006915B8">
      <w:pPr>
        <w:pStyle w:val="Notesourcetext"/>
      </w:pPr>
      <w:r>
        <w:t>Source: Australian Bureau of Statistics</w:t>
      </w:r>
    </w:p>
    <w:p w:rsidR="00DB2ED2" w:rsidRPr="007160DB" w:rsidRDefault="00DB2ED2" w:rsidP="007160DB">
      <w:pPr>
        <w:pStyle w:val="Heading4"/>
      </w:pPr>
      <w:r w:rsidRPr="007160DB">
        <w:lastRenderedPageBreak/>
        <w:t>Heading 4</w:t>
      </w:r>
    </w:p>
    <w:p w:rsidR="00DB2ED2" w:rsidRDefault="00DB2ED2" w:rsidP="00D12DC2">
      <w:pPr>
        <w:pStyle w:val="BodyText1"/>
      </w:pPr>
      <w:r>
        <w:t>Having clear program</w:t>
      </w:r>
      <w:r w:rsidR="00EA328B">
        <w:t>me</w:t>
      </w:r>
      <w:r>
        <w:t xml:space="preserve"> objectives can encourage participation by those farmers who feel their management objectives for farm or native vegetation can align with program</w:t>
      </w:r>
      <w:r w:rsidR="00EA328B">
        <w:t>me</w:t>
      </w:r>
      <w:r>
        <w:t xml:space="preserve"> objectives. However, the program</w:t>
      </w:r>
      <w:r w:rsidR="00EA328B">
        <w:t>me</w:t>
      </w:r>
      <w:r>
        <w:t xml:space="preserve"> objectives need to be supported by flexible working rules that reflect local circumstances and </w:t>
      </w:r>
      <w:r w:rsidRPr="00AA73EC">
        <w:t>regional</w:t>
      </w:r>
      <w:r>
        <w:t xml:space="preserve"> and sectoral contexts (Stoneham et al. 2002).</w:t>
      </w:r>
    </w:p>
    <w:p w:rsidR="00DB2ED2" w:rsidRDefault="00DB2ED2" w:rsidP="00AA73EC">
      <w:pPr>
        <w:pStyle w:val="BodyText1"/>
      </w:pPr>
      <w:r>
        <w:t xml:space="preserve">Overall, the average price received for vegetables </w:t>
      </w:r>
      <w:r w:rsidRPr="00AA73EC">
        <w:t>in</w:t>
      </w:r>
      <w:r>
        <w:t xml:space="preserve"> 2010–11 increased by 23 per cent, mainly reflecting reduced supply due to production losses as a result of heavy rain and flood damage.</w:t>
      </w:r>
      <w:r>
        <w:rPr>
          <w:rStyle w:val="Dummytext"/>
        </w:rPr>
        <w:t xml:space="preserve"> </w:t>
      </w:r>
      <w:r>
        <w:t>Growers received higher average prices for most vegetables, but slightly lower prices for pumpkins and lettuce (</w:t>
      </w:r>
      <w:r w:rsidR="000A7BBE">
        <w:fldChar w:fldCharType="begin"/>
      </w:r>
      <w:r>
        <w:rPr>
          <w:highlight w:val="yellow"/>
        </w:rPr>
        <w:instrText xml:space="preserve"> REF _Ref345685053 \h </w:instrText>
      </w:r>
      <w:r w:rsidR="000A7BBE">
        <w:fldChar w:fldCharType="separate"/>
      </w:r>
      <w:r w:rsidR="00073D21">
        <w:t xml:space="preserve">Table </w:t>
      </w:r>
      <w:r w:rsidR="00073D21">
        <w:rPr>
          <w:noProof/>
        </w:rPr>
        <w:t>1</w:t>
      </w:r>
      <w:r w:rsidR="000A7BBE">
        <w:fldChar w:fldCharType="end"/>
      </w:r>
      <w:r>
        <w:t>).</w:t>
      </w:r>
    </w:p>
    <w:p w:rsidR="00DB2ED2" w:rsidRDefault="00DB2ED2" w:rsidP="00920C0F">
      <w:pPr>
        <w:pStyle w:val="Caption"/>
      </w:pPr>
      <w:bookmarkStart w:id="25" w:name="_Ref345685053"/>
      <w:bookmarkStart w:id="26" w:name="_Toc358282848"/>
      <w:bookmarkStart w:id="27" w:name="_Toc371959325"/>
      <w:bookmarkStart w:id="28" w:name="_Toc415751185"/>
      <w:r>
        <w:t xml:space="preserve">Table </w:t>
      </w:r>
      <w:r w:rsidR="000A7BBE">
        <w:fldChar w:fldCharType="begin"/>
      </w:r>
      <w:r w:rsidR="00C3259D">
        <w:instrText xml:space="preserve"> SEQ Table </w:instrText>
      </w:r>
      <w:r w:rsidR="004A2267">
        <w:instrText>\* Arabic</w:instrText>
      </w:r>
      <w:r w:rsidR="00C3259D">
        <w:instrText xml:space="preserve"> </w:instrText>
      </w:r>
      <w:r w:rsidR="000A7BBE">
        <w:fldChar w:fldCharType="separate"/>
      </w:r>
      <w:r w:rsidR="00073D21">
        <w:rPr>
          <w:noProof/>
        </w:rPr>
        <w:t>1</w:t>
      </w:r>
      <w:r w:rsidR="000A7BBE">
        <w:fldChar w:fldCharType="end"/>
      </w:r>
      <w:bookmarkEnd w:id="25"/>
      <w:r>
        <w:t xml:space="preserve"> Total plantation area, by jurisdiction, 2011–12</w:t>
      </w:r>
      <w:bookmarkEnd w:id="26"/>
      <w:bookmarkEnd w:id="27"/>
      <w:bookmarkEnd w:id="28"/>
    </w:p>
    <w:tbl>
      <w:tblPr>
        <w:tblStyle w:val="ABAREStable"/>
        <w:tblW w:w="5000" w:type="pct"/>
        <w:tblLayout w:type="fixed"/>
        <w:tblLook w:val="04A0" w:firstRow="1" w:lastRow="0" w:firstColumn="1" w:lastColumn="0" w:noHBand="0" w:noVBand="1"/>
      </w:tblPr>
      <w:tblGrid>
        <w:gridCol w:w="2594"/>
        <w:gridCol w:w="1295"/>
        <w:gridCol w:w="1295"/>
        <w:gridCol w:w="1295"/>
        <w:gridCol w:w="1295"/>
        <w:gridCol w:w="1296"/>
      </w:tblGrid>
      <w:tr w:rsidR="00DB2ED2" w:rsidRPr="00F731E5" w:rsidTr="000E08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hideMark/>
          </w:tcPr>
          <w:p w:rsidR="00DB2ED2" w:rsidRPr="00F731E5" w:rsidRDefault="00DB2ED2" w:rsidP="006915B8">
            <w:pPr>
              <w:pStyle w:val="Tabletext"/>
              <w:rPr>
                <w:sz w:val="20"/>
                <w:szCs w:val="20"/>
              </w:rPr>
            </w:pPr>
            <w:r w:rsidRPr="00F731E5">
              <w:rPr>
                <w:sz w:val="20"/>
                <w:szCs w:val="20"/>
              </w:rPr>
              <w:t>Jurisdiction</w:t>
            </w:r>
          </w:p>
        </w:tc>
        <w:tc>
          <w:tcPr>
            <w:tcW w:w="1325" w:type="dxa"/>
            <w:hideMark/>
          </w:tcPr>
          <w:p w:rsidR="00DB2ED2" w:rsidRPr="00F731E5" w:rsidRDefault="00DB2ED2" w:rsidP="006915B8">
            <w:pPr>
              <w:pStyle w:val="Tabletext"/>
              <w:jc w:val="left"/>
              <w:cnfStyle w:val="100000000000" w:firstRow="1" w:lastRow="0" w:firstColumn="0" w:lastColumn="0" w:oddVBand="0" w:evenVBand="0" w:oddHBand="0" w:evenHBand="0" w:firstRowFirstColumn="0" w:firstRowLastColumn="0" w:lastRowFirstColumn="0" w:lastRowLastColumn="0"/>
              <w:rPr>
                <w:sz w:val="20"/>
                <w:szCs w:val="20"/>
              </w:rPr>
            </w:pPr>
            <w:r w:rsidRPr="00F731E5">
              <w:rPr>
                <w:sz w:val="20"/>
                <w:szCs w:val="20"/>
              </w:rPr>
              <w:t>Unit</w:t>
            </w:r>
          </w:p>
        </w:tc>
        <w:tc>
          <w:tcPr>
            <w:tcW w:w="1325" w:type="dxa"/>
            <w:hideMark/>
          </w:tcPr>
          <w:p w:rsidR="00DB2ED2" w:rsidRPr="00F731E5" w:rsidRDefault="00DB2ED2" w:rsidP="00445EA9">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F731E5">
              <w:rPr>
                <w:sz w:val="20"/>
                <w:szCs w:val="20"/>
              </w:rPr>
              <w:t xml:space="preserve">Joint </w:t>
            </w:r>
            <w:r w:rsidR="00445EA9">
              <w:t>p</w:t>
            </w:r>
          </w:p>
        </w:tc>
        <w:tc>
          <w:tcPr>
            <w:tcW w:w="1325" w:type="dxa"/>
            <w:hideMark/>
          </w:tcPr>
          <w:p w:rsidR="00DB2ED2" w:rsidRPr="00F731E5" w:rsidRDefault="00DB2ED2" w:rsidP="000E0821">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F731E5">
              <w:rPr>
                <w:sz w:val="20"/>
                <w:szCs w:val="20"/>
              </w:rPr>
              <w:t>Private</w:t>
            </w:r>
          </w:p>
        </w:tc>
        <w:tc>
          <w:tcPr>
            <w:tcW w:w="1325" w:type="dxa"/>
            <w:hideMark/>
          </w:tcPr>
          <w:p w:rsidR="00DB2ED2" w:rsidRPr="00F731E5" w:rsidRDefault="00DB2ED2" w:rsidP="000E0821">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F731E5">
              <w:rPr>
                <w:sz w:val="20"/>
                <w:szCs w:val="20"/>
              </w:rPr>
              <w:t>Public</w:t>
            </w:r>
          </w:p>
        </w:tc>
        <w:tc>
          <w:tcPr>
            <w:tcW w:w="1326" w:type="dxa"/>
            <w:hideMark/>
          </w:tcPr>
          <w:p w:rsidR="00DB2ED2" w:rsidRPr="00F731E5" w:rsidRDefault="00DB2ED2" w:rsidP="000E0821">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F731E5">
              <w:rPr>
                <w:sz w:val="20"/>
                <w:szCs w:val="20"/>
              </w:rPr>
              <w:t>Total</w:t>
            </w:r>
          </w:p>
        </w:tc>
      </w:tr>
      <w:tr w:rsidR="00DB2ED2" w:rsidRPr="00F731E5" w:rsidTr="000E0821">
        <w:tc>
          <w:tcPr>
            <w:cnfStyle w:val="001000000000" w:firstRow="0" w:lastRow="0" w:firstColumn="1" w:lastColumn="0" w:oddVBand="0" w:evenVBand="0" w:oddHBand="0" w:evenHBand="0" w:firstRowFirstColumn="0" w:firstRowLastColumn="0" w:lastRowFirstColumn="0" w:lastRowLastColumn="0"/>
            <w:tcW w:w="2660" w:type="dxa"/>
            <w:hideMark/>
          </w:tcPr>
          <w:p w:rsidR="00DB2ED2" w:rsidRPr="00F731E5" w:rsidRDefault="00DB2ED2" w:rsidP="006915B8">
            <w:pPr>
              <w:pStyle w:val="Tabletext"/>
              <w:rPr>
                <w:sz w:val="20"/>
                <w:szCs w:val="20"/>
              </w:rPr>
            </w:pPr>
            <w:r w:rsidRPr="00F731E5">
              <w:rPr>
                <w:sz w:val="20"/>
                <w:szCs w:val="20"/>
              </w:rPr>
              <w:t>New South Wales</w:t>
            </w:r>
          </w:p>
        </w:tc>
        <w:tc>
          <w:tcPr>
            <w:tcW w:w="1325" w:type="dxa"/>
            <w:hideMark/>
          </w:tcPr>
          <w:p w:rsidR="00DB2ED2" w:rsidRPr="00F731E5" w:rsidRDefault="00DB2ED2" w:rsidP="006915B8">
            <w:pPr>
              <w:pStyle w:val="Tabletext"/>
              <w:jc w:val="left"/>
              <w:cnfStyle w:val="000000000000" w:firstRow="0" w:lastRow="0" w:firstColumn="0" w:lastColumn="0" w:oddVBand="0" w:evenVBand="0" w:oddHBand="0" w:evenHBand="0" w:firstRowFirstColumn="0" w:firstRowLastColumn="0" w:lastRowFirstColumn="0" w:lastRowLastColumn="0"/>
              <w:rPr>
                <w:sz w:val="20"/>
                <w:szCs w:val="20"/>
              </w:rPr>
            </w:pPr>
            <w:r w:rsidRPr="00F731E5">
              <w:rPr>
                <w:sz w:val="20"/>
                <w:szCs w:val="20"/>
              </w:rPr>
              <w:t>’000 ha</w:t>
            </w:r>
          </w:p>
        </w:tc>
        <w:tc>
          <w:tcPr>
            <w:tcW w:w="1325" w:type="dxa"/>
            <w:hideMark/>
          </w:tcPr>
          <w:p w:rsidR="00DB2ED2" w:rsidRPr="00F731E5" w:rsidRDefault="00DB2ED2" w:rsidP="000E0821">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731E5">
              <w:rPr>
                <w:sz w:val="20"/>
                <w:szCs w:val="20"/>
              </w:rPr>
              <w:t>6</w:t>
            </w:r>
          </w:p>
        </w:tc>
        <w:tc>
          <w:tcPr>
            <w:tcW w:w="1325" w:type="dxa"/>
            <w:hideMark/>
          </w:tcPr>
          <w:p w:rsidR="00DB2ED2" w:rsidRPr="00F731E5" w:rsidRDefault="00DB2ED2" w:rsidP="000E0821">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731E5">
              <w:rPr>
                <w:sz w:val="20"/>
                <w:szCs w:val="20"/>
              </w:rPr>
              <w:t>141</w:t>
            </w:r>
          </w:p>
        </w:tc>
        <w:tc>
          <w:tcPr>
            <w:tcW w:w="1325" w:type="dxa"/>
            <w:hideMark/>
          </w:tcPr>
          <w:p w:rsidR="00DB2ED2" w:rsidRPr="00F731E5" w:rsidRDefault="00DB2ED2" w:rsidP="000E0821">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731E5">
              <w:rPr>
                <w:sz w:val="20"/>
                <w:szCs w:val="20"/>
              </w:rPr>
              <w:t>246</w:t>
            </w:r>
          </w:p>
        </w:tc>
        <w:tc>
          <w:tcPr>
            <w:tcW w:w="1326" w:type="dxa"/>
            <w:hideMark/>
          </w:tcPr>
          <w:p w:rsidR="00DB2ED2" w:rsidRPr="00F731E5" w:rsidRDefault="00DB2ED2" w:rsidP="000E0821">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731E5">
              <w:rPr>
                <w:sz w:val="20"/>
                <w:szCs w:val="20"/>
              </w:rPr>
              <w:t>392</w:t>
            </w:r>
          </w:p>
        </w:tc>
      </w:tr>
      <w:tr w:rsidR="00DB2ED2" w:rsidRPr="00F731E5" w:rsidTr="000E0821">
        <w:tc>
          <w:tcPr>
            <w:cnfStyle w:val="001000000000" w:firstRow="0" w:lastRow="0" w:firstColumn="1" w:lastColumn="0" w:oddVBand="0" w:evenVBand="0" w:oddHBand="0" w:evenHBand="0" w:firstRowFirstColumn="0" w:firstRowLastColumn="0" w:lastRowFirstColumn="0" w:lastRowLastColumn="0"/>
            <w:tcW w:w="2660" w:type="dxa"/>
            <w:hideMark/>
          </w:tcPr>
          <w:p w:rsidR="00DB2ED2" w:rsidRPr="00F731E5" w:rsidRDefault="00DB2ED2" w:rsidP="006915B8">
            <w:pPr>
              <w:pStyle w:val="Tabletext"/>
              <w:rPr>
                <w:sz w:val="20"/>
                <w:szCs w:val="20"/>
              </w:rPr>
            </w:pPr>
            <w:r w:rsidRPr="00F731E5">
              <w:rPr>
                <w:sz w:val="20"/>
                <w:szCs w:val="20"/>
              </w:rPr>
              <w:t>Victoria</w:t>
            </w:r>
          </w:p>
        </w:tc>
        <w:tc>
          <w:tcPr>
            <w:tcW w:w="1325" w:type="dxa"/>
            <w:hideMark/>
          </w:tcPr>
          <w:p w:rsidR="00DB2ED2" w:rsidRPr="00F731E5" w:rsidRDefault="00DB2ED2" w:rsidP="006915B8">
            <w:pPr>
              <w:pStyle w:val="Tabletext"/>
              <w:jc w:val="left"/>
              <w:cnfStyle w:val="000000000000" w:firstRow="0" w:lastRow="0" w:firstColumn="0" w:lastColumn="0" w:oddVBand="0" w:evenVBand="0" w:oddHBand="0" w:evenHBand="0" w:firstRowFirstColumn="0" w:firstRowLastColumn="0" w:lastRowFirstColumn="0" w:lastRowLastColumn="0"/>
              <w:rPr>
                <w:sz w:val="20"/>
                <w:szCs w:val="20"/>
              </w:rPr>
            </w:pPr>
            <w:r w:rsidRPr="00F731E5">
              <w:rPr>
                <w:sz w:val="20"/>
                <w:szCs w:val="20"/>
              </w:rPr>
              <w:t>’000 ha</w:t>
            </w:r>
          </w:p>
        </w:tc>
        <w:tc>
          <w:tcPr>
            <w:tcW w:w="1325" w:type="dxa"/>
            <w:hideMark/>
          </w:tcPr>
          <w:p w:rsidR="00DB2ED2" w:rsidRPr="00F731E5" w:rsidRDefault="00DB2ED2" w:rsidP="000E0821">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731E5">
              <w:rPr>
                <w:sz w:val="20"/>
                <w:szCs w:val="20"/>
              </w:rPr>
              <w:t>0</w:t>
            </w:r>
          </w:p>
        </w:tc>
        <w:tc>
          <w:tcPr>
            <w:tcW w:w="1325" w:type="dxa"/>
            <w:hideMark/>
          </w:tcPr>
          <w:p w:rsidR="00DB2ED2" w:rsidRPr="00F731E5" w:rsidRDefault="00DB2ED2" w:rsidP="000E0821">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731E5">
              <w:rPr>
                <w:sz w:val="20"/>
                <w:szCs w:val="20"/>
              </w:rPr>
              <w:t>428</w:t>
            </w:r>
          </w:p>
        </w:tc>
        <w:tc>
          <w:tcPr>
            <w:tcW w:w="1325" w:type="dxa"/>
            <w:hideMark/>
          </w:tcPr>
          <w:p w:rsidR="00DB2ED2" w:rsidRPr="00F731E5" w:rsidRDefault="00DB2ED2" w:rsidP="000E0821">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731E5">
              <w:rPr>
                <w:sz w:val="20"/>
                <w:szCs w:val="20"/>
              </w:rPr>
              <w:t>5</w:t>
            </w:r>
          </w:p>
        </w:tc>
        <w:tc>
          <w:tcPr>
            <w:tcW w:w="1326" w:type="dxa"/>
            <w:hideMark/>
          </w:tcPr>
          <w:p w:rsidR="00DB2ED2" w:rsidRPr="00F731E5" w:rsidRDefault="00DB2ED2" w:rsidP="000E0821">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731E5">
              <w:rPr>
                <w:sz w:val="20"/>
                <w:szCs w:val="20"/>
              </w:rPr>
              <w:t>434</w:t>
            </w:r>
          </w:p>
        </w:tc>
      </w:tr>
      <w:tr w:rsidR="00DB2ED2" w:rsidRPr="00F731E5" w:rsidTr="000E0821">
        <w:tc>
          <w:tcPr>
            <w:cnfStyle w:val="001000000000" w:firstRow="0" w:lastRow="0" w:firstColumn="1" w:lastColumn="0" w:oddVBand="0" w:evenVBand="0" w:oddHBand="0" w:evenHBand="0" w:firstRowFirstColumn="0" w:firstRowLastColumn="0" w:lastRowFirstColumn="0" w:lastRowLastColumn="0"/>
            <w:tcW w:w="2660" w:type="dxa"/>
            <w:hideMark/>
          </w:tcPr>
          <w:p w:rsidR="00DB2ED2" w:rsidRPr="00F731E5" w:rsidRDefault="00DB2ED2" w:rsidP="006915B8">
            <w:pPr>
              <w:pStyle w:val="Tabletext"/>
              <w:rPr>
                <w:sz w:val="20"/>
                <w:szCs w:val="20"/>
              </w:rPr>
            </w:pPr>
            <w:r w:rsidRPr="00F731E5">
              <w:rPr>
                <w:sz w:val="20"/>
                <w:szCs w:val="20"/>
              </w:rPr>
              <w:t>Queensland</w:t>
            </w:r>
          </w:p>
        </w:tc>
        <w:tc>
          <w:tcPr>
            <w:tcW w:w="1325" w:type="dxa"/>
            <w:hideMark/>
          </w:tcPr>
          <w:p w:rsidR="00DB2ED2" w:rsidRPr="00F731E5" w:rsidRDefault="00DB2ED2" w:rsidP="006915B8">
            <w:pPr>
              <w:pStyle w:val="Tabletext"/>
              <w:jc w:val="left"/>
              <w:cnfStyle w:val="000000000000" w:firstRow="0" w:lastRow="0" w:firstColumn="0" w:lastColumn="0" w:oddVBand="0" w:evenVBand="0" w:oddHBand="0" w:evenHBand="0" w:firstRowFirstColumn="0" w:firstRowLastColumn="0" w:lastRowFirstColumn="0" w:lastRowLastColumn="0"/>
              <w:rPr>
                <w:sz w:val="20"/>
                <w:szCs w:val="20"/>
              </w:rPr>
            </w:pPr>
            <w:r w:rsidRPr="00F731E5">
              <w:rPr>
                <w:sz w:val="20"/>
                <w:szCs w:val="20"/>
              </w:rPr>
              <w:t>’000 ha</w:t>
            </w:r>
          </w:p>
        </w:tc>
        <w:tc>
          <w:tcPr>
            <w:tcW w:w="1325" w:type="dxa"/>
            <w:hideMark/>
          </w:tcPr>
          <w:p w:rsidR="00DB2ED2" w:rsidRPr="00F731E5" w:rsidRDefault="00DB2ED2" w:rsidP="000E0821">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731E5">
              <w:rPr>
                <w:sz w:val="20"/>
                <w:szCs w:val="20"/>
              </w:rPr>
              <w:t>0</w:t>
            </w:r>
          </w:p>
        </w:tc>
        <w:tc>
          <w:tcPr>
            <w:tcW w:w="1325" w:type="dxa"/>
            <w:hideMark/>
          </w:tcPr>
          <w:p w:rsidR="00DB2ED2" w:rsidRPr="00F731E5" w:rsidRDefault="00DB2ED2" w:rsidP="000E0821">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731E5">
              <w:rPr>
                <w:sz w:val="20"/>
                <w:szCs w:val="20"/>
              </w:rPr>
              <w:t>233</w:t>
            </w:r>
          </w:p>
        </w:tc>
        <w:tc>
          <w:tcPr>
            <w:tcW w:w="1325" w:type="dxa"/>
            <w:hideMark/>
          </w:tcPr>
          <w:p w:rsidR="00DB2ED2" w:rsidRPr="00F731E5" w:rsidRDefault="00DB2ED2" w:rsidP="000E0821">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731E5">
              <w:rPr>
                <w:sz w:val="20"/>
                <w:szCs w:val="20"/>
              </w:rPr>
              <w:t>0</w:t>
            </w:r>
          </w:p>
        </w:tc>
        <w:tc>
          <w:tcPr>
            <w:tcW w:w="1326" w:type="dxa"/>
            <w:hideMark/>
          </w:tcPr>
          <w:p w:rsidR="00DB2ED2" w:rsidRPr="00F731E5" w:rsidRDefault="00DB2ED2" w:rsidP="000E0821">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731E5">
              <w:rPr>
                <w:sz w:val="20"/>
                <w:szCs w:val="20"/>
              </w:rPr>
              <w:t>233</w:t>
            </w:r>
          </w:p>
        </w:tc>
      </w:tr>
      <w:tr w:rsidR="00DB2ED2" w:rsidRPr="00F731E5" w:rsidTr="000E0821">
        <w:tc>
          <w:tcPr>
            <w:cnfStyle w:val="001000000000" w:firstRow="0" w:lastRow="0" w:firstColumn="1" w:lastColumn="0" w:oddVBand="0" w:evenVBand="0" w:oddHBand="0" w:evenHBand="0" w:firstRowFirstColumn="0" w:firstRowLastColumn="0" w:lastRowFirstColumn="0" w:lastRowLastColumn="0"/>
            <w:tcW w:w="2660" w:type="dxa"/>
            <w:hideMark/>
          </w:tcPr>
          <w:p w:rsidR="00DB2ED2" w:rsidRPr="00F731E5" w:rsidRDefault="00DB2ED2" w:rsidP="006915B8">
            <w:pPr>
              <w:pStyle w:val="Tabletext"/>
              <w:rPr>
                <w:sz w:val="20"/>
                <w:szCs w:val="20"/>
              </w:rPr>
            </w:pPr>
            <w:r w:rsidRPr="00F731E5">
              <w:rPr>
                <w:sz w:val="20"/>
                <w:szCs w:val="20"/>
              </w:rPr>
              <w:t>South Australia</w:t>
            </w:r>
          </w:p>
        </w:tc>
        <w:tc>
          <w:tcPr>
            <w:tcW w:w="1325" w:type="dxa"/>
            <w:hideMark/>
          </w:tcPr>
          <w:p w:rsidR="00DB2ED2" w:rsidRPr="00F731E5" w:rsidRDefault="00DB2ED2" w:rsidP="006915B8">
            <w:pPr>
              <w:pStyle w:val="Tabletext"/>
              <w:jc w:val="left"/>
              <w:cnfStyle w:val="000000000000" w:firstRow="0" w:lastRow="0" w:firstColumn="0" w:lastColumn="0" w:oddVBand="0" w:evenVBand="0" w:oddHBand="0" w:evenHBand="0" w:firstRowFirstColumn="0" w:firstRowLastColumn="0" w:lastRowFirstColumn="0" w:lastRowLastColumn="0"/>
              <w:rPr>
                <w:sz w:val="20"/>
                <w:szCs w:val="20"/>
              </w:rPr>
            </w:pPr>
            <w:r w:rsidRPr="00F731E5">
              <w:rPr>
                <w:sz w:val="20"/>
                <w:szCs w:val="20"/>
              </w:rPr>
              <w:t>’000 ha</w:t>
            </w:r>
          </w:p>
        </w:tc>
        <w:tc>
          <w:tcPr>
            <w:tcW w:w="1325" w:type="dxa"/>
            <w:hideMark/>
          </w:tcPr>
          <w:p w:rsidR="00DB2ED2" w:rsidRPr="00F731E5" w:rsidRDefault="00DB2ED2" w:rsidP="000E0821">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731E5">
              <w:rPr>
                <w:sz w:val="20"/>
                <w:szCs w:val="20"/>
              </w:rPr>
              <w:t>0</w:t>
            </w:r>
          </w:p>
        </w:tc>
        <w:tc>
          <w:tcPr>
            <w:tcW w:w="1325" w:type="dxa"/>
            <w:hideMark/>
          </w:tcPr>
          <w:p w:rsidR="00DB2ED2" w:rsidRPr="00F731E5" w:rsidRDefault="00DB2ED2" w:rsidP="000E0821">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731E5">
              <w:rPr>
                <w:sz w:val="20"/>
                <w:szCs w:val="20"/>
              </w:rPr>
              <w:t>98</w:t>
            </w:r>
          </w:p>
        </w:tc>
        <w:tc>
          <w:tcPr>
            <w:tcW w:w="1325" w:type="dxa"/>
            <w:hideMark/>
          </w:tcPr>
          <w:p w:rsidR="00DB2ED2" w:rsidRPr="00F731E5" w:rsidRDefault="00DB2ED2" w:rsidP="000E0821">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731E5">
              <w:rPr>
                <w:sz w:val="20"/>
                <w:szCs w:val="20"/>
              </w:rPr>
              <w:t>91</w:t>
            </w:r>
          </w:p>
        </w:tc>
        <w:tc>
          <w:tcPr>
            <w:tcW w:w="1326" w:type="dxa"/>
            <w:hideMark/>
          </w:tcPr>
          <w:p w:rsidR="00DB2ED2" w:rsidRPr="00F731E5" w:rsidRDefault="00DB2ED2" w:rsidP="000E0821">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731E5">
              <w:rPr>
                <w:sz w:val="20"/>
                <w:szCs w:val="20"/>
              </w:rPr>
              <w:t>188</w:t>
            </w:r>
          </w:p>
        </w:tc>
      </w:tr>
      <w:tr w:rsidR="00DB2ED2" w:rsidRPr="00F731E5" w:rsidTr="000E0821">
        <w:tc>
          <w:tcPr>
            <w:cnfStyle w:val="001000000000" w:firstRow="0" w:lastRow="0" w:firstColumn="1" w:lastColumn="0" w:oddVBand="0" w:evenVBand="0" w:oddHBand="0" w:evenHBand="0" w:firstRowFirstColumn="0" w:firstRowLastColumn="0" w:lastRowFirstColumn="0" w:lastRowLastColumn="0"/>
            <w:tcW w:w="2660" w:type="dxa"/>
            <w:hideMark/>
          </w:tcPr>
          <w:p w:rsidR="00DB2ED2" w:rsidRPr="00F731E5" w:rsidRDefault="00DB2ED2" w:rsidP="006915B8">
            <w:pPr>
              <w:pStyle w:val="Tabletext"/>
              <w:rPr>
                <w:sz w:val="20"/>
                <w:szCs w:val="20"/>
              </w:rPr>
            </w:pPr>
            <w:r w:rsidRPr="00F731E5">
              <w:rPr>
                <w:sz w:val="20"/>
                <w:szCs w:val="20"/>
              </w:rPr>
              <w:t>Western Australia</w:t>
            </w:r>
          </w:p>
        </w:tc>
        <w:tc>
          <w:tcPr>
            <w:tcW w:w="1325" w:type="dxa"/>
            <w:hideMark/>
          </w:tcPr>
          <w:p w:rsidR="00DB2ED2" w:rsidRPr="00F731E5" w:rsidRDefault="00DB2ED2" w:rsidP="006915B8">
            <w:pPr>
              <w:pStyle w:val="Tabletext"/>
              <w:jc w:val="left"/>
              <w:cnfStyle w:val="000000000000" w:firstRow="0" w:lastRow="0" w:firstColumn="0" w:lastColumn="0" w:oddVBand="0" w:evenVBand="0" w:oddHBand="0" w:evenHBand="0" w:firstRowFirstColumn="0" w:firstRowLastColumn="0" w:lastRowFirstColumn="0" w:lastRowLastColumn="0"/>
              <w:rPr>
                <w:sz w:val="20"/>
                <w:szCs w:val="20"/>
              </w:rPr>
            </w:pPr>
            <w:r w:rsidRPr="00F731E5">
              <w:rPr>
                <w:sz w:val="20"/>
                <w:szCs w:val="20"/>
              </w:rPr>
              <w:t>’000 ha</w:t>
            </w:r>
          </w:p>
        </w:tc>
        <w:tc>
          <w:tcPr>
            <w:tcW w:w="1325" w:type="dxa"/>
            <w:hideMark/>
          </w:tcPr>
          <w:p w:rsidR="00DB2ED2" w:rsidRPr="00F731E5" w:rsidRDefault="00DB2ED2" w:rsidP="000E0821">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731E5">
              <w:rPr>
                <w:sz w:val="20"/>
                <w:szCs w:val="20"/>
              </w:rPr>
              <w:t>44</w:t>
            </w:r>
          </w:p>
        </w:tc>
        <w:tc>
          <w:tcPr>
            <w:tcW w:w="1325" w:type="dxa"/>
            <w:hideMark/>
          </w:tcPr>
          <w:p w:rsidR="00DB2ED2" w:rsidRPr="00F731E5" w:rsidRDefault="00DB2ED2" w:rsidP="000E0821">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731E5">
              <w:rPr>
                <w:sz w:val="20"/>
                <w:szCs w:val="20"/>
              </w:rPr>
              <w:t>290</w:t>
            </w:r>
          </w:p>
        </w:tc>
        <w:tc>
          <w:tcPr>
            <w:tcW w:w="1325" w:type="dxa"/>
            <w:hideMark/>
          </w:tcPr>
          <w:p w:rsidR="00DB2ED2" w:rsidRPr="00F731E5" w:rsidRDefault="00DB2ED2" w:rsidP="000E0821">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731E5">
              <w:rPr>
                <w:sz w:val="20"/>
                <w:szCs w:val="20"/>
              </w:rPr>
              <w:t>71</w:t>
            </w:r>
          </w:p>
        </w:tc>
        <w:tc>
          <w:tcPr>
            <w:tcW w:w="1326" w:type="dxa"/>
            <w:hideMark/>
          </w:tcPr>
          <w:p w:rsidR="00DB2ED2" w:rsidRPr="00F731E5" w:rsidRDefault="00DB2ED2" w:rsidP="000E0821">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731E5">
              <w:rPr>
                <w:sz w:val="20"/>
                <w:szCs w:val="20"/>
              </w:rPr>
              <w:t>405</w:t>
            </w:r>
          </w:p>
        </w:tc>
      </w:tr>
      <w:tr w:rsidR="00DB2ED2" w:rsidRPr="00F731E5" w:rsidTr="000E0821">
        <w:tc>
          <w:tcPr>
            <w:cnfStyle w:val="001000000000" w:firstRow="0" w:lastRow="0" w:firstColumn="1" w:lastColumn="0" w:oddVBand="0" w:evenVBand="0" w:oddHBand="0" w:evenHBand="0" w:firstRowFirstColumn="0" w:firstRowLastColumn="0" w:lastRowFirstColumn="0" w:lastRowLastColumn="0"/>
            <w:tcW w:w="2660" w:type="dxa"/>
            <w:hideMark/>
          </w:tcPr>
          <w:p w:rsidR="00DB2ED2" w:rsidRPr="00F731E5" w:rsidRDefault="00DB2ED2" w:rsidP="006915B8">
            <w:pPr>
              <w:pStyle w:val="Tabletext"/>
              <w:rPr>
                <w:sz w:val="20"/>
                <w:szCs w:val="20"/>
              </w:rPr>
            </w:pPr>
            <w:r w:rsidRPr="00F731E5">
              <w:rPr>
                <w:sz w:val="20"/>
                <w:szCs w:val="20"/>
              </w:rPr>
              <w:t>Tasmania</w:t>
            </w:r>
          </w:p>
        </w:tc>
        <w:tc>
          <w:tcPr>
            <w:tcW w:w="1325" w:type="dxa"/>
            <w:hideMark/>
          </w:tcPr>
          <w:p w:rsidR="00DB2ED2" w:rsidRPr="00F731E5" w:rsidRDefault="00DB2ED2" w:rsidP="006915B8">
            <w:pPr>
              <w:pStyle w:val="Tabletext"/>
              <w:jc w:val="left"/>
              <w:cnfStyle w:val="000000000000" w:firstRow="0" w:lastRow="0" w:firstColumn="0" w:lastColumn="0" w:oddVBand="0" w:evenVBand="0" w:oddHBand="0" w:evenHBand="0" w:firstRowFirstColumn="0" w:firstRowLastColumn="0" w:lastRowFirstColumn="0" w:lastRowLastColumn="0"/>
              <w:rPr>
                <w:sz w:val="20"/>
                <w:szCs w:val="20"/>
              </w:rPr>
            </w:pPr>
            <w:r w:rsidRPr="00F731E5">
              <w:rPr>
                <w:sz w:val="20"/>
                <w:szCs w:val="20"/>
              </w:rPr>
              <w:t>’000 ha</w:t>
            </w:r>
          </w:p>
        </w:tc>
        <w:tc>
          <w:tcPr>
            <w:tcW w:w="1325" w:type="dxa"/>
            <w:hideMark/>
          </w:tcPr>
          <w:p w:rsidR="00DB2ED2" w:rsidRPr="00F731E5" w:rsidRDefault="00DB2ED2" w:rsidP="000E0821">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731E5">
              <w:rPr>
                <w:sz w:val="20"/>
                <w:szCs w:val="20"/>
              </w:rPr>
              <w:t>23</w:t>
            </w:r>
          </w:p>
        </w:tc>
        <w:tc>
          <w:tcPr>
            <w:tcW w:w="1325" w:type="dxa"/>
            <w:hideMark/>
          </w:tcPr>
          <w:p w:rsidR="00DB2ED2" w:rsidRPr="00F731E5" w:rsidRDefault="00DB2ED2" w:rsidP="000E0821">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731E5">
              <w:rPr>
                <w:sz w:val="20"/>
                <w:szCs w:val="20"/>
              </w:rPr>
              <w:t>253</w:t>
            </w:r>
          </w:p>
        </w:tc>
        <w:tc>
          <w:tcPr>
            <w:tcW w:w="1325" w:type="dxa"/>
            <w:hideMark/>
          </w:tcPr>
          <w:p w:rsidR="00DB2ED2" w:rsidRPr="00F731E5" w:rsidRDefault="00DB2ED2" w:rsidP="000E0821">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731E5">
              <w:rPr>
                <w:sz w:val="20"/>
                <w:szCs w:val="20"/>
              </w:rPr>
              <w:t>35</w:t>
            </w:r>
          </w:p>
        </w:tc>
        <w:tc>
          <w:tcPr>
            <w:tcW w:w="1326" w:type="dxa"/>
            <w:hideMark/>
          </w:tcPr>
          <w:p w:rsidR="00DB2ED2" w:rsidRPr="00F731E5" w:rsidRDefault="00DB2ED2" w:rsidP="000E0821">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731E5">
              <w:rPr>
                <w:sz w:val="20"/>
                <w:szCs w:val="20"/>
              </w:rPr>
              <w:t>311</w:t>
            </w:r>
          </w:p>
        </w:tc>
      </w:tr>
      <w:tr w:rsidR="00DB2ED2" w:rsidRPr="00F731E5" w:rsidTr="000E0821">
        <w:tc>
          <w:tcPr>
            <w:cnfStyle w:val="001000000000" w:firstRow="0" w:lastRow="0" w:firstColumn="1" w:lastColumn="0" w:oddVBand="0" w:evenVBand="0" w:oddHBand="0" w:evenHBand="0" w:firstRowFirstColumn="0" w:firstRowLastColumn="0" w:lastRowFirstColumn="0" w:lastRowLastColumn="0"/>
            <w:tcW w:w="2660" w:type="dxa"/>
            <w:hideMark/>
          </w:tcPr>
          <w:p w:rsidR="00DB2ED2" w:rsidRPr="00F731E5" w:rsidRDefault="00DB2ED2" w:rsidP="006915B8">
            <w:pPr>
              <w:pStyle w:val="Tabletext"/>
              <w:rPr>
                <w:sz w:val="20"/>
                <w:szCs w:val="20"/>
              </w:rPr>
            </w:pPr>
            <w:r w:rsidRPr="00F731E5">
              <w:rPr>
                <w:sz w:val="20"/>
                <w:szCs w:val="20"/>
              </w:rPr>
              <w:t>Northern Territory</w:t>
            </w:r>
          </w:p>
        </w:tc>
        <w:tc>
          <w:tcPr>
            <w:tcW w:w="1325" w:type="dxa"/>
            <w:hideMark/>
          </w:tcPr>
          <w:p w:rsidR="00DB2ED2" w:rsidRPr="00F731E5" w:rsidRDefault="00DB2ED2" w:rsidP="006915B8">
            <w:pPr>
              <w:pStyle w:val="Tabletext"/>
              <w:jc w:val="left"/>
              <w:cnfStyle w:val="000000000000" w:firstRow="0" w:lastRow="0" w:firstColumn="0" w:lastColumn="0" w:oddVBand="0" w:evenVBand="0" w:oddHBand="0" w:evenHBand="0" w:firstRowFirstColumn="0" w:firstRowLastColumn="0" w:lastRowFirstColumn="0" w:lastRowLastColumn="0"/>
              <w:rPr>
                <w:sz w:val="20"/>
                <w:szCs w:val="20"/>
              </w:rPr>
            </w:pPr>
            <w:r w:rsidRPr="00F731E5">
              <w:rPr>
                <w:sz w:val="20"/>
                <w:szCs w:val="20"/>
              </w:rPr>
              <w:t>’000 ha</w:t>
            </w:r>
          </w:p>
        </w:tc>
        <w:tc>
          <w:tcPr>
            <w:tcW w:w="1325" w:type="dxa"/>
            <w:hideMark/>
          </w:tcPr>
          <w:p w:rsidR="00DB2ED2" w:rsidRPr="00F731E5" w:rsidRDefault="00DB2ED2" w:rsidP="000E0821">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731E5">
              <w:rPr>
                <w:sz w:val="20"/>
                <w:szCs w:val="20"/>
              </w:rPr>
              <w:t>0</w:t>
            </w:r>
          </w:p>
        </w:tc>
        <w:tc>
          <w:tcPr>
            <w:tcW w:w="1325" w:type="dxa"/>
            <w:hideMark/>
          </w:tcPr>
          <w:p w:rsidR="00DB2ED2" w:rsidRPr="00F731E5" w:rsidRDefault="00DB2ED2" w:rsidP="000E0821">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731E5">
              <w:rPr>
                <w:sz w:val="20"/>
                <w:szCs w:val="20"/>
              </w:rPr>
              <w:t>42</w:t>
            </w:r>
          </w:p>
        </w:tc>
        <w:tc>
          <w:tcPr>
            <w:tcW w:w="1325" w:type="dxa"/>
            <w:hideMark/>
          </w:tcPr>
          <w:p w:rsidR="00DB2ED2" w:rsidRPr="00F731E5" w:rsidRDefault="00DB2ED2" w:rsidP="000E0821">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731E5">
              <w:rPr>
                <w:sz w:val="20"/>
                <w:szCs w:val="20"/>
              </w:rPr>
              <w:t>0</w:t>
            </w:r>
          </w:p>
        </w:tc>
        <w:tc>
          <w:tcPr>
            <w:tcW w:w="1326" w:type="dxa"/>
            <w:hideMark/>
          </w:tcPr>
          <w:p w:rsidR="00DB2ED2" w:rsidRPr="00F731E5" w:rsidRDefault="00DB2ED2" w:rsidP="000E0821">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731E5">
              <w:rPr>
                <w:sz w:val="20"/>
                <w:szCs w:val="20"/>
              </w:rPr>
              <w:t>42</w:t>
            </w:r>
          </w:p>
        </w:tc>
      </w:tr>
      <w:tr w:rsidR="00DB2ED2" w:rsidRPr="00F731E5" w:rsidTr="000E0821">
        <w:tc>
          <w:tcPr>
            <w:cnfStyle w:val="001000000000" w:firstRow="0" w:lastRow="0" w:firstColumn="1" w:lastColumn="0" w:oddVBand="0" w:evenVBand="0" w:oddHBand="0" w:evenHBand="0" w:firstRowFirstColumn="0" w:firstRowLastColumn="0" w:lastRowFirstColumn="0" w:lastRowLastColumn="0"/>
            <w:tcW w:w="2660" w:type="dxa"/>
            <w:hideMark/>
          </w:tcPr>
          <w:p w:rsidR="00DB2ED2" w:rsidRPr="00F731E5" w:rsidRDefault="00DB2ED2" w:rsidP="006915B8">
            <w:pPr>
              <w:pStyle w:val="Tabletext"/>
              <w:rPr>
                <w:sz w:val="20"/>
                <w:szCs w:val="20"/>
              </w:rPr>
            </w:pPr>
            <w:r w:rsidRPr="00F731E5">
              <w:rPr>
                <w:sz w:val="20"/>
                <w:szCs w:val="20"/>
              </w:rPr>
              <w:t>Australian Capital Territory</w:t>
            </w:r>
          </w:p>
        </w:tc>
        <w:tc>
          <w:tcPr>
            <w:tcW w:w="1325" w:type="dxa"/>
            <w:hideMark/>
          </w:tcPr>
          <w:p w:rsidR="00DB2ED2" w:rsidRPr="00F731E5" w:rsidRDefault="00DB2ED2" w:rsidP="006915B8">
            <w:pPr>
              <w:pStyle w:val="Tabletext"/>
              <w:jc w:val="left"/>
              <w:cnfStyle w:val="000000000000" w:firstRow="0" w:lastRow="0" w:firstColumn="0" w:lastColumn="0" w:oddVBand="0" w:evenVBand="0" w:oddHBand="0" w:evenHBand="0" w:firstRowFirstColumn="0" w:firstRowLastColumn="0" w:lastRowFirstColumn="0" w:lastRowLastColumn="0"/>
              <w:rPr>
                <w:sz w:val="20"/>
                <w:szCs w:val="20"/>
              </w:rPr>
            </w:pPr>
            <w:r w:rsidRPr="00F731E5">
              <w:rPr>
                <w:sz w:val="20"/>
                <w:szCs w:val="20"/>
              </w:rPr>
              <w:t>’000 ha</w:t>
            </w:r>
          </w:p>
        </w:tc>
        <w:tc>
          <w:tcPr>
            <w:tcW w:w="1325" w:type="dxa"/>
            <w:hideMark/>
          </w:tcPr>
          <w:p w:rsidR="00DB2ED2" w:rsidRPr="00F731E5" w:rsidRDefault="00DB2ED2" w:rsidP="000E0821">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731E5">
              <w:rPr>
                <w:sz w:val="20"/>
                <w:szCs w:val="20"/>
              </w:rPr>
              <w:t>0</w:t>
            </w:r>
          </w:p>
        </w:tc>
        <w:tc>
          <w:tcPr>
            <w:tcW w:w="1325" w:type="dxa"/>
            <w:hideMark/>
          </w:tcPr>
          <w:p w:rsidR="00DB2ED2" w:rsidRPr="00F731E5" w:rsidRDefault="00DB2ED2" w:rsidP="000E0821">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731E5">
              <w:rPr>
                <w:sz w:val="20"/>
                <w:szCs w:val="20"/>
              </w:rPr>
              <w:t>0</w:t>
            </w:r>
          </w:p>
        </w:tc>
        <w:tc>
          <w:tcPr>
            <w:tcW w:w="1325" w:type="dxa"/>
            <w:hideMark/>
          </w:tcPr>
          <w:p w:rsidR="00DB2ED2" w:rsidRPr="00F731E5" w:rsidRDefault="00DB2ED2" w:rsidP="000E0821">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731E5">
              <w:rPr>
                <w:sz w:val="20"/>
                <w:szCs w:val="20"/>
              </w:rPr>
              <w:t>8</w:t>
            </w:r>
          </w:p>
        </w:tc>
        <w:tc>
          <w:tcPr>
            <w:tcW w:w="1326" w:type="dxa"/>
            <w:hideMark/>
          </w:tcPr>
          <w:p w:rsidR="00DB2ED2" w:rsidRPr="00F731E5" w:rsidRDefault="00DB2ED2" w:rsidP="000E0821">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731E5">
              <w:rPr>
                <w:sz w:val="20"/>
                <w:szCs w:val="20"/>
              </w:rPr>
              <w:t>8</w:t>
            </w:r>
          </w:p>
        </w:tc>
      </w:tr>
      <w:tr w:rsidR="00DB2ED2" w:rsidRPr="00F731E5" w:rsidTr="000E0821">
        <w:tc>
          <w:tcPr>
            <w:cnfStyle w:val="001000000000" w:firstRow="0" w:lastRow="0" w:firstColumn="1" w:lastColumn="0" w:oddVBand="0" w:evenVBand="0" w:oddHBand="0" w:evenHBand="0" w:firstRowFirstColumn="0" w:firstRowLastColumn="0" w:lastRowFirstColumn="0" w:lastRowLastColumn="0"/>
            <w:tcW w:w="2660" w:type="dxa"/>
            <w:hideMark/>
          </w:tcPr>
          <w:p w:rsidR="00DB2ED2" w:rsidRPr="00F731E5" w:rsidRDefault="00DB2ED2" w:rsidP="006915B8">
            <w:pPr>
              <w:pStyle w:val="Tabletext"/>
              <w:rPr>
                <w:sz w:val="20"/>
                <w:szCs w:val="20"/>
              </w:rPr>
            </w:pPr>
            <w:r w:rsidRPr="00F731E5">
              <w:rPr>
                <w:sz w:val="20"/>
                <w:szCs w:val="20"/>
              </w:rPr>
              <w:t>Total</w:t>
            </w:r>
          </w:p>
        </w:tc>
        <w:tc>
          <w:tcPr>
            <w:tcW w:w="1325" w:type="dxa"/>
            <w:hideMark/>
          </w:tcPr>
          <w:p w:rsidR="00DB2ED2" w:rsidRPr="00F731E5" w:rsidRDefault="00DB2ED2" w:rsidP="006915B8">
            <w:pPr>
              <w:pStyle w:val="Tabletext"/>
              <w:jc w:val="left"/>
              <w:cnfStyle w:val="000000000000" w:firstRow="0" w:lastRow="0" w:firstColumn="0" w:lastColumn="0" w:oddVBand="0" w:evenVBand="0" w:oddHBand="0" w:evenHBand="0" w:firstRowFirstColumn="0" w:firstRowLastColumn="0" w:lastRowFirstColumn="0" w:lastRowLastColumn="0"/>
              <w:rPr>
                <w:sz w:val="20"/>
                <w:szCs w:val="20"/>
              </w:rPr>
            </w:pPr>
            <w:r w:rsidRPr="00F731E5">
              <w:rPr>
                <w:sz w:val="20"/>
                <w:szCs w:val="20"/>
              </w:rPr>
              <w:t>’000 ha</w:t>
            </w:r>
          </w:p>
        </w:tc>
        <w:tc>
          <w:tcPr>
            <w:tcW w:w="1325" w:type="dxa"/>
            <w:hideMark/>
          </w:tcPr>
          <w:p w:rsidR="00DB2ED2" w:rsidRPr="00F731E5" w:rsidRDefault="00DB2ED2" w:rsidP="000E0821">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731E5">
              <w:rPr>
                <w:sz w:val="20"/>
                <w:szCs w:val="20"/>
              </w:rPr>
              <w:t>73</w:t>
            </w:r>
          </w:p>
        </w:tc>
        <w:tc>
          <w:tcPr>
            <w:tcW w:w="1325" w:type="dxa"/>
            <w:hideMark/>
          </w:tcPr>
          <w:p w:rsidR="00DB2ED2" w:rsidRPr="00F731E5" w:rsidRDefault="00DB2ED2" w:rsidP="000E0821">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731E5">
              <w:rPr>
                <w:sz w:val="20"/>
                <w:szCs w:val="20"/>
              </w:rPr>
              <w:t>1485</w:t>
            </w:r>
          </w:p>
        </w:tc>
        <w:tc>
          <w:tcPr>
            <w:tcW w:w="1325" w:type="dxa"/>
            <w:hideMark/>
          </w:tcPr>
          <w:p w:rsidR="00DB2ED2" w:rsidRPr="00F731E5" w:rsidRDefault="00DB2ED2" w:rsidP="000E0821">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731E5">
              <w:rPr>
                <w:sz w:val="20"/>
                <w:szCs w:val="20"/>
              </w:rPr>
              <w:t>455</w:t>
            </w:r>
          </w:p>
        </w:tc>
        <w:tc>
          <w:tcPr>
            <w:tcW w:w="1326" w:type="dxa"/>
            <w:hideMark/>
          </w:tcPr>
          <w:p w:rsidR="00DB2ED2" w:rsidRPr="00F731E5" w:rsidRDefault="00DB2ED2" w:rsidP="000E0821">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731E5">
              <w:rPr>
                <w:sz w:val="20"/>
                <w:szCs w:val="20"/>
              </w:rPr>
              <w:t>2013</w:t>
            </w:r>
          </w:p>
        </w:tc>
      </w:tr>
      <w:tr w:rsidR="00DB2ED2" w:rsidRPr="00F731E5" w:rsidTr="000E0821">
        <w:tc>
          <w:tcPr>
            <w:cnfStyle w:val="001000000000" w:firstRow="0" w:lastRow="0" w:firstColumn="1" w:lastColumn="0" w:oddVBand="0" w:evenVBand="0" w:oddHBand="0" w:evenHBand="0" w:firstRowFirstColumn="0" w:firstRowLastColumn="0" w:lastRowFirstColumn="0" w:lastRowLastColumn="0"/>
            <w:tcW w:w="2660" w:type="dxa"/>
            <w:hideMark/>
          </w:tcPr>
          <w:p w:rsidR="00DB2ED2" w:rsidRPr="00F731E5" w:rsidRDefault="00DB2ED2" w:rsidP="006915B8">
            <w:pPr>
              <w:pStyle w:val="Tabletext"/>
              <w:rPr>
                <w:sz w:val="20"/>
                <w:szCs w:val="20"/>
              </w:rPr>
            </w:pPr>
            <w:r w:rsidRPr="00F731E5">
              <w:rPr>
                <w:sz w:val="20"/>
                <w:szCs w:val="20"/>
              </w:rPr>
              <w:t>Proportion of tree ownership</w:t>
            </w:r>
          </w:p>
        </w:tc>
        <w:tc>
          <w:tcPr>
            <w:tcW w:w="1325" w:type="dxa"/>
            <w:hideMark/>
          </w:tcPr>
          <w:p w:rsidR="00DB2ED2" w:rsidRPr="00F731E5" w:rsidRDefault="00DB2ED2" w:rsidP="006915B8">
            <w:pPr>
              <w:pStyle w:val="Tabletext"/>
              <w:jc w:val="left"/>
              <w:cnfStyle w:val="000000000000" w:firstRow="0" w:lastRow="0" w:firstColumn="0" w:lastColumn="0" w:oddVBand="0" w:evenVBand="0" w:oddHBand="0" w:evenHBand="0" w:firstRowFirstColumn="0" w:firstRowLastColumn="0" w:lastRowFirstColumn="0" w:lastRowLastColumn="0"/>
              <w:rPr>
                <w:sz w:val="20"/>
                <w:szCs w:val="20"/>
              </w:rPr>
            </w:pPr>
            <w:r w:rsidRPr="00F731E5">
              <w:rPr>
                <w:sz w:val="20"/>
                <w:szCs w:val="20"/>
              </w:rPr>
              <w:t>%</w:t>
            </w:r>
          </w:p>
        </w:tc>
        <w:tc>
          <w:tcPr>
            <w:tcW w:w="1325" w:type="dxa"/>
            <w:hideMark/>
          </w:tcPr>
          <w:p w:rsidR="00DB2ED2" w:rsidRPr="00F731E5" w:rsidRDefault="00DB2ED2" w:rsidP="000E0821">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731E5">
              <w:rPr>
                <w:sz w:val="20"/>
                <w:szCs w:val="20"/>
              </w:rPr>
              <w:t>4</w:t>
            </w:r>
          </w:p>
        </w:tc>
        <w:tc>
          <w:tcPr>
            <w:tcW w:w="1325" w:type="dxa"/>
            <w:hideMark/>
          </w:tcPr>
          <w:p w:rsidR="00DB2ED2" w:rsidRPr="00F731E5" w:rsidRDefault="00DB2ED2" w:rsidP="000E0821">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731E5">
              <w:rPr>
                <w:sz w:val="20"/>
                <w:szCs w:val="20"/>
              </w:rPr>
              <w:t>74</w:t>
            </w:r>
          </w:p>
        </w:tc>
        <w:tc>
          <w:tcPr>
            <w:tcW w:w="1325" w:type="dxa"/>
            <w:hideMark/>
          </w:tcPr>
          <w:p w:rsidR="00DB2ED2" w:rsidRPr="00F731E5" w:rsidRDefault="00DB2ED2" w:rsidP="000E0821">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731E5">
              <w:rPr>
                <w:sz w:val="20"/>
                <w:szCs w:val="20"/>
              </w:rPr>
              <w:t>23</w:t>
            </w:r>
          </w:p>
        </w:tc>
        <w:tc>
          <w:tcPr>
            <w:tcW w:w="1326" w:type="dxa"/>
            <w:hideMark/>
          </w:tcPr>
          <w:p w:rsidR="00DB2ED2" w:rsidRPr="00F731E5" w:rsidRDefault="00DB2ED2" w:rsidP="000E0821">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731E5">
              <w:rPr>
                <w:sz w:val="20"/>
                <w:szCs w:val="20"/>
              </w:rPr>
              <w:t>100</w:t>
            </w:r>
          </w:p>
        </w:tc>
      </w:tr>
    </w:tbl>
    <w:p w:rsidR="003C4C7A" w:rsidRDefault="00C05EF5" w:rsidP="006915B8">
      <w:pPr>
        <w:pStyle w:val="Notesourcetext"/>
      </w:pPr>
      <w:r>
        <w:t xml:space="preserve">Note: </w:t>
      </w:r>
      <w:r w:rsidRPr="00C05EF5">
        <w:rPr>
          <w:rStyle w:val="Bold"/>
        </w:rPr>
        <w:t>p</w:t>
      </w:r>
      <w:r>
        <w:t xml:space="preserve"> Preliminary estimate.</w:t>
      </w:r>
    </w:p>
    <w:p w:rsidR="00DB2ED2" w:rsidRPr="00F22684" w:rsidRDefault="00DB2ED2" w:rsidP="006915B8">
      <w:pPr>
        <w:pStyle w:val="Notesourcetext"/>
      </w:pPr>
      <w:r w:rsidRPr="00F22684">
        <w:t>Source: ABARES Australian vegetable growing farms survey</w:t>
      </w:r>
    </w:p>
    <w:p w:rsidR="00D30B04" w:rsidRPr="00D30B04" w:rsidRDefault="00DB2ED2">
      <w:pPr>
        <w:pStyle w:val="BodyText1"/>
      </w:pPr>
      <w:r>
        <w:t>The proportion of farmers who had applied for funding varied nationally (</w:t>
      </w:r>
      <w:r w:rsidR="000A7BBE">
        <w:fldChar w:fldCharType="begin"/>
      </w:r>
      <w:r>
        <w:instrText xml:space="preserve"> REF _Ref357500484 \h </w:instrText>
      </w:r>
      <w:r w:rsidR="000A7BBE">
        <w:fldChar w:fldCharType="separate"/>
      </w:r>
      <w:r w:rsidR="00073D21">
        <w:t xml:space="preserve">Map </w:t>
      </w:r>
      <w:r w:rsidR="00073D21">
        <w:rPr>
          <w:noProof/>
        </w:rPr>
        <w:t>1</w:t>
      </w:r>
      <w:r w:rsidR="000A7BBE">
        <w:fldChar w:fldCharType="end"/>
      </w:r>
      <w:r>
        <w:t>). The regions with the highest proportion of applicants were the Riverina area of New South Wales, most of Victoria, west and south-west Queensland and the Pilbara and central pastoral region in Western Australia (Crosthwaite &amp; Macleod 2000; Tisdell 1985; Walpole 1999). The Darling Downs and Central Highlands region of Queensland and the Barkly Tablelands and Alice Springs District of the Northern Territory had the lowest proportion. Differences in regions may represent different regional contexts (including ecosystem or vegetative types) and diffe</w:t>
      </w:r>
      <w:r w:rsidR="001C0F85">
        <w:t>rences in program</w:t>
      </w:r>
      <w:r w:rsidR="00EA328B">
        <w:t>me</w:t>
      </w:r>
      <w:r w:rsidR="001C0F85">
        <w:t xml:space="preserve"> availability</w:t>
      </w:r>
      <w:r w:rsidR="000F4027">
        <w:t xml:space="preserve"> (</w:t>
      </w:r>
      <w:r w:rsidR="000A7BBE">
        <w:fldChar w:fldCharType="begin"/>
      </w:r>
      <w:r w:rsidR="000F4027">
        <w:instrText xml:space="preserve"> REF _Ref363817426 \h </w:instrText>
      </w:r>
      <w:r w:rsidR="000A7BBE">
        <w:fldChar w:fldCharType="separate"/>
      </w:r>
      <w:r w:rsidR="00073D21">
        <w:t xml:space="preserve">Table </w:t>
      </w:r>
      <w:r w:rsidR="00073D21">
        <w:rPr>
          <w:noProof/>
        </w:rPr>
        <w:t>2</w:t>
      </w:r>
      <w:r w:rsidR="000A7BBE">
        <w:fldChar w:fldCharType="end"/>
      </w:r>
      <w:r w:rsidR="000F4027">
        <w:t>).</w:t>
      </w:r>
    </w:p>
    <w:p w:rsidR="00B71354" w:rsidRDefault="00DB2ED2" w:rsidP="00920C0F">
      <w:pPr>
        <w:pStyle w:val="Caption"/>
      </w:pPr>
      <w:bookmarkStart w:id="29" w:name="_Ref357500484"/>
      <w:bookmarkStart w:id="30" w:name="_Toc358282859"/>
      <w:bookmarkStart w:id="31" w:name="_Toc374975650"/>
      <w:bookmarkStart w:id="32" w:name="_Toc415751191"/>
      <w:r>
        <w:lastRenderedPageBreak/>
        <w:t xml:space="preserve">Map </w:t>
      </w:r>
      <w:r w:rsidR="000A7BBE">
        <w:fldChar w:fldCharType="begin"/>
      </w:r>
      <w:r w:rsidR="005F6BB5">
        <w:instrText xml:space="preserve"> SEQ Map \* ARABIC </w:instrText>
      </w:r>
      <w:r w:rsidR="000A7BBE">
        <w:fldChar w:fldCharType="separate"/>
      </w:r>
      <w:r w:rsidR="00073D21">
        <w:rPr>
          <w:noProof/>
        </w:rPr>
        <w:t>1</w:t>
      </w:r>
      <w:r w:rsidR="000A7BBE">
        <w:rPr>
          <w:noProof/>
        </w:rPr>
        <w:fldChar w:fldCharType="end"/>
      </w:r>
      <w:bookmarkEnd w:id="29"/>
      <w:r>
        <w:t xml:space="preserve"> National Plantation Inventory regions</w:t>
      </w:r>
      <w:bookmarkEnd w:id="30"/>
      <w:bookmarkEnd w:id="31"/>
      <w:bookmarkEnd w:id="32"/>
    </w:p>
    <w:p w:rsidR="00B71354" w:rsidRDefault="00B71354" w:rsidP="00B71354">
      <w:pPr>
        <w:pStyle w:val="NoSpacing"/>
        <w:keepLines/>
      </w:pPr>
      <w:r>
        <w:rPr>
          <w:noProof/>
          <w:lang w:eastAsia="en-AU"/>
        </w:rPr>
        <w:drawing>
          <wp:inline distT="0" distB="0" distL="0" distR="0">
            <wp:extent cx="5375082" cy="3737114"/>
            <wp:effectExtent l="19050" t="0" r="0" b="0"/>
            <wp:docPr id="14" name="Picture 14" descr="National Plant Inventory regions are discussed in the previous paragraph."/>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l="2626" t="4098" r="3945" b="4102"/>
                    <a:stretch/>
                  </pic:blipFill>
                  <pic:spPr bwMode="auto">
                    <a:xfrm>
                      <a:off x="0" y="0"/>
                      <a:ext cx="5380979" cy="3741214"/>
                    </a:xfrm>
                    <a:prstGeom prst="rect">
                      <a:avLst/>
                    </a:prstGeom>
                    <a:ln>
                      <a:noFill/>
                    </a:ln>
                    <a:extLst>
                      <a:ext uri="{53640926-AAD7-44D8-BBD7-CCE9431645EC}">
                        <a14:shadowObscured xmlns:a14="http://schemas.microsoft.com/office/drawing/2010/main"/>
                      </a:ext>
                    </a:extLst>
                  </pic:spPr>
                </pic:pic>
              </a:graphicData>
            </a:graphic>
          </wp:inline>
        </w:drawing>
      </w:r>
    </w:p>
    <w:p w:rsidR="00DB2ED2" w:rsidRPr="007160DB" w:rsidRDefault="00DB2ED2" w:rsidP="00840140">
      <w:pPr>
        <w:pStyle w:val="Notesourcetext"/>
      </w:pPr>
      <w:r w:rsidRPr="007160DB">
        <w:t>Source: ABARES</w:t>
      </w:r>
    </w:p>
    <w:p w:rsidR="001C0F85" w:rsidRDefault="001C0F85" w:rsidP="001C0F85">
      <w:pPr>
        <w:pStyle w:val="Caption"/>
      </w:pPr>
      <w:bookmarkStart w:id="33" w:name="_Ref363817426"/>
      <w:bookmarkStart w:id="34" w:name="_Ref363817420"/>
      <w:bookmarkStart w:id="35" w:name="_Toc371959326"/>
      <w:bookmarkStart w:id="36" w:name="_Toc415751186"/>
      <w:r>
        <w:t xml:space="preserve">Table </w:t>
      </w:r>
      <w:r w:rsidR="000A7BBE">
        <w:fldChar w:fldCharType="begin"/>
      </w:r>
      <w:r w:rsidR="00C3259D">
        <w:instrText xml:space="preserve"> SEQ Table </w:instrText>
      </w:r>
      <w:r w:rsidR="004A2267">
        <w:instrText>\* Arabic</w:instrText>
      </w:r>
      <w:r w:rsidR="00C3259D">
        <w:instrText xml:space="preserve"> </w:instrText>
      </w:r>
      <w:r w:rsidR="000A7BBE">
        <w:fldChar w:fldCharType="separate"/>
      </w:r>
      <w:r w:rsidR="00073D21">
        <w:rPr>
          <w:noProof/>
        </w:rPr>
        <w:t>2</w:t>
      </w:r>
      <w:r w:rsidR="000A7BBE">
        <w:fldChar w:fldCharType="end"/>
      </w:r>
      <w:bookmarkEnd w:id="33"/>
      <w:r>
        <w:t xml:space="preserve"> Assumptions used in business-as-usual scenario</w:t>
      </w:r>
      <w:bookmarkEnd w:id="34"/>
      <w:bookmarkEnd w:id="35"/>
      <w:bookmarkEnd w:id="36"/>
    </w:p>
    <w:tbl>
      <w:tblPr>
        <w:tblStyle w:val="ABARESTableleftrightalign"/>
        <w:tblW w:w="9119" w:type="dxa"/>
        <w:tblLook w:val="04A0" w:firstRow="1" w:lastRow="0" w:firstColumn="1" w:lastColumn="0" w:noHBand="0" w:noVBand="1"/>
      </w:tblPr>
      <w:tblGrid>
        <w:gridCol w:w="3587"/>
        <w:gridCol w:w="1140"/>
        <w:gridCol w:w="1098"/>
        <w:gridCol w:w="1098"/>
        <w:gridCol w:w="1098"/>
        <w:gridCol w:w="1098"/>
      </w:tblGrid>
      <w:tr w:rsidR="002C04E3" w:rsidRPr="00D141D2" w:rsidTr="002C04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7" w:type="dxa"/>
          </w:tcPr>
          <w:p w:rsidR="002C04E3" w:rsidRPr="00D141D2" w:rsidRDefault="002C04E3" w:rsidP="000E0821">
            <w:pPr>
              <w:pStyle w:val="Tabletext"/>
              <w:rPr>
                <w:szCs w:val="19"/>
              </w:rPr>
            </w:pPr>
            <w:r w:rsidRPr="00D141D2">
              <w:rPr>
                <w:szCs w:val="19"/>
              </w:rPr>
              <w:t>Category (unit)</w:t>
            </w:r>
          </w:p>
        </w:tc>
        <w:tc>
          <w:tcPr>
            <w:tcW w:w="1140" w:type="dxa"/>
          </w:tcPr>
          <w:p w:rsidR="002C04E3" w:rsidRPr="00D141D2" w:rsidRDefault="002C04E3" w:rsidP="000E0821">
            <w:pPr>
              <w:pStyle w:val="Tabletext"/>
              <w:cnfStyle w:val="100000000000" w:firstRow="1" w:lastRow="0" w:firstColumn="0" w:lastColumn="0" w:oddVBand="0" w:evenVBand="0" w:oddHBand="0" w:evenHBand="0" w:firstRowFirstColumn="0" w:firstRowLastColumn="0" w:lastRowFirstColumn="0" w:lastRowLastColumn="0"/>
              <w:rPr>
                <w:szCs w:val="19"/>
              </w:rPr>
            </w:pPr>
            <w:r w:rsidRPr="00D141D2">
              <w:rPr>
                <w:szCs w:val="19"/>
              </w:rPr>
              <w:t>2009–10</w:t>
            </w:r>
          </w:p>
        </w:tc>
        <w:tc>
          <w:tcPr>
            <w:tcW w:w="1098" w:type="dxa"/>
          </w:tcPr>
          <w:p w:rsidR="002C04E3" w:rsidRPr="00D141D2" w:rsidRDefault="002C04E3" w:rsidP="000E0821">
            <w:pPr>
              <w:pStyle w:val="Tabletext"/>
              <w:cnfStyle w:val="100000000000" w:firstRow="1" w:lastRow="0" w:firstColumn="0" w:lastColumn="0" w:oddVBand="0" w:evenVBand="0" w:oddHBand="0" w:evenHBand="0" w:firstRowFirstColumn="0" w:firstRowLastColumn="0" w:lastRowFirstColumn="0" w:lastRowLastColumn="0"/>
              <w:rPr>
                <w:szCs w:val="19"/>
              </w:rPr>
            </w:pPr>
            <w:r w:rsidRPr="00D141D2">
              <w:rPr>
                <w:szCs w:val="19"/>
              </w:rPr>
              <w:t>2019–20</w:t>
            </w:r>
          </w:p>
        </w:tc>
        <w:tc>
          <w:tcPr>
            <w:tcW w:w="1098" w:type="dxa"/>
          </w:tcPr>
          <w:p w:rsidR="002C04E3" w:rsidRPr="00D141D2" w:rsidRDefault="002C04E3" w:rsidP="000E0821">
            <w:pPr>
              <w:pStyle w:val="Tabletext"/>
              <w:cnfStyle w:val="100000000000" w:firstRow="1" w:lastRow="0" w:firstColumn="0" w:lastColumn="0" w:oddVBand="0" w:evenVBand="0" w:oddHBand="0" w:evenHBand="0" w:firstRowFirstColumn="0" w:firstRowLastColumn="0" w:lastRowFirstColumn="0" w:lastRowLastColumn="0"/>
              <w:rPr>
                <w:szCs w:val="19"/>
              </w:rPr>
            </w:pPr>
            <w:r w:rsidRPr="00D141D2">
              <w:rPr>
                <w:szCs w:val="19"/>
              </w:rPr>
              <w:t>2029–30</w:t>
            </w:r>
          </w:p>
        </w:tc>
        <w:tc>
          <w:tcPr>
            <w:tcW w:w="1098" w:type="dxa"/>
          </w:tcPr>
          <w:p w:rsidR="002C04E3" w:rsidRPr="00D141D2" w:rsidRDefault="002C04E3" w:rsidP="000E0821">
            <w:pPr>
              <w:pStyle w:val="Tabletext"/>
              <w:cnfStyle w:val="100000000000" w:firstRow="1" w:lastRow="0" w:firstColumn="0" w:lastColumn="0" w:oddVBand="0" w:evenVBand="0" w:oddHBand="0" w:evenHBand="0" w:firstRowFirstColumn="0" w:firstRowLastColumn="0" w:lastRowFirstColumn="0" w:lastRowLastColumn="0"/>
              <w:rPr>
                <w:szCs w:val="19"/>
              </w:rPr>
            </w:pPr>
            <w:r w:rsidRPr="00D141D2">
              <w:rPr>
                <w:szCs w:val="19"/>
              </w:rPr>
              <w:t>2039–40</w:t>
            </w:r>
          </w:p>
        </w:tc>
        <w:tc>
          <w:tcPr>
            <w:tcW w:w="1098" w:type="dxa"/>
          </w:tcPr>
          <w:p w:rsidR="002C04E3" w:rsidRPr="00D141D2" w:rsidRDefault="002C04E3" w:rsidP="000E0821">
            <w:pPr>
              <w:pStyle w:val="Tabletext"/>
              <w:cnfStyle w:val="100000000000" w:firstRow="1" w:lastRow="0" w:firstColumn="0" w:lastColumn="0" w:oddVBand="0" w:evenVBand="0" w:oddHBand="0" w:evenHBand="0" w:firstRowFirstColumn="0" w:firstRowLastColumn="0" w:lastRowFirstColumn="0" w:lastRowLastColumn="0"/>
              <w:rPr>
                <w:szCs w:val="19"/>
              </w:rPr>
            </w:pPr>
            <w:r w:rsidRPr="00D141D2">
              <w:rPr>
                <w:szCs w:val="19"/>
              </w:rPr>
              <w:t>2049–50</w:t>
            </w:r>
          </w:p>
        </w:tc>
      </w:tr>
      <w:tr w:rsidR="002C04E3" w:rsidRPr="00D141D2" w:rsidTr="002C04E3">
        <w:tc>
          <w:tcPr>
            <w:cnfStyle w:val="001000000000" w:firstRow="0" w:lastRow="0" w:firstColumn="1" w:lastColumn="0" w:oddVBand="0" w:evenVBand="0" w:oddHBand="0" w:evenHBand="0" w:firstRowFirstColumn="0" w:firstRowLastColumn="0" w:lastRowFirstColumn="0" w:lastRowLastColumn="0"/>
            <w:tcW w:w="9119" w:type="dxa"/>
            <w:gridSpan w:val="6"/>
          </w:tcPr>
          <w:p w:rsidR="002C04E3" w:rsidRPr="00D141D2" w:rsidRDefault="002C04E3" w:rsidP="000E0821">
            <w:pPr>
              <w:pStyle w:val="Tabletext"/>
              <w:rPr>
                <w:rStyle w:val="Bold"/>
                <w:szCs w:val="19"/>
              </w:rPr>
            </w:pPr>
            <w:r w:rsidRPr="00D141D2">
              <w:rPr>
                <w:rStyle w:val="Bold"/>
                <w:szCs w:val="19"/>
              </w:rPr>
              <w:t>Domestic resources</w:t>
            </w:r>
          </w:p>
        </w:tc>
      </w:tr>
      <w:tr w:rsidR="002C04E3" w:rsidRPr="00D141D2" w:rsidTr="002C04E3">
        <w:tc>
          <w:tcPr>
            <w:cnfStyle w:val="001000000000" w:firstRow="0" w:lastRow="0" w:firstColumn="1" w:lastColumn="0" w:oddVBand="0" w:evenVBand="0" w:oddHBand="0" w:evenHBand="0" w:firstRowFirstColumn="0" w:firstRowLastColumn="0" w:lastRowFirstColumn="0" w:lastRowLastColumn="0"/>
            <w:tcW w:w="3587" w:type="dxa"/>
          </w:tcPr>
          <w:p w:rsidR="002C04E3" w:rsidRPr="00D141D2" w:rsidRDefault="002C04E3" w:rsidP="00C574D3">
            <w:pPr>
              <w:pStyle w:val="Tablebulletpoint"/>
            </w:pPr>
            <w:r w:rsidRPr="00D141D2">
              <w:t>Broadleaved plantation area (’000 ha)</w:t>
            </w:r>
          </w:p>
        </w:tc>
        <w:tc>
          <w:tcPr>
            <w:tcW w:w="1140" w:type="dxa"/>
          </w:tcPr>
          <w:p w:rsidR="002C04E3" w:rsidRPr="00D141D2" w:rsidRDefault="002C04E3" w:rsidP="000E0821">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980</w:t>
            </w:r>
          </w:p>
        </w:tc>
        <w:tc>
          <w:tcPr>
            <w:tcW w:w="1098" w:type="dxa"/>
          </w:tcPr>
          <w:p w:rsidR="002C04E3" w:rsidRPr="00D141D2" w:rsidRDefault="002C04E3" w:rsidP="000E0821">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980</w:t>
            </w:r>
          </w:p>
        </w:tc>
        <w:tc>
          <w:tcPr>
            <w:tcW w:w="1098" w:type="dxa"/>
          </w:tcPr>
          <w:p w:rsidR="002C04E3" w:rsidRPr="00D141D2" w:rsidRDefault="002C04E3" w:rsidP="000E0821">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980</w:t>
            </w:r>
          </w:p>
        </w:tc>
        <w:tc>
          <w:tcPr>
            <w:tcW w:w="1098" w:type="dxa"/>
          </w:tcPr>
          <w:p w:rsidR="002C04E3" w:rsidRPr="00D141D2" w:rsidRDefault="002C04E3" w:rsidP="000E0821">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980</w:t>
            </w:r>
          </w:p>
        </w:tc>
        <w:tc>
          <w:tcPr>
            <w:tcW w:w="1098" w:type="dxa"/>
          </w:tcPr>
          <w:p w:rsidR="002C04E3" w:rsidRPr="00D141D2" w:rsidRDefault="002C04E3" w:rsidP="000E0821">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980</w:t>
            </w:r>
          </w:p>
        </w:tc>
      </w:tr>
      <w:tr w:rsidR="002C04E3" w:rsidRPr="00D141D2" w:rsidTr="002C04E3">
        <w:tc>
          <w:tcPr>
            <w:cnfStyle w:val="001000000000" w:firstRow="0" w:lastRow="0" w:firstColumn="1" w:lastColumn="0" w:oddVBand="0" w:evenVBand="0" w:oddHBand="0" w:evenHBand="0" w:firstRowFirstColumn="0" w:firstRowLastColumn="0" w:lastRowFirstColumn="0" w:lastRowLastColumn="0"/>
            <w:tcW w:w="3587" w:type="dxa"/>
          </w:tcPr>
          <w:p w:rsidR="002C04E3" w:rsidRPr="00D141D2" w:rsidRDefault="002C04E3" w:rsidP="00C574D3">
            <w:pPr>
              <w:pStyle w:val="Tablebulletpoint"/>
            </w:pPr>
            <w:r w:rsidRPr="00D141D2">
              <w:t>Coniferous plantation area (’000 ha)</w:t>
            </w:r>
          </w:p>
        </w:tc>
        <w:tc>
          <w:tcPr>
            <w:tcW w:w="1140" w:type="dxa"/>
          </w:tcPr>
          <w:p w:rsidR="002C04E3" w:rsidRPr="00D141D2" w:rsidRDefault="002C04E3" w:rsidP="000E0821">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1 025</w:t>
            </w:r>
          </w:p>
        </w:tc>
        <w:tc>
          <w:tcPr>
            <w:tcW w:w="1098" w:type="dxa"/>
          </w:tcPr>
          <w:p w:rsidR="002C04E3" w:rsidRPr="00D141D2" w:rsidRDefault="002C04E3" w:rsidP="000E0821">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1 025</w:t>
            </w:r>
          </w:p>
        </w:tc>
        <w:tc>
          <w:tcPr>
            <w:tcW w:w="1098" w:type="dxa"/>
          </w:tcPr>
          <w:p w:rsidR="002C04E3" w:rsidRPr="00D141D2" w:rsidRDefault="002C04E3" w:rsidP="000E0821">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1 025</w:t>
            </w:r>
          </w:p>
        </w:tc>
        <w:tc>
          <w:tcPr>
            <w:tcW w:w="1098" w:type="dxa"/>
          </w:tcPr>
          <w:p w:rsidR="002C04E3" w:rsidRPr="00D141D2" w:rsidRDefault="002C04E3" w:rsidP="000E0821">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1 025</w:t>
            </w:r>
          </w:p>
        </w:tc>
        <w:tc>
          <w:tcPr>
            <w:tcW w:w="1098" w:type="dxa"/>
          </w:tcPr>
          <w:p w:rsidR="002C04E3" w:rsidRPr="00D141D2" w:rsidRDefault="002C04E3" w:rsidP="000E0821">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1 025</w:t>
            </w:r>
          </w:p>
        </w:tc>
      </w:tr>
      <w:tr w:rsidR="002C04E3" w:rsidRPr="00D141D2" w:rsidTr="002C04E3">
        <w:tc>
          <w:tcPr>
            <w:cnfStyle w:val="001000000000" w:firstRow="0" w:lastRow="0" w:firstColumn="1" w:lastColumn="0" w:oddVBand="0" w:evenVBand="0" w:oddHBand="0" w:evenHBand="0" w:firstRowFirstColumn="0" w:firstRowLastColumn="0" w:lastRowFirstColumn="0" w:lastRowLastColumn="0"/>
            <w:tcW w:w="9119" w:type="dxa"/>
            <w:gridSpan w:val="6"/>
          </w:tcPr>
          <w:p w:rsidR="002C04E3" w:rsidRPr="00D141D2" w:rsidRDefault="002C04E3" w:rsidP="000E0821">
            <w:pPr>
              <w:pStyle w:val="Tabletext"/>
              <w:rPr>
                <w:rStyle w:val="Bold"/>
                <w:szCs w:val="19"/>
              </w:rPr>
            </w:pPr>
            <w:r w:rsidRPr="00D141D2">
              <w:rPr>
                <w:rStyle w:val="Bold"/>
                <w:szCs w:val="19"/>
              </w:rPr>
              <w:t>Domestic markets</w:t>
            </w:r>
          </w:p>
        </w:tc>
      </w:tr>
      <w:tr w:rsidR="002C04E3" w:rsidRPr="00D141D2" w:rsidTr="002C04E3">
        <w:tc>
          <w:tcPr>
            <w:cnfStyle w:val="001000000000" w:firstRow="0" w:lastRow="0" w:firstColumn="1" w:lastColumn="0" w:oddVBand="0" w:evenVBand="0" w:oddHBand="0" w:evenHBand="0" w:firstRowFirstColumn="0" w:firstRowLastColumn="0" w:lastRowFirstColumn="0" w:lastRowLastColumn="0"/>
            <w:tcW w:w="3587" w:type="dxa"/>
          </w:tcPr>
          <w:p w:rsidR="002C04E3" w:rsidRPr="00D141D2" w:rsidRDefault="002C04E3" w:rsidP="00C574D3">
            <w:pPr>
              <w:pStyle w:val="Tablebulletpoint"/>
            </w:pPr>
            <w:r w:rsidRPr="00D141D2">
              <w:t>Real GDP (2010A$b)</w:t>
            </w:r>
          </w:p>
        </w:tc>
        <w:tc>
          <w:tcPr>
            <w:tcW w:w="1140" w:type="dxa"/>
          </w:tcPr>
          <w:p w:rsidR="002C04E3" w:rsidRPr="00D141D2" w:rsidRDefault="002C04E3" w:rsidP="000E0821">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1 284</w:t>
            </w:r>
          </w:p>
        </w:tc>
        <w:tc>
          <w:tcPr>
            <w:tcW w:w="1098" w:type="dxa"/>
          </w:tcPr>
          <w:p w:rsidR="002C04E3" w:rsidRPr="00D141D2" w:rsidRDefault="002C04E3" w:rsidP="000E0821">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1 719</w:t>
            </w:r>
          </w:p>
        </w:tc>
        <w:tc>
          <w:tcPr>
            <w:tcW w:w="1098" w:type="dxa"/>
          </w:tcPr>
          <w:p w:rsidR="002C04E3" w:rsidRPr="00D141D2" w:rsidRDefault="002C04E3" w:rsidP="000E0821">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2 211</w:t>
            </w:r>
          </w:p>
        </w:tc>
        <w:tc>
          <w:tcPr>
            <w:tcW w:w="1098" w:type="dxa"/>
          </w:tcPr>
          <w:p w:rsidR="002C04E3" w:rsidRPr="00D141D2" w:rsidRDefault="002C04E3" w:rsidP="000E0821">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2 832</w:t>
            </w:r>
          </w:p>
        </w:tc>
        <w:tc>
          <w:tcPr>
            <w:tcW w:w="1098" w:type="dxa"/>
          </w:tcPr>
          <w:p w:rsidR="002C04E3" w:rsidRPr="00D141D2" w:rsidRDefault="002C04E3" w:rsidP="000E0821">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3 555</w:t>
            </w:r>
          </w:p>
        </w:tc>
      </w:tr>
      <w:tr w:rsidR="002C04E3" w:rsidRPr="00D141D2" w:rsidTr="002C04E3">
        <w:tc>
          <w:tcPr>
            <w:cnfStyle w:val="001000000000" w:firstRow="0" w:lastRow="0" w:firstColumn="1" w:lastColumn="0" w:oddVBand="0" w:evenVBand="0" w:oddHBand="0" w:evenHBand="0" w:firstRowFirstColumn="0" w:firstRowLastColumn="0" w:lastRowFirstColumn="0" w:lastRowLastColumn="0"/>
            <w:tcW w:w="3587" w:type="dxa"/>
          </w:tcPr>
          <w:p w:rsidR="002C04E3" w:rsidRPr="00D141D2" w:rsidRDefault="002C04E3" w:rsidP="00C574D3">
            <w:pPr>
              <w:pStyle w:val="Tablebulletpoint"/>
            </w:pPr>
            <w:r w:rsidRPr="00D141D2">
              <w:t>Interest rate (%)</w:t>
            </w:r>
          </w:p>
        </w:tc>
        <w:tc>
          <w:tcPr>
            <w:tcW w:w="1140" w:type="dxa"/>
          </w:tcPr>
          <w:p w:rsidR="002C04E3" w:rsidRPr="00D141D2" w:rsidRDefault="002C04E3" w:rsidP="000E0821">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6.0</w:t>
            </w:r>
          </w:p>
        </w:tc>
        <w:tc>
          <w:tcPr>
            <w:tcW w:w="1098" w:type="dxa"/>
          </w:tcPr>
          <w:p w:rsidR="002C04E3" w:rsidRPr="00D141D2" w:rsidRDefault="002C04E3" w:rsidP="000E0821">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6.8</w:t>
            </w:r>
          </w:p>
        </w:tc>
        <w:tc>
          <w:tcPr>
            <w:tcW w:w="1098" w:type="dxa"/>
          </w:tcPr>
          <w:p w:rsidR="002C04E3" w:rsidRPr="00D141D2" w:rsidRDefault="002C04E3" w:rsidP="000E0821">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6.8</w:t>
            </w:r>
          </w:p>
        </w:tc>
        <w:tc>
          <w:tcPr>
            <w:tcW w:w="1098" w:type="dxa"/>
          </w:tcPr>
          <w:p w:rsidR="002C04E3" w:rsidRPr="00D141D2" w:rsidRDefault="002C04E3" w:rsidP="000E0821">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6.8</w:t>
            </w:r>
          </w:p>
        </w:tc>
        <w:tc>
          <w:tcPr>
            <w:tcW w:w="1098" w:type="dxa"/>
          </w:tcPr>
          <w:p w:rsidR="002C04E3" w:rsidRPr="00D141D2" w:rsidRDefault="002C04E3" w:rsidP="000E0821">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6.8</w:t>
            </w:r>
          </w:p>
        </w:tc>
      </w:tr>
      <w:tr w:rsidR="002C04E3" w:rsidRPr="00D141D2" w:rsidTr="002C04E3">
        <w:tc>
          <w:tcPr>
            <w:cnfStyle w:val="001000000000" w:firstRow="0" w:lastRow="0" w:firstColumn="1" w:lastColumn="0" w:oddVBand="0" w:evenVBand="0" w:oddHBand="0" w:evenHBand="0" w:firstRowFirstColumn="0" w:firstRowLastColumn="0" w:lastRowFirstColumn="0" w:lastRowLastColumn="0"/>
            <w:tcW w:w="3587" w:type="dxa"/>
          </w:tcPr>
          <w:p w:rsidR="002C04E3" w:rsidRPr="00D141D2" w:rsidRDefault="002C04E3" w:rsidP="00C574D3">
            <w:pPr>
              <w:pStyle w:val="Tablebulletpoint"/>
            </w:pPr>
            <w:r w:rsidRPr="00D141D2">
              <w:t>Population (million)</w:t>
            </w:r>
          </w:p>
        </w:tc>
        <w:tc>
          <w:tcPr>
            <w:tcW w:w="1140" w:type="dxa"/>
          </w:tcPr>
          <w:p w:rsidR="002C04E3" w:rsidRPr="00D141D2" w:rsidRDefault="002C04E3" w:rsidP="000E0821">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22.3</w:t>
            </w:r>
          </w:p>
        </w:tc>
        <w:tc>
          <w:tcPr>
            <w:tcW w:w="1098" w:type="dxa"/>
          </w:tcPr>
          <w:p w:rsidR="002C04E3" w:rsidRPr="00D141D2" w:rsidRDefault="002C04E3" w:rsidP="000E0821">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25.5</w:t>
            </w:r>
          </w:p>
        </w:tc>
        <w:tc>
          <w:tcPr>
            <w:tcW w:w="1098" w:type="dxa"/>
          </w:tcPr>
          <w:p w:rsidR="002C04E3" w:rsidRPr="00D141D2" w:rsidRDefault="002C04E3" w:rsidP="000E0821">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29.0</w:t>
            </w:r>
          </w:p>
        </w:tc>
        <w:tc>
          <w:tcPr>
            <w:tcW w:w="1098" w:type="dxa"/>
          </w:tcPr>
          <w:p w:rsidR="002C04E3" w:rsidRPr="00D141D2" w:rsidRDefault="002C04E3" w:rsidP="000E0821">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32.4</w:t>
            </w:r>
          </w:p>
        </w:tc>
        <w:tc>
          <w:tcPr>
            <w:tcW w:w="1098" w:type="dxa"/>
          </w:tcPr>
          <w:p w:rsidR="002C04E3" w:rsidRPr="00D141D2" w:rsidRDefault="002C04E3" w:rsidP="000E0821">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35.7</w:t>
            </w:r>
          </w:p>
        </w:tc>
      </w:tr>
      <w:tr w:rsidR="002C04E3" w:rsidRPr="00D141D2" w:rsidTr="002C04E3">
        <w:tc>
          <w:tcPr>
            <w:cnfStyle w:val="001000000000" w:firstRow="0" w:lastRow="0" w:firstColumn="1" w:lastColumn="0" w:oddVBand="0" w:evenVBand="0" w:oddHBand="0" w:evenHBand="0" w:firstRowFirstColumn="0" w:firstRowLastColumn="0" w:lastRowFirstColumn="0" w:lastRowLastColumn="0"/>
            <w:tcW w:w="3587" w:type="dxa"/>
          </w:tcPr>
          <w:p w:rsidR="002C04E3" w:rsidRPr="00D141D2" w:rsidRDefault="002C04E3" w:rsidP="00C574D3">
            <w:pPr>
              <w:pStyle w:val="Tablebulletpoint"/>
            </w:pPr>
            <w:r w:rsidRPr="00D141D2">
              <w:t>Real GDP per capita (2010A$/person)</w:t>
            </w:r>
          </w:p>
        </w:tc>
        <w:tc>
          <w:tcPr>
            <w:tcW w:w="1140" w:type="dxa"/>
          </w:tcPr>
          <w:p w:rsidR="002C04E3" w:rsidRPr="00D141D2" w:rsidRDefault="002C04E3" w:rsidP="000E0821">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57 756</w:t>
            </w:r>
          </w:p>
        </w:tc>
        <w:tc>
          <w:tcPr>
            <w:tcW w:w="1098" w:type="dxa"/>
          </w:tcPr>
          <w:p w:rsidR="002C04E3" w:rsidRPr="00D141D2" w:rsidRDefault="002C04E3" w:rsidP="000E0821">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67 518</w:t>
            </w:r>
          </w:p>
        </w:tc>
        <w:tc>
          <w:tcPr>
            <w:tcW w:w="1098" w:type="dxa"/>
          </w:tcPr>
          <w:p w:rsidR="002C04E3" w:rsidRPr="00D141D2" w:rsidRDefault="002C04E3" w:rsidP="000E0821">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76 177</w:t>
            </w:r>
          </w:p>
        </w:tc>
        <w:tc>
          <w:tcPr>
            <w:tcW w:w="1098" w:type="dxa"/>
          </w:tcPr>
          <w:p w:rsidR="002C04E3" w:rsidRPr="00D141D2" w:rsidRDefault="002C04E3" w:rsidP="000E0821">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87 375</w:t>
            </w:r>
          </w:p>
        </w:tc>
        <w:tc>
          <w:tcPr>
            <w:tcW w:w="1098" w:type="dxa"/>
          </w:tcPr>
          <w:p w:rsidR="002C04E3" w:rsidRPr="00D141D2" w:rsidRDefault="002C04E3" w:rsidP="000E0821">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99 477</w:t>
            </w:r>
          </w:p>
        </w:tc>
      </w:tr>
      <w:tr w:rsidR="002C04E3" w:rsidRPr="00D141D2" w:rsidTr="002C04E3">
        <w:tc>
          <w:tcPr>
            <w:cnfStyle w:val="001000000000" w:firstRow="0" w:lastRow="0" w:firstColumn="1" w:lastColumn="0" w:oddVBand="0" w:evenVBand="0" w:oddHBand="0" w:evenHBand="0" w:firstRowFirstColumn="0" w:firstRowLastColumn="0" w:lastRowFirstColumn="0" w:lastRowLastColumn="0"/>
            <w:tcW w:w="3587" w:type="dxa"/>
          </w:tcPr>
          <w:p w:rsidR="002C04E3" w:rsidRPr="00D141D2" w:rsidRDefault="002C04E3" w:rsidP="00C574D3">
            <w:pPr>
              <w:pStyle w:val="Tablebulletpoint"/>
            </w:pPr>
            <w:r w:rsidRPr="00D141D2">
              <w:t>Manufacturing output (2010A$b)</w:t>
            </w:r>
          </w:p>
        </w:tc>
        <w:tc>
          <w:tcPr>
            <w:tcW w:w="1140" w:type="dxa"/>
          </w:tcPr>
          <w:p w:rsidR="002C04E3" w:rsidRPr="00D141D2" w:rsidRDefault="002C04E3" w:rsidP="000E0821">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107.7</w:t>
            </w:r>
          </w:p>
        </w:tc>
        <w:tc>
          <w:tcPr>
            <w:tcW w:w="1098" w:type="dxa"/>
          </w:tcPr>
          <w:p w:rsidR="002C04E3" w:rsidRPr="00D141D2" w:rsidRDefault="002C04E3" w:rsidP="000E0821">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111.9</w:t>
            </w:r>
          </w:p>
        </w:tc>
        <w:tc>
          <w:tcPr>
            <w:tcW w:w="1098" w:type="dxa"/>
          </w:tcPr>
          <w:p w:rsidR="002C04E3" w:rsidRPr="00D141D2" w:rsidRDefault="002C04E3" w:rsidP="000E0821">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117.5</w:t>
            </w:r>
          </w:p>
        </w:tc>
        <w:tc>
          <w:tcPr>
            <w:tcW w:w="1098" w:type="dxa"/>
          </w:tcPr>
          <w:p w:rsidR="002C04E3" w:rsidRPr="00D141D2" w:rsidRDefault="002C04E3" w:rsidP="000E0821">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137.4</w:t>
            </w:r>
          </w:p>
        </w:tc>
        <w:tc>
          <w:tcPr>
            <w:tcW w:w="1098" w:type="dxa"/>
          </w:tcPr>
          <w:p w:rsidR="002C04E3" w:rsidRPr="00D141D2" w:rsidRDefault="002C04E3" w:rsidP="000E0821">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182.1</w:t>
            </w:r>
          </w:p>
        </w:tc>
      </w:tr>
      <w:tr w:rsidR="002C04E3" w:rsidRPr="00D141D2" w:rsidTr="002C04E3">
        <w:tc>
          <w:tcPr>
            <w:cnfStyle w:val="001000000000" w:firstRow="0" w:lastRow="0" w:firstColumn="1" w:lastColumn="0" w:oddVBand="0" w:evenVBand="0" w:oddHBand="0" w:evenHBand="0" w:firstRowFirstColumn="0" w:firstRowLastColumn="0" w:lastRowFirstColumn="0" w:lastRowLastColumn="0"/>
            <w:tcW w:w="3587" w:type="dxa"/>
          </w:tcPr>
          <w:p w:rsidR="002C04E3" w:rsidRPr="00D141D2" w:rsidRDefault="002C04E3" w:rsidP="00C574D3">
            <w:pPr>
              <w:pStyle w:val="Tablebulletpoint"/>
            </w:pPr>
            <w:r w:rsidRPr="00D141D2">
              <w:t>Household size (People/household)</w:t>
            </w:r>
          </w:p>
        </w:tc>
        <w:tc>
          <w:tcPr>
            <w:tcW w:w="1140" w:type="dxa"/>
          </w:tcPr>
          <w:p w:rsidR="002C04E3" w:rsidRPr="00D141D2" w:rsidRDefault="002C04E3" w:rsidP="000E0821">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2.45</w:t>
            </w:r>
          </w:p>
        </w:tc>
        <w:tc>
          <w:tcPr>
            <w:tcW w:w="1098" w:type="dxa"/>
          </w:tcPr>
          <w:p w:rsidR="002C04E3" w:rsidRPr="00D141D2" w:rsidRDefault="002C04E3" w:rsidP="000E0821">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2.33</w:t>
            </w:r>
          </w:p>
        </w:tc>
        <w:tc>
          <w:tcPr>
            <w:tcW w:w="1098" w:type="dxa"/>
          </w:tcPr>
          <w:p w:rsidR="002C04E3" w:rsidRPr="00D141D2" w:rsidRDefault="002C04E3" w:rsidP="000E0821">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2.24</w:t>
            </w:r>
          </w:p>
        </w:tc>
        <w:tc>
          <w:tcPr>
            <w:tcW w:w="1098" w:type="dxa"/>
          </w:tcPr>
          <w:p w:rsidR="002C04E3" w:rsidRPr="00D141D2" w:rsidRDefault="002C04E3" w:rsidP="000E0821">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2.19</w:t>
            </w:r>
          </w:p>
        </w:tc>
        <w:tc>
          <w:tcPr>
            <w:tcW w:w="1098" w:type="dxa"/>
          </w:tcPr>
          <w:p w:rsidR="002C04E3" w:rsidRPr="00D141D2" w:rsidRDefault="002C04E3" w:rsidP="000E0821">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2.18</w:t>
            </w:r>
          </w:p>
        </w:tc>
      </w:tr>
      <w:tr w:rsidR="002C04E3" w:rsidRPr="00D141D2" w:rsidTr="002C04E3">
        <w:tc>
          <w:tcPr>
            <w:cnfStyle w:val="001000000000" w:firstRow="0" w:lastRow="0" w:firstColumn="1" w:lastColumn="0" w:oddVBand="0" w:evenVBand="0" w:oddHBand="0" w:evenHBand="0" w:firstRowFirstColumn="0" w:firstRowLastColumn="0" w:lastRowFirstColumn="0" w:lastRowLastColumn="0"/>
            <w:tcW w:w="3587" w:type="dxa"/>
          </w:tcPr>
          <w:p w:rsidR="002C04E3" w:rsidRPr="00D141D2" w:rsidRDefault="002C04E3" w:rsidP="00C574D3">
            <w:pPr>
              <w:pStyle w:val="Tablebulletpoint"/>
            </w:pPr>
            <w:r w:rsidRPr="00D141D2">
              <w:t>Total dwelling commencements (’000)</w:t>
            </w:r>
          </w:p>
        </w:tc>
        <w:tc>
          <w:tcPr>
            <w:tcW w:w="1140" w:type="dxa"/>
          </w:tcPr>
          <w:p w:rsidR="002C04E3" w:rsidRPr="00D141D2" w:rsidRDefault="002C04E3" w:rsidP="000E0821">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165.5</w:t>
            </w:r>
          </w:p>
        </w:tc>
        <w:tc>
          <w:tcPr>
            <w:tcW w:w="1098" w:type="dxa"/>
          </w:tcPr>
          <w:p w:rsidR="002C04E3" w:rsidRPr="00D141D2" w:rsidRDefault="002C04E3" w:rsidP="000E0821">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188.3</w:t>
            </w:r>
          </w:p>
        </w:tc>
        <w:tc>
          <w:tcPr>
            <w:tcW w:w="1098" w:type="dxa"/>
          </w:tcPr>
          <w:p w:rsidR="002C04E3" w:rsidRPr="00D141D2" w:rsidRDefault="002C04E3" w:rsidP="000E0821">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222.7</w:t>
            </w:r>
          </w:p>
        </w:tc>
        <w:tc>
          <w:tcPr>
            <w:tcW w:w="1098" w:type="dxa"/>
          </w:tcPr>
          <w:p w:rsidR="002C04E3" w:rsidRPr="00D141D2" w:rsidRDefault="002C04E3" w:rsidP="000E0821">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254.2</w:t>
            </w:r>
          </w:p>
        </w:tc>
        <w:tc>
          <w:tcPr>
            <w:tcW w:w="1098" w:type="dxa"/>
          </w:tcPr>
          <w:p w:rsidR="002C04E3" w:rsidRPr="00D141D2" w:rsidRDefault="002C04E3" w:rsidP="000E0821">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281.8</w:t>
            </w:r>
          </w:p>
        </w:tc>
      </w:tr>
      <w:tr w:rsidR="002C04E3" w:rsidRPr="00D141D2" w:rsidTr="002C04E3">
        <w:tc>
          <w:tcPr>
            <w:cnfStyle w:val="001000000000" w:firstRow="0" w:lastRow="0" w:firstColumn="1" w:lastColumn="0" w:oddVBand="0" w:evenVBand="0" w:oddHBand="0" w:evenHBand="0" w:firstRowFirstColumn="0" w:firstRowLastColumn="0" w:lastRowFirstColumn="0" w:lastRowLastColumn="0"/>
            <w:tcW w:w="3587" w:type="dxa"/>
          </w:tcPr>
          <w:p w:rsidR="002C04E3" w:rsidRPr="00D141D2" w:rsidRDefault="002C04E3" w:rsidP="00C574D3">
            <w:pPr>
              <w:pStyle w:val="Tablebulletpoint"/>
            </w:pPr>
            <w:r w:rsidRPr="00D141D2">
              <w:t>Detached dwellings (’000)</w:t>
            </w:r>
          </w:p>
        </w:tc>
        <w:tc>
          <w:tcPr>
            <w:tcW w:w="1140" w:type="dxa"/>
          </w:tcPr>
          <w:p w:rsidR="002C04E3" w:rsidRPr="00D141D2" w:rsidRDefault="002C04E3" w:rsidP="000E0821">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112.1</w:t>
            </w:r>
          </w:p>
        </w:tc>
        <w:tc>
          <w:tcPr>
            <w:tcW w:w="1098" w:type="dxa"/>
          </w:tcPr>
          <w:p w:rsidR="002C04E3" w:rsidRPr="00D141D2" w:rsidRDefault="002C04E3" w:rsidP="000E0821">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115.8</w:t>
            </w:r>
          </w:p>
        </w:tc>
        <w:tc>
          <w:tcPr>
            <w:tcW w:w="1098" w:type="dxa"/>
          </w:tcPr>
          <w:p w:rsidR="002C04E3" w:rsidRPr="00D141D2" w:rsidRDefault="002C04E3" w:rsidP="000E0821">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128.0</w:t>
            </w:r>
          </w:p>
        </w:tc>
        <w:tc>
          <w:tcPr>
            <w:tcW w:w="1098" w:type="dxa"/>
          </w:tcPr>
          <w:p w:rsidR="002C04E3" w:rsidRPr="00D141D2" w:rsidRDefault="002C04E3" w:rsidP="000E0821">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136.0</w:t>
            </w:r>
          </w:p>
        </w:tc>
        <w:tc>
          <w:tcPr>
            <w:tcW w:w="1098" w:type="dxa"/>
          </w:tcPr>
          <w:p w:rsidR="002C04E3" w:rsidRPr="00D141D2" w:rsidRDefault="002C04E3" w:rsidP="000E0821">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139.7</w:t>
            </w:r>
          </w:p>
        </w:tc>
      </w:tr>
      <w:tr w:rsidR="002C04E3" w:rsidRPr="00D141D2" w:rsidTr="002C04E3">
        <w:tc>
          <w:tcPr>
            <w:cnfStyle w:val="001000000000" w:firstRow="0" w:lastRow="0" w:firstColumn="1" w:lastColumn="0" w:oddVBand="0" w:evenVBand="0" w:oddHBand="0" w:evenHBand="0" w:firstRowFirstColumn="0" w:firstRowLastColumn="0" w:lastRowFirstColumn="0" w:lastRowLastColumn="0"/>
            <w:tcW w:w="3587" w:type="dxa"/>
          </w:tcPr>
          <w:p w:rsidR="002C04E3" w:rsidRPr="00D141D2" w:rsidRDefault="002C04E3" w:rsidP="00C574D3">
            <w:pPr>
              <w:pStyle w:val="Tablebulletpoint"/>
            </w:pPr>
            <w:r w:rsidRPr="00D141D2">
              <w:t>Multi-dwellings (’000)</w:t>
            </w:r>
          </w:p>
        </w:tc>
        <w:tc>
          <w:tcPr>
            <w:tcW w:w="1140" w:type="dxa"/>
          </w:tcPr>
          <w:p w:rsidR="002C04E3" w:rsidRPr="00D141D2" w:rsidRDefault="002C04E3" w:rsidP="000E0821">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53.4</w:t>
            </w:r>
          </w:p>
        </w:tc>
        <w:tc>
          <w:tcPr>
            <w:tcW w:w="1098" w:type="dxa"/>
          </w:tcPr>
          <w:p w:rsidR="002C04E3" w:rsidRPr="00D141D2" w:rsidRDefault="002C04E3" w:rsidP="000E0821">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72.5</w:t>
            </w:r>
          </w:p>
        </w:tc>
        <w:tc>
          <w:tcPr>
            <w:tcW w:w="1098" w:type="dxa"/>
          </w:tcPr>
          <w:p w:rsidR="002C04E3" w:rsidRPr="00D141D2" w:rsidRDefault="002C04E3" w:rsidP="000E0821">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94.6</w:t>
            </w:r>
          </w:p>
        </w:tc>
        <w:tc>
          <w:tcPr>
            <w:tcW w:w="1098" w:type="dxa"/>
          </w:tcPr>
          <w:p w:rsidR="002C04E3" w:rsidRPr="00D141D2" w:rsidRDefault="002C04E3" w:rsidP="000E0821">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118.1</w:t>
            </w:r>
          </w:p>
        </w:tc>
        <w:tc>
          <w:tcPr>
            <w:tcW w:w="1098" w:type="dxa"/>
          </w:tcPr>
          <w:p w:rsidR="002C04E3" w:rsidRPr="00D141D2" w:rsidRDefault="002C04E3" w:rsidP="000E0821">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142.2</w:t>
            </w:r>
          </w:p>
        </w:tc>
      </w:tr>
      <w:tr w:rsidR="002C04E3" w:rsidRPr="00D141D2" w:rsidTr="002C04E3">
        <w:tc>
          <w:tcPr>
            <w:cnfStyle w:val="001000000000" w:firstRow="0" w:lastRow="0" w:firstColumn="1" w:lastColumn="0" w:oddVBand="0" w:evenVBand="0" w:oddHBand="0" w:evenHBand="0" w:firstRowFirstColumn="0" w:firstRowLastColumn="0" w:lastRowFirstColumn="0" w:lastRowLastColumn="0"/>
            <w:tcW w:w="3587" w:type="dxa"/>
          </w:tcPr>
          <w:p w:rsidR="002C04E3" w:rsidRPr="00D141D2" w:rsidRDefault="002C04E3" w:rsidP="00C574D3">
            <w:pPr>
              <w:pStyle w:val="Tablebulletpoint"/>
            </w:pPr>
            <w:r w:rsidRPr="00D141D2">
              <w:t>Share of multi-dwellings (%)</w:t>
            </w:r>
          </w:p>
        </w:tc>
        <w:tc>
          <w:tcPr>
            <w:tcW w:w="1140" w:type="dxa"/>
          </w:tcPr>
          <w:p w:rsidR="002C04E3" w:rsidRPr="00D141D2" w:rsidRDefault="002C04E3" w:rsidP="000E0821">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32</w:t>
            </w:r>
          </w:p>
        </w:tc>
        <w:tc>
          <w:tcPr>
            <w:tcW w:w="1098" w:type="dxa"/>
          </w:tcPr>
          <w:p w:rsidR="002C04E3" w:rsidRPr="00D141D2" w:rsidRDefault="002C04E3" w:rsidP="000E0821">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38</w:t>
            </w:r>
          </w:p>
        </w:tc>
        <w:tc>
          <w:tcPr>
            <w:tcW w:w="1098" w:type="dxa"/>
          </w:tcPr>
          <w:p w:rsidR="002C04E3" w:rsidRPr="00D141D2" w:rsidRDefault="002C04E3" w:rsidP="000E0821">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42</w:t>
            </w:r>
          </w:p>
        </w:tc>
        <w:tc>
          <w:tcPr>
            <w:tcW w:w="1098" w:type="dxa"/>
          </w:tcPr>
          <w:p w:rsidR="002C04E3" w:rsidRPr="00D141D2" w:rsidRDefault="002C04E3" w:rsidP="000E0821">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46</w:t>
            </w:r>
          </w:p>
        </w:tc>
        <w:tc>
          <w:tcPr>
            <w:tcW w:w="1098" w:type="dxa"/>
          </w:tcPr>
          <w:p w:rsidR="002C04E3" w:rsidRPr="00D141D2" w:rsidRDefault="002C04E3" w:rsidP="000E0821">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50</w:t>
            </w:r>
          </w:p>
        </w:tc>
      </w:tr>
      <w:tr w:rsidR="002C04E3" w:rsidRPr="00D141D2" w:rsidTr="002C04E3">
        <w:tc>
          <w:tcPr>
            <w:cnfStyle w:val="001000000000" w:firstRow="0" w:lastRow="0" w:firstColumn="1" w:lastColumn="0" w:oddVBand="0" w:evenVBand="0" w:oddHBand="0" w:evenHBand="0" w:firstRowFirstColumn="0" w:firstRowLastColumn="0" w:lastRowFirstColumn="0" w:lastRowLastColumn="0"/>
            <w:tcW w:w="3587" w:type="dxa"/>
          </w:tcPr>
          <w:p w:rsidR="002C04E3" w:rsidRPr="00D141D2" w:rsidRDefault="002C04E3" w:rsidP="00C574D3">
            <w:pPr>
              <w:pStyle w:val="Tablebulletpoint"/>
            </w:pPr>
            <w:r w:rsidRPr="00D141D2">
              <w:t>Value of renovations a (2010A$b)</w:t>
            </w:r>
          </w:p>
        </w:tc>
        <w:tc>
          <w:tcPr>
            <w:tcW w:w="1140" w:type="dxa"/>
          </w:tcPr>
          <w:p w:rsidR="002C04E3" w:rsidRPr="00D141D2" w:rsidRDefault="002C04E3" w:rsidP="000E0821">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6.5</w:t>
            </w:r>
          </w:p>
        </w:tc>
        <w:tc>
          <w:tcPr>
            <w:tcW w:w="1098" w:type="dxa"/>
          </w:tcPr>
          <w:p w:rsidR="002C04E3" w:rsidRPr="00D141D2" w:rsidRDefault="002C04E3" w:rsidP="000E0821">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9.6</w:t>
            </w:r>
          </w:p>
        </w:tc>
        <w:tc>
          <w:tcPr>
            <w:tcW w:w="1098" w:type="dxa"/>
          </w:tcPr>
          <w:p w:rsidR="002C04E3" w:rsidRPr="00D141D2" w:rsidRDefault="002C04E3" w:rsidP="000E0821">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13.5</w:t>
            </w:r>
          </w:p>
        </w:tc>
        <w:tc>
          <w:tcPr>
            <w:tcW w:w="1098" w:type="dxa"/>
          </w:tcPr>
          <w:p w:rsidR="002C04E3" w:rsidRPr="00D141D2" w:rsidRDefault="002C04E3" w:rsidP="000E0821">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17.8</w:t>
            </w:r>
          </w:p>
        </w:tc>
        <w:tc>
          <w:tcPr>
            <w:tcW w:w="1098" w:type="dxa"/>
          </w:tcPr>
          <w:p w:rsidR="002C04E3" w:rsidRPr="00D141D2" w:rsidRDefault="002C04E3" w:rsidP="000E0821">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22.4</w:t>
            </w:r>
          </w:p>
        </w:tc>
      </w:tr>
      <w:tr w:rsidR="002C04E3" w:rsidRPr="00D141D2" w:rsidTr="002C04E3">
        <w:tc>
          <w:tcPr>
            <w:cnfStyle w:val="001000000000" w:firstRow="0" w:lastRow="0" w:firstColumn="1" w:lastColumn="0" w:oddVBand="0" w:evenVBand="0" w:oddHBand="0" w:evenHBand="0" w:firstRowFirstColumn="0" w:firstRowLastColumn="0" w:lastRowFirstColumn="0" w:lastRowLastColumn="0"/>
            <w:tcW w:w="9119" w:type="dxa"/>
            <w:gridSpan w:val="6"/>
          </w:tcPr>
          <w:p w:rsidR="002C04E3" w:rsidRPr="00D141D2" w:rsidRDefault="002C04E3" w:rsidP="000E0821">
            <w:pPr>
              <w:pStyle w:val="Tabletext"/>
              <w:rPr>
                <w:rStyle w:val="Bold"/>
                <w:szCs w:val="19"/>
              </w:rPr>
            </w:pPr>
            <w:r w:rsidRPr="00D141D2">
              <w:rPr>
                <w:rStyle w:val="Bold"/>
                <w:szCs w:val="19"/>
              </w:rPr>
              <w:t>World markets</w:t>
            </w:r>
          </w:p>
        </w:tc>
      </w:tr>
      <w:tr w:rsidR="002C04E3" w:rsidRPr="00D141D2" w:rsidTr="002C04E3">
        <w:tc>
          <w:tcPr>
            <w:cnfStyle w:val="001000000000" w:firstRow="0" w:lastRow="0" w:firstColumn="1" w:lastColumn="0" w:oddVBand="0" w:evenVBand="0" w:oddHBand="0" w:evenHBand="0" w:firstRowFirstColumn="0" w:firstRowLastColumn="0" w:lastRowFirstColumn="0" w:lastRowLastColumn="0"/>
            <w:tcW w:w="3587" w:type="dxa"/>
          </w:tcPr>
          <w:p w:rsidR="002C04E3" w:rsidRPr="00D141D2" w:rsidRDefault="002C04E3" w:rsidP="00C574D3">
            <w:pPr>
              <w:pStyle w:val="Tablebulletpoint"/>
            </w:pPr>
            <w:r w:rsidRPr="00D141D2">
              <w:t>Exchange rate (A$–US$)</w:t>
            </w:r>
            <w:r w:rsidR="00C574D3" w:rsidRPr="00D141D2">
              <w:t xml:space="preserve"> </w:t>
            </w:r>
          </w:p>
        </w:tc>
        <w:tc>
          <w:tcPr>
            <w:tcW w:w="1140" w:type="dxa"/>
          </w:tcPr>
          <w:p w:rsidR="002C04E3" w:rsidRPr="00D141D2" w:rsidRDefault="002C04E3" w:rsidP="000E0821">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0.88</w:t>
            </w:r>
          </w:p>
        </w:tc>
        <w:tc>
          <w:tcPr>
            <w:tcW w:w="1098" w:type="dxa"/>
          </w:tcPr>
          <w:p w:rsidR="002C04E3" w:rsidRPr="00D141D2" w:rsidRDefault="002C04E3" w:rsidP="000E0821">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0.97</w:t>
            </w:r>
          </w:p>
        </w:tc>
        <w:tc>
          <w:tcPr>
            <w:tcW w:w="1098" w:type="dxa"/>
          </w:tcPr>
          <w:p w:rsidR="002C04E3" w:rsidRPr="00D141D2" w:rsidRDefault="002C04E3" w:rsidP="000E0821">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0.97</w:t>
            </w:r>
          </w:p>
        </w:tc>
        <w:tc>
          <w:tcPr>
            <w:tcW w:w="1098" w:type="dxa"/>
          </w:tcPr>
          <w:p w:rsidR="002C04E3" w:rsidRPr="00D141D2" w:rsidRDefault="002C04E3" w:rsidP="000E0821">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0.97</w:t>
            </w:r>
          </w:p>
        </w:tc>
        <w:tc>
          <w:tcPr>
            <w:tcW w:w="1098" w:type="dxa"/>
          </w:tcPr>
          <w:p w:rsidR="002C04E3" w:rsidRPr="00D141D2" w:rsidRDefault="002C04E3" w:rsidP="000E0821">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0.97</w:t>
            </w:r>
          </w:p>
        </w:tc>
      </w:tr>
    </w:tbl>
    <w:p w:rsidR="00C574D3" w:rsidRDefault="001C0F85" w:rsidP="006915B8">
      <w:pPr>
        <w:pStyle w:val="Notesourcetext"/>
      </w:pPr>
      <w:r>
        <w:t>Note:</w:t>
      </w:r>
      <w:r w:rsidR="00C574D3" w:rsidRPr="00C574D3">
        <w:t xml:space="preserve"> </w:t>
      </w:r>
      <w:r w:rsidR="00C574D3">
        <w:t>Value of renovations is reported here in 2010 Australian dollars using the ABS housing CPI re-based to 2009–10 dollars to allow for comparison with ot</w:t>
      </w:r>
      <w:r w:rsidR="00C05EF5">
        <w:t>her market variables.</w:t>
      </w:r>
    </w:p>
    <w:p w:rsidR="00027014" w:rsidRDefault="00C05EF5" w:rsidP="006915B8">
      <w:pPr>
        <w:pStyle w:val="Notesourcetext"/>
      </w:pPr>
      <w:r>
        <w:t>Source</w:t>
      </w:r>
      <w:r w:rsidR="00C574D3">
        <w:t>: Australian Government 2010–11; ABARES datasets</w:t>
      </w:r>
      <w:bookmarkStart w:id="37" w:name="_Toc358282845"/>
      <w:bookmarkEnd w:id="10"/>
    </w:p>
    <w:p w:rsidR="001C0F85" w:rsidRDefault="001C0F85" w:rsidP="00D12DC2">
      <w:pPr>
        <w:pStyle w:val="BodyText1"/>
        <w:sectPr w:rsidR="001C0F85" w:rsidSect="00445754">
          <w:footerReference w:type="default" r:id="rId23"/>
          <w:pgSz w:w="11906" w:h="16838"/>
          <w:pgMar w:top="1247" w:right="1418" w:bottom="1418" w:left="1418" w:header="510" w:footer="709" w:gutter="0"/>
          <w:pgNumType w:start="1"/>
          <w:cols w:space="708"/>
          <w:docGrid w:linePitch="360"/>
        </w:sectPr>
      </w:pPr>
    </w:p>
    <w:p w:rsidR="00F14B76" w:rsidRDefault="00F14B76" w:rsidP="001E7EAA">
      <w:pPr>
        <w:pStyle w:val="Appendixheading"/>
      </w:pPr>
      <w:bookmarkStart w:id="38" w:name="_Toc415751182"/>
      <w:r>
        <w:lastRenderedPageBreak/>
        <w:t>Production estimates</w:t>
      </w:r>
      <w:bookmarkEnd w:id="37"/>
      <w:bookmarkEnd w:id="38"/>
    </w:p>
    <w:p w:rsidR="00F14B76" w:rsidRPr="00627BB0" w:rsidRDefault="00F14B76" w:rsidP="00627BB0">
      <w:pPr>
        <w:pStyle w:val="Caption"/>
      </w:pPr>
      <w:bookmarkStart w:id="39" w:name="_Toc358282849"/>
      <w:bookmarkStart w:id="40" w:name="_Toc371959327"/>
      <w:bookmarkStart w:id="41" w:name="_Toc415751187"/>
      <w:r w:rsidRPr="00627BB0">
        <w:t>Table A</w:t>
      </w:r>
      <w:r w:rsidR="000A7BBE" w:rsidRPr="00627BB0">
        <w:fldChar w:fldCharType="begin"/>
      </w:r>
      <w:r w:rsidR="009C37DE" w:rsidRPr="00627BB0">
        <w:instrText xml:space="preserve"> SEQ TableA </w:instrText>
      </w:r>
      <w:r w:rsidR="004A2267" w:rsidRPr="00627BB0">
        <w:instrText>\* Arabic</w:instrText>
      </w:r>
      <w:r w:rsidR="009C37DE" w:rsidRPr="00627BB0">
        <w:instrText xml:space="preserve"> \s " Appendix heading" </w:instrText>
      </w:r>
      <w:r w:rsidR="000A7BBE" w:rsidRPr="00627BB0">
        <w:fldChar w:fldCharType="separate"/>
      </w:r>
      <w:r w:rsidR="00073D21">
        <w:rPr>
          <w:noProof/>
        </w:rPr>
        <w:t>1</w:t>
      </w:r>
      <w:r w:rsidR="000A7BBE" w:rsidRPr="00627BB0">
        <w:fldChar w:fldCharType="end"/>
      </w:r>
      <w:r w:rsidRPr="00627BB0">
        <w:t xml:space="preserve"> New plantation areas, 2000, 2005, 2011 and 2012</w:t>
      </w:r>
      <w:bookmarkEnd w:id="39"/>
      <w:bookmarkEnd w:id="40"/>
      <w:bookmarkEnd w:id="41"/>
    </w:p>
    <w:tbl>
      <w:tblPr>
        <w:tblStyle w:val="ABARESTableleftrightalign"/>
        <w:tblW w:w="5000" w:type="pct"/>
        <w:tblLook w:val="04A0" w:firstRow="1" w:lastRow="0" w:firstColumn="1" w:lastColumn="0" w:noHBand="0" w:noVBand="1"/>
      </w:tblPr>
      <w:tblGrid>
        <w:gridCol w:w="2977"/>
        <w:gridCol w:w="1599"/>
        <w:gridCol w:w="1599"/>
        <w:gridCol w:w="1599"/>
        <w:gridCol w:w="1599"/>
        <w:gridCol w:w="1599"/>
        <w:gridCol w:w="1599"/>
        <w:gridCol w:w="1602"/>
      </w:tblGrid>
      <w:tr w:rsidR="00F14B76" w:rsidRPr="00D141D2" w:rsidTr="00F22684">
        <w:trPr>
          <w:cnfStyle w:val="100000000000" w:firstRow="1" w:lastRow="0" w:firstColumn="0" w:lastColumn="0" w:oddVBand="0" w:evenVBand="0" w:oddHBand="0" w:evenHBand="0" w:firstRowFirstColumn="0" w:firstRowLastColumn="0" w:lastRowFirstColumn="0" w:lastRowLastColumn="0"/>
          <w:trHeight w:val="643"/>
          <w:tblHeader/>
        </w:trPr>
        <w:tc>
          <w:tcPr>
            <w:cnfStyle w:val="001000000000" w:firstRow="0" w:lastRow="0" w:firstColumn="1" w:lastColumn="0" w:oddVBand="0" w:evenVBand="0" w:oddHBand="0" w:evenHBand="0" w:firstRowFirstColumn="0" w:firstRowLastColumn="0" w:lastRowFirstColumn="0" w:lastRowLastColumn="0"/>
            <w:tcW w:w="1050" w:type="pct"/>
            <w:tcBorders>
              <w:top w:val="single" w:sz="4" w:space="0" w:color="auto"/>
              <w:left w:val="nil"/>
              <w:bottom w:val="nil"/>
              <w:right w:val="nil"/>
            </w:tcBorders>
            <w:hideMark/>
          </w:tcPr>
          <w:p w:rsidR="00F22684" w:rsidRPr="00D141D2" w:rsidRDefault="00F14B76" w:rsidP="00D141D2">
            <w:pPr>
              <w:pStyle w:val="Tabletext"/>
              <w:rPr>
                <w:szCs w:val="19"/>
              </w:rPr>
            </w:pPr>
            <w:r w:rsidRPr="00D141D2">
              <w:rPr>
                <w:szCs w:val="19"/>
              </w:rPr>
              <w:t>State or territory</w:t>
            </w:r>
          </w:p>
        </w:tc>
        <w:tc>
          <w:tcPr>
            <w:tcW w:w="564" w:type="pct"/>
            <w:tcBorders>
              <w:top w:val="single" w:sz="4" w:space="0" w:color="auto"/>
              <w:left w:val="nil"/>
              <w:bottom w:val="nil"/>
              <w:right w:val="nil"/>
            </w:tcBorders>
            <w:hideMark/>
          </w:tcPr>
          <w:p w:rsidR="00F14B76" w:rsidRPr="00D141D2" w:rsidRDefault="00F14B76" w:rsidP="00F22684">
            <w:pPr>
              <w:pStyle w:val="Tabletext"/>
              <w:cnfStyle w:val="100000000000" w:firstRow="1" w:lastRow="0" w:firstColumn="0" w:lastColumn="0" w:oddVBand="0" w:evenVBand="0" w:oddHBand="0" w:evenHBand="0" w:firstRowFirstColumn="0" w:firstRowLastColumn="0" w:lastRowFirstColumn="0" w:lastRowLastColumn="0"/>
              <w:rPr>
                <w:szCs w:val="19"/>
              </w:rPr>
            </w:pPr>
            <w:r w:rsidRPr="00D141D2">
              <w:rPr>
                <w:szCs w:val="19"/>
              </w:rPr>
              <w:t>2000</w:t>
            </w:r>
          </w:p>
          <w:p w:rsidR="00F14B76" w:rsidRPr="00D141D2" w:rsidRDefault="00F14B76" w:rsidP="00F22684">
            <w:pPr>
              <w:pStyle w:val="Tabletext"/>
              <w:cnfStyle w:val="100000000000" w:firstRow="1" w:lastRow="0" w:firstColumn="0" w:lastColumn="0" w:oddVBand="0" w:evenVBand="0" w:oddHBand="0" w:evenHBand="0" w:firstRowFirstColumn="0" w:firstRowLastColumn="0" w:lastRowFirstColumn="0" w:lastRowLastColumn="0"/>
              <w:rPr>
                <w:szCs w:val="19"/>
              </w:rPr>
            </w:pPr>
            <w:r w:rsidRPr="00D141D2">
              <w:rPr>
                <w:szCs w:val="19"/>
              </w:rPr>
              <w:t>(’000 ha)</w:t>
            </w:r>
          </w:p>
        </w:tc>
        <w:tc>
          <w:tcPr>
            <w:tcW w:w="564" w:type="pct"/>
            <w:tcBorders>
              <w:top w:val="single" w:sz="4" w:space="0" w:color="auto"/>
              <w:left w:val="nil"/>
              <w:bottom w:val="nil"/>
              <w:right w:val="nil"/>
            </w:tcBorders>
            <w:hideMark/>
          </w:tcPr>
          <w:p w:rsidR="00F14B76" w:rsidRPr="00D141D2" w:rsidRDefault="00F14B76" w:rsidP="00F22684">
            <w:pPr>
              <w:pStyle w:val="Tabletext"/>
              <w:cnfStyle w:val="100000000000" w:firstRow="1" w:lastRow="0" w:firstColumn="0" w:lastColumn="0" w:oddVBand="0" w:evenVBand="0" w:oddHBand="0" w:evenHBand="0" w:firstRowFirstColumn="0" w:firstRowLastColumn="0" w:lastRowFirstColumn="0" w:lastRowLastColumn="0"/>
              <w:rPr>
                <w:szCs w:val="19"/>
              </w:rPr>
            </w:pPr>
            <w:r w:rsidRPr="00D141D2">
              <w:rPr>
                <w:szCs w:val="19"/>
              </w:rPr>
              <w:t>2005</w:t>
            </w:r>
          </w:p>
          <w:p w:rsidR="00F14B76" w:rsidRPr="00D141D2" w:rsidRDefault="00F14B76" w:rsidP="00F22684">
            <w:pPr>
              <w:pStyle w:val="Tabletext"/>
              <w:cnfStyle w:val="100000000000" w:firstRow="1" w:lastRow="0" w:firstColumn="0" w:lastColumn="0" w:oddVBand="0" w:evenVBand="0" w:oddHBand="0" w:evenHBand="0" w:firstRowFirstColumn="0" w:firstRowLastColumn="0" w:lastRowFirstColumn="0" w:lastRowLastColumn="0"/>
              <w:rPr>
                <w:szCs w:val="19"/>
              </w:rPr>
            </w:pPr>
            <w:r w:rsidRPr="00D141D2">
              <w:rPr>
                <w:szCs w:val="19"/>
              </w:rPr>
              <w:t>(’000 ha)</w:t>
            </w:r>
          </w:p>
        </w:tc>
        <w:tc>
          <w:tcPr>
            <w:tcW w:w="564" w:type="pct"/>
            <w:tcBorders>
              <w:top w:val="single" w:sz="4" w:space="0" w:color="auto"/>
              <w:left w:val="nil"/>
              <w:bottom w:val="nil"/>
              <w:right w:val="nil"/>
            </w:tcBorders>
            <w:hideMark/>
          </w:tcPr>
          <w:p w:rsidR="00F14B76" w:rsidRPr="00D141D2" w:rsidRDefault="00F14B76" w:rsidP="00F22684">
            <w:pPr>
              <w:pStyle w:val="Tabletext"/>
              <w:cnfStyle w:val="100000000000" w:firstRow="1" w:lastRow="0" w:firstColumn="0" w:lastColumn="0" w:oddVBand="0" w:evenVBand="0" w:oddHBand="0" w:evenHBand="0" w:firstRowFirstColumn="0" w:firstRowLastColumn="0" w:lastRowFirstColumn="0" w:lastRowLastColumn="0"/>
              <w:rPr>
                <w:szCs w:val="19"/>
              </w:rPr>
            </w:pPr>
            <w:r w:rsidRPr="00D141D2">
              <w:rPr>
                <w:szCs w:val="19"/>
              </w:rPr>
              <w:t>2011</w:t>
            </w:r>
          </w:p>
          <w:p w:rsidR="00F14B76" w:rsidRPr="00D141D2" w:rsidRDefault="00F14B76" w:rsidP="00F22684">
            <w:pPr>
              <w:pStyle w:val="Tabletext"/>
              <w:cnfStyle w:val="100000000000" w:firstRow="1" w:lastRow="0" w:firstColumn="0" w:lastColumn="0" w:oddVBand="0" w:evenVBand="0" w:oddHBand="0" w:evenHBand="0" w:firstRowFirstColumn="0" w:firstRowLastColumn="0" w:lastRowFirstColumn="0" w:lastRowLastColumn="0"/>
              <w:rPr>
                <w:szCs w:val="19"/>
              </w:rPr>
            </w:pPr>
            <w:r w:rsidRPr="00D141D2">
              <w:rPr>
                <w:szCs w:val="19"/>
              </w:rPr>
              <w:t>(’000 ha)</w:t>
            </w:r>
          </w:p>
        </w:tc>
        <w:tc>
          <w:tcPr>
            <w:tcW w:w="564" w:type="pct"/>
            <w:tcBorders>
              <w:top w:val="single" w:sz="4" w:space="0" w:color="auto"/>
              <w:left w:val="nil"/>
              <w:bottom w:val="nil"/>
              <w:right w:val="nil"/>
            </w:tcBorders>
            <w:hideMark/>
          </w:tcPr>
          <w:p w:rsidR="00F14B76" w:rsidRPr="00D141D2" w:rsidRDefault="00F14B76" w:rsidP="00F22684">
            <w:pPr>
              <w:pStyle w:val="Tabletext"/>
              <w:cnfStyle w:val="100000000000" w:firstRow="1" w:lastRow="0" w:firstColumn="0" w:lastColumn="0" w:oddVBand="0" w:evenVBand="0" w:oddHBand="0" w:evenHBand="0" w:firstRowFirstColumn="0" w:firstRowLastColumn="0" w:lastRowFirstColumn="0" w:lastRowLastColumn="0"/>
              <w:rPr>
                <w:szCs w:val="19"/>
              </w:rPr>
            </w:pPr>
            <w:r w:rsidRPr="00D141D2">
              <w:rPr>
                <w:szCs w:val="19"/>
              </w:rPr>
              <w:t>2012</w:t>
            </w:r>
          </w:p>
          <w:p w:rsidR="00F14B76" w:rsidRPr="00D141D2" w:rsidRDefault="00F14B76" w:rsidP="00F22684">
            <w:pPr>
              <w:pStyle w:val="Tabletext"/>
              <w:cnfStyle w:val="100000000000" w:firstRow="1" w:lastRow="0" w:firstColumn="0" w:lastColumn="0" w:oddVBand="0" w:evenVBand="0" w:oddHBand="0" w:evenHBand="0" w:firstRowFirstColumn="0" w:firstRowLastColumn="0" w:lastRowFirstColumn="0" w:lastRowLastColumn="0"/>
              <w:rPr>
                <w:szCs w:val="19"/>
              </w:rPr>
            </w:pPr>
            <w:r w:rsidRPr="00D141D2">
              <w:rPr>
                <w:szCs w:val="19"/>
              </w:rPr>
              <w:t>(’000 ha)</w:t>
            </w:r>
          </w:p>
        </w:tc>
        <w:tc>
          <w:tcPr>
            <w:tcW w:w="564" w:type="pct"/>
            <w:tcBorders>
              <w:top w:val="single" w:sz="4" w:space="0" w:color="auto"/>
              <w:left w:val="nil"/>
              <w:bottom w:val="nil"/>
              <w:right w:val="nil"/>
            </w:tcBorders>
            <w:hideMark/>
          </w:tcPr>
          <w:p w:rsidR="00F14B76" w:rsidRPr="00D141D2" w:rsidRDefault="00F14B76" w:rsidP="00F22684">
            <w:pPr>
              <w:pStyle w:val="Tabletext"/>
              <w:cnfStyle w:val="100000000000" w:firstRow="1" w:lastRow="0" w:firstColumn="0" w:lastColumn="0" w:oddVBand="0" w:evenVBand="0" w:oddHBand="0" w:evenHBand="0" w:firstRowFirstColumn="0" w:firstRowLastColumn="0" w:lastRowFirstColumn="0" w:lastRowLastColumn="0"/>
              <w:rPr>
                <w:szCs w:val="19"/>
              </w:rPr>
            </w:pPr>
            <w:r w:rsidRPr="00D141D2">
              <w:rPr>
                <w:szCs w:val="19"/>
              </w:rPr>
              <w:t>2000 to 2012</w:t>
            </w:r>
          </w:p>
          <w:p w:rsidR="00F14B76" w:rsidRPr="00D141D2" w:rsidRDefault="00F14B76" w:rsidP="00F22684">
            <w:pPr>
              <w:pStyle w:val="Tabletext"/>
              <w:cnfStyle w:val="100000000000" w:firstRow="1" w:lastRow="0" w:firstColumn="0" w:lastColumn="0" w:oddVBand="0" w:evenVBand="0" w:oddHBand="0" w:evenHBand="0" w:firstRowFirstColumn="0" w:firstRowLastColumn="0" w:lastRowFirstColumn="0" w:lastRowLastColumn="0"/>
              <w:rPr>
                <w:szCs w:val="19"/>
              </w:rPr>
            </w:pPr>
            <w:r w:rsidRPr="00D141D2">
              <w:rPr>
                <w:szCs w:val="19"/>
              </w:rPr>
              <w:t>(%)</w:t>
            </w:r>
          </w:p>
        </w:tc>
        <w:tc>
          <w:tcPr>
            <w:tcW w:w="564" w:type="pct"/>
            <w:tcBorders>
              <w:top w:val="single" w:sz="4" w:space="0" w:color="auto"/>
              <w:left w:val="nil"/>
              <w:bottom w:val="nil"/>
              <w:right w:val="nil"/>
            </w:tcBorders>
            <w:hideMark/>
          </w:tcPr>
          <w:p w:rsidR="00F14B76" w:rsidRPr="00D141D2" w:rsidRDefault="00F14B76" w:rsidP="00F22684">
            <w:pPr>
              <w:pStyle w:val="Tabletext"/>
              <w:cnfStyle w:val="100000000000" w:firstRow="1" w:lastRow="0" w:firstColumn="0" w:lastColumn="0" w:oddVBand="0" w:evenVBand="0" w:oddHBand="0" w:evenHBand="0" w:firstRowFirstColumn="0" w:firstRowLastColumn="0" w:lastRowFirstColumn="0" w:lastRowLastColumn="0"/>
              <w:rPr>
                <w:szCs w:val="19"/>
              </w:rPr>
            </w:pPr>
            <w:r w:rsidRPr="00D141D2">
              <w:rPr>
                <w:szCs w:val="19"/>
              </w:rPr>
              <w:t>2005 to 2012</w:t>
            </w:r>
          </w:p>
          <w:p w:rsidR="00F14B76" w:rsidRPr="00D141D2" w:rsidRDefault="00F14B76" w:rsidP="00F22684">
            <w:pPr>
              <w:pStyle w:val="Tabletext"/>
              <w:cnfStyle w:val="100000000000" w:firstRow="1" w:lastRow="0" w:firstColumn="0" w:lastColumn="0" w:oddVBand="0" w:evenVBand="0" w:oddHBand="0" w:evenHBand="0" w:firstRowFirstColumn="0" w:firstRowLastColumn="0" w:lastRowFirstColumn="0" w:lastRowLastColumn="0"/>
              <w:rPr>
                <w:szCs w:val="19"/>
              </w:rPr>
            </w:pPr>
            <w:r w:rsidRPr="00D141D2">
              <w:rPr>
                <w:szCs w:val="19"/>
              </w:rPr>
              <w:t>(%)</w:t>
            </w:r>
          </w:p>
        </w:tc>
        <w:tc>
          <w:tcPr>
            <w:tcW w:w="565" w:type="pct"/>
            <w:tcBorders>
              <w:top w:val="single" w:sz="4" w:space="0" w:color="auto"/>
              <w:left w:val="nil"/>
              <w:bottom w:val="nil"/>
              <w:right w:val="nil"/>
            </w:tcBorders>
            <w:hideMark/>
          </w:tcPr>
          <w:p w:rsidR="00F14B76" w:rsidRPr="00D141D2" w:rsidRDefault="00F14B76" w:rsidP="00F22684">
            <w:pPr>
              <w:pStyle w:val="Tabletext"/>
              <w:cnfStyle w:val="100000000000" w:firstRow="1" w:lastRow="0" w:firstColumn="0" w:lastColumn="0" w:oddVBand="0" w:evenVBand="0" w:oddHBand="0" w:evenHBand="0" w:firstRowFirstColumn="0" w:firstRowLastColumn="0" w:lastRowFirstColumn="0" w:lastRowLastColumn="0"/>
              <w:rPr>
                <w:szCs w:val="19"/>
              </w:rPr>
            </w:pPr>
            <w:r w:rsidRPr="00D141D2">
              <w:rPr>
                <w:szCs w:val="19"/>
              </w:rPr>
              <w:t>2011 to 2012</w:t>
            </w:r>
          </w:p>
          <w:p w:rsidR="00F14B76" w:rsidRPr="00D141D2" w:rsidRDefault="00F14B76" w:rsidP="00F22684">
            <w:pPr>
              <w:pStyle w:val="Tabletext"/>
              <w:cnfStyle w:val="100000000000" w:firstRow="1" w:lastRow="0" w:firstColumn="0" w:lastColumn="0" w:oddVBand="0" w:evenVBand="0" w:oddHBand="0" w:evenHBand="0" w:firstRowFirstColumn="0" w:firstRowLastColumn="0" w:lastRowFirstColumn="0" w:lastRowLastColumn="0"/>
              <w:rPr>
                <w:szCs w:val="19"/>
              </w:rPr>
            </w:pPr>
            <w:r w:rsidRPr="00D141D2">
              <w:rPr>
                <w:szCs w:val="19"/>
              </w:rPr>
              <w:t>(%)</w:t>
            </w:r>
          </w:p>
        </w:tc>
      </w:tr>
      <w:tr w:rsidR="00F14B76" w:rsidRPr="00D141D2" w:rsidTr="00F22684">
        <w:tc>
          <w:tcPr>
            <w:cnfStyle w:val="001000000000" w:firstRow="0" w:lastRow="0" w:firstColumn="1" w:lastColumn="0" w:oddVBand="0" w:evenVBand="0" w:oddHBand="0" w:evenHBand="0" w:firstRowFirstColumn="0" w:firstRowLastColumn="0" w:lastRowFirstColumn="0" w:lastRowLastColumn="0"/>
            <w:tcW w:w="1050" w:type="pct"/>
            <w:tcBorders>
              <w:top w:val="nil"/>
              <w:left w:val="nil"/>
              <w:bottom w:val="nil"/>
              <w:right w:val="nil"/>
            </w:tcBorders>
            <w:hideMark/>
          </w:tcPr>
          <w:p w:rsidR="00F14B76" w:rsidRPr="00D141D2" w:rsidRDefault="00F14B76" w:rsidP="00F22684">
            <w:pPr>
              <w:pStyle w:val="Tabletext"/>
              <w:rPr>
                <w:szCs w:val="19"/>
              </w:rPr>
            </w:pPr>
            <w:r w:rsidRPr="00D141D2">
              <w:rPr>
                <w:szCs w:val="19"/>
              </w:rPr>
              <w:t>New South Wales</w:t>
            </w:r>
          </w:p>
        </w:tc>
        <w:tc>
          <w:tcPr>
            <w:tcW w:w="564" w:type="pct"/>
            <w:tcBorders>
              <w:top w:val="nil"/>
              <w:left w:val="nil"/>
              <w:bottom w:val="nil"/>
              <w:right w:val="nil"/>
            </w:tcBorders>
            <w:hideMark/>
          </w:tcPr>
          <w:p w:rsidR="00F14B76" w:rsidRPr="00D141D2" w:rsidRDefault="00F14B76" w:rsidP="00F22684">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2.2</w:t>
            </w:r>
          </w:p>
        </w:tc>
        <w:tc>
          <w:tcPr>
            <w:tcW w:w="564" w:type="pct"/>
            <w:tcBorders>
              <w:top w:val="nil"/>
              <w:left w:val="nil"/>
              <w:bottom w:val="nil"/>
              <w:right w:val="nil"/>
            </w:tcBorders>
            <w:hideMark/>
          </w:tcPr>
          <w:p w:rsidR="00F14B76" w:rsidRPr="00D141D2" w:rsidRDefault="00F14B76" w:rsidP="00F22684">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7.4</w:t>
            </w:r>
          </w:p>
        </w:tc>
        <w:tc>
          <w:tcPr>
            <w:tcW w:w="564" w:type="pct"/>
            <w:tcBorders>
              <w:top w:val="nil"/>
              <w:left w:val="nil"/>
              <w:bottom w:val="nil"/>
              <w:right w:val="nil"/>
            </w:tcBorders>
            <w:hideMark/>
          </w:tcPr>
          <w:p w:rsidR="00F14B76" w:rsidRPr="00D141D2" w:rsidRDefault="00F14B76" w:rsidP="00F22684">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0.3</w:t>
            </w:r>
          </w:p>
        </w:tc>
        <w:tc>
          <w:tcPr>
            <w:tcW w:w="564" w:type="pct"/>
            <w:tcBorders>
              <w:top w:val="nil"/>
              <w:left w:val="nil"/>
              <w:bottom w:val="nil"/>
              <w:right w:val="nil"/>
            </w:tcBorders>
            <w:hideMark/>
          </w:tcPr>
          <w:p w:rsidR="00F14B76" w:rsidRPr="00D141D2" w:rsidRDefault="00F14B76" w:rsidP="00F22684">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0.4</w:t>
            </w:r>
          </w:p>
        </w:tc>
        <w:tc>
          <w:tcPr>
            <w:tcW w:w="564" w:type="pct"/>
            <w:tcBorders>
              <w:top w:val="nil"/>
              <w:left w:val="nil"/>
              <w:bottom w:val="nil"/>
              <w:right w:val="nil"/>
            </w:tcBorders>
            <w:hideMark/>
          </w:tcPr>
          <w:p w:rsidR="00F14B76" w:rsidRPr="00D141D2" w:rsidRDefault="00F14B76" w:rsidP="00C05EF5">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–84</w:t>
            </w:r>
          </w:p>
        </w:tc>
        <w:tc>
          <w:tcPr>
            <w:tcW w:w="564" w:type="pct"/>
            <w:tcBorders>
              <w:top w:val="nil"/>
              <w:left w:val="nil"/>
              <w:bottom w:val="nil"/>
              <w:right w:val="nil"/>
            </w:tcBorders>
            <w:hideMark/>
          </w:tcPr>
          <w:p w:rsidR="00F14B76" w:rsidRPr="00D141D2" w:rsidRDefault="00F14B76" w:rsidP="00F22684">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–95</w:t>
            </w:r>
          </w:p>
        </w:tc>
        <w:tc>
          <w:tcPr>
            <w:tcW w:w="565" w:type="pct"/>
            <w:tcBorders>
              <w:top w:val="nil"/>
              <w:left w:val="nil"/>
              <w:bottom w:val="nil"/>
              <w:right w:val="nil"/>
            </w:tcBorders>
            <w:hideMark/>
          </w:tcPr>
          <w:p w:rsidR="00F14B76" w:rsidRPr="00D141D2" w:rsidRDefault="00F14B76" w:rsidP="00F22684">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14</w:t>
            </w:r>
          </w:p>
        </w:tc>
      </w:tr>
      <w:tr w:rsidR="00F14B76" w:rsidRPr="00D141D2" w:rsidTr="00F22684">
        <w:tc>
          <w:tcPr>
            <w:cnfStyle w:val="001000000000" w:firstRow="0" w:lastRow="0" w:firstColumn="1" w:lastColumn="0" w:oddVBand="0" w:evenVBand="0" w:oddHBand="0" w:evenHBand="0" w:firstRowFirstColumn="0" w:firstRowLastColumn="0" w:lastRowFirstColumn="0" w:lastRowLastColumn="0"/>
            <w:tcW w:w="1050" w:type="pct"/>
            <w:tcBorders>
              <w:top w:val="nil"/>
              <w:left w:val="nil"/>
              <w:bottom w:val="nil"/>
              <w:right w:val="nil"/>
            </w:tcBorders>
            <w:hideMark/>
          </w:tcPr>
          <w:p w:rsidR="00F14B76" w:rsidRPr="00D141D2" w:rsidRDefault="00F14B76" w:rsidP="00F22684">
            <w:pPr>
              <w:pStyle w:val="Tabletext"/>
              <w:rPr>
                <w:szCs w:val="19"/>
              </w:rPr>
            </w:pPr>
            <w:r w:rsidRPr="00D141D2">
              <w:rPr>
                <w:szCs w:val="19"/>
              </w:rPr>
              <w:t>Victoria</w:t>
            </w:r>
          </w:p>
        </w:tc>
        <w:tc>
          <w:tcPr>
            <w:tcW w:w="564" w:type="pct"/>
            <w:tcBorders>
              <w:top w:val="nil"/>
              <w:left w:val="nil"/>
              <w:bottom w:val="nil"/>
              <w:right w:val="nil"/>
            </w:tcBorders>
            <w:hideMark/>
          </w:tcPr>
          <w:p w:rsidR="00F14B76" w:rsidRPr="00D141D2" w:rsidRDefault="00F14B76" w:rsidP="00552873">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37.7</w:t>
            </w:r>
          </w:p>
        </w:tc>
        <w:tc>
          <w:tcPr>
            <w:tcW w:w="564" w:type="pct"/>
            <w:tcBorders>
              <w:top w:val="nil"/>
              <w:left w:val="nil"/>
              <w:bottom w:val="nil"/>
              <w:right w:val="nil"/>
            </w:tcBorders>
            <w:hideMark/>
          </w:tcPr>
          <w:p w:rsidR="00F14B76" w:rsidRPr="00D141D2" w:rsidRDefault="00F14B76" w:rsidP="00F22684">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10.9</w:t>
            </w:r>
          </w:p>
        </w:tc>
        <w:tc>
          <w:tcPr>
            <w:tcW w:w="564" w:type="pct"/>
            <w:tcBorders>
              <w:top w:val="nil"/>
              <w:left w:val="nil"/>
              <w:bottom w:val="nil"/>
              <w:right w:val="nil"/>
            </w:tcBorders>
            <w:hideMark/>
          </w:tcPr>
          <w:p w:rsidR="00F14B76" w:rsidRPr="00D141D2" w:rsidRDefault="00F14B76" w:rsidP="00F22684">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3.1</w:t>
            </w:r>
          </w:p>
        </w:tc>
        <w:tc>
          <w:tcPr>
            <w:tcW w:w="564" w:type="pct"/>
            <w:tcBorders>
              <w:top w:val="nil"/>
              <w:left w:val="nil"/>
              <w:bottom w:val="nil"/>
              <w:right w:val="nil"/>
            </w:tcBorders>
            <w:hideMark/>
          </w:tcPr>
          <w:p w:rsidR="00F14B76" w:rsidRPr="00D141D2" w:rsidRDefault="00F14B76" w:rsidP="00F22684">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1.0</w:t>
            </w:r>
          </w:p>
        </w:tc>
        <w:tc>
          <w:tcPr>
            <w:tcW w:w="564" w:type="pct"/>
            <w:tcBorders>
              <w:top w:val="nil"/>
              <w:left w:val="nil"/>
              <w:bottom w:val="nil"/>
              <w:right w:val="nil"/>
            </w:tcBorders>
            <w:hideMark/>
          </w:tcPr>
          <w:p w:rsidR="00F14B76" w:rsidRPr="00D141D2" w:rsidRDefault="00F14B76" w:rsidP="00F22684">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–97</w:t>
            </w:r>
          </w:p>
        </w:tc>
        <w:tc>
          <w:tcPr>
            <w:tcW w:w="564" w:type="pct"/>
            <w:tcBorders>
              <w:top w:val="nil"/>
              <w:left w:val="nil"/>
              <w:bottom w:val="nil"/>
              <w:right w:val="nil"/>
            </w:tcBorders>
            <w:hideMark/>
          </w:tcPr>
          <w:p w:rsidR="00F14B76" w:rsidRPr="00D141D2" w:rsidRDefault="00F14B76" w:rsidP="00F22684">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–90</w:t>
            </w:r>
          </w:p>
        </w:tc>
        <w:tc>
          <w:tcPr>
            <w:tcW w:w="565" w:type="pct"/>
            <w:tcBorders>
              <w:top w:val="nil"/>
              <w:left w:val="nil"/>
              <w:bottom w:val="nil"/>
              <w:right w:val="nil"/>
            </w:tcBorders>
            <w:hideMark/>
          </w:tcPr>
          <w:p w:rsidR="00F14B76" w:rsidRPr="00D141D2" w:rsidRDefault="00F14B76" w:rsidP="00F22684">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–66</w:t>
            </w:r>
          </w:p>
        </w:tc>
      </w:tr>
      <w:tr w:rsidR="00F14B76" w:rsidRPr="00D141D2" w:rsidTr="00F22684">
        <w:tc>
          <w:tcPr>
            <w:cnfStyle w:val="001000000000" w:firstRow="0" w:lastRow="0" w:firstColumn="1" w:lastColumn="0" w:oddVBand="0" w:evenVBand="0" w:oddHBand="0" w:evenHBand="0" w:firstRowFirstColumn="0" w:firstRowLastColumn="0" w:lastRowFirstColumn="0" w:lastRowLastColumn="0"/>
            <w:tcW w:w="1050" w:type="pct"/>
            <w:tcBorders>
              <w:top w:val="nil"/>
              <w:left w:val="nil"/>
              <w:bottom w:val="nil"/>
              <w:right w:val="nil"/>
            </w:tcBorders>
            <w:hideMark/>
          </w:tcPr>
          <w:p w:rsidR="00F14B76" w:rsidRPr="00D141D2" w:rsidRDefault="00F14B76" w:rsidP="00F22684">
            <w:pPr>
              <w:pStyle w:val="Tabletext"/>
              <w:rPr>
                <w:szCs w:val="19"/>
              </w:rPr>
            </w:pPr>
            <w:r w:rsidRPr="00D141D2">
              <w:rPr>
                <w:szCs w:val="19"/>
              </w:rPr>
              <w:t>Queensland</w:t>
            </w:r>
          </w:p>
        </w:tc>
        <w:tc>
          <w:tcPr>
            <w:tcW w:w="564" w:type="pct"/>
            <w:tcBorders>
              <w:top w:val="nil"/>
              <w:left w:val="nil"/>
              <w:bottom w:val="nil"/>
              <w:right w:val="nil"/>
            </w:tcBorders>
            <w:hideMark/>
          </w:tcPr>
          <w:p w:rsidR="00F14B76" w:rsidRPr="00D141D2" w:rsidRDefault="00F14B76" w:rsidP="00F22684">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3.9</w:t>
            </w:r>
          </w:p>
        </w:tc>
        <w:tc>
          <w:tcPr>
            <w:tcW w:w="564" w:type="pct"/>
            <w:tcBorders>
              <w:top w:val="nil"/>
              <w:left w:val="nil"/>
              <w:bottom w:val="nil"/>
              <w:right w:val="nil"/>
            </w:tcBorders>
            <w:hideMark/>
          </w:tcPr>
          <w:p w:rsidR="00F14B76" w:rsidRPr="00D141D2" w:rsidRDefault="00F14B76" w:rsidP="00F22684">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9.7</w:t>
            </w:r>
          </w:p>
        </w:tc>
        <w:tc>
          <w:tcPr>
            <w:tcW w:w="564" w:type="pct"/>
            <w:tcBorders>
              <w:top w:val="nil"/>
              <w:left w:val="nil"/>
              <w:bottom w:val="nil"/>
              <w:right w:val="nil"/>
            </w:tcBorders>
            <w:hideMark/>
          </w:tcPr>
          <w:p w:rsidR="00F14B76" w:rsidRPr="00D141D2" w:rsidRDefault="00F14B76" w:rsidP="00F22684">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1.9</w:t>
            </w:r>
          </w:p>
        </w:tc>
        <w:tc>
          <w:tcPr>
            <w:tcW w:w="564" w:type="pct"/>
            <w:tcBorders>
              <w:top w:val="nil"/>
              <w:left w:val="nil"/>
              <w:bottom w:val="nil"/>
              <w:right w:val="nil"/>
            </w:tcBorders>
            <w:hideMark/>
          </w:tcPr>
          <w:p w:rsidR="00F14B76" w:rsidRPr="00D141D2" w:rsidRDefault="00F14B76" w:rsidP="00F22684">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0.8</w:t>
            </w:r>
          </w:p>
        </w:tc>
        <w:tc>
          <w:tcPr>
            <w:tcW w:w="564" w:type="pct"/>
            <w:tcBorders>
              <w:top w:val="nil"/>
              <w:left w:val="nil"/>
              <w:bottom w:val="nil"/>
              <w:right w:val="nil"/>
            </w:tcBorders>
            <w:hideMark/>
          </w:tcPr>
          <w:p w:rsidR="00F14B76" w:rsidRPr="00D141D2" w:rsidRDefault="00F14B76" w:rsidP="00F22684">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–79</w:t>
            </w:r>
          </w:p>
        </w:tc>
        <w:tc>
          <w:tcPr>
            <w:tcW w:w="564" w:type="pct"/>
            <w:tcBorders>
              <w:top w:val="nil"/>
              <w:left w:val="nil"/>
              <w:bottom w:val="nil"/>
              <w:right w:val="nil"/>
            </w:tcBorders>
            <w:hideMark/>
          </w:tcPr>
          <w:p w:rsidR="00F14B76" w:rsidRPr="00D141D2" w:rsidRDefault="00F14B76" w:rsidP="00F22684">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–92</w:t>
            </w:r>
          </w:p>
        </w:tc>
        <w:tc>
          <w:tcPr>
            <w:tcW w:w="565" w:type="pct"/>
            <w:tcBorders>
              <w:top w:val="nil"/>
              <w:left w:val="nil"/>
              <w:bottom w:val="nil"/>
              <w:right w:val="nil"/>
            </w:tcBorders>
            <w:hideMark/>
          </w:tcPr>
          <w:p w:rsidR="00F14B76" w:rsidRPr="00D141D2" w:rsidRDefault="00F14B76" w:rsidP="00F22684">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–58</w:t>
            </w:r>
          </w:p>
        </w:tc>
      </w:tr>
      <w:tr w:rsidR="00F14B76" w:rsidRPr="00D141D2" w:rsidTr="00F22684">
        <w:tc>
          <w:tcPr>
            <w:cnfStyle w:val="001000000000" w:firstRow="0" w:lastRow="0" w:firstColumn="1" w:lastColumn="0" w:oddVBand="0" w:evenVBand="0" w:oddHBand="0" w:evenHBand="0" w:firstRowFirstColumn="0" w:firstRowLastColumn="0" w:lastRowFirstColumn="0" w:lastRowLastColumn="0"/>
            <w:tcW w:w="1050" w:type="pct"/>
            <w:tcBorders>
              <w:top w:val="nil"/>
              <w:left w:val="nil"/>
              <w:bottom w:val="nil"/>
              <w:right w:val="nil"/>
            </w:tcBorders>
            <w:hideMark/>
          </w:tcPr>
          <w:p w:rsidR="00F14B76" w:rsidRPr="00D141D2" w:rsidRDefault="00F14B76" w:rsidP="00F22684">
            <w:pPr>
              <w:pStyle w:val="Tabletext"/>
              <w:rPr>
                <w:szCs w:val="19"/>
              </w:rPr>
            </w:pPr>
            <w:r w:rsidRPr="00D141D2">
              <w:rPr>
                <w:szCs w:val="19"/>
              </w:rPr>
              <w:t>South Australia</w:t>
            </w:r>
          </w:p>
        </w:tc>
        <w:tc>
          <w:tcPr>
            <w:tcW w:w="564" w:type="pct"/>
            <w:tcBorders>
              <w:top w:val="nil"/>
              <w:left w:val="nil"/>
              <w:bottom w:val="nil"/>
              <w:right w:val="nil"/>
            </w:tcBorders>
            <w:hideMark/>
          </w:tcPr>
          <w:p w:rsidR="00F14B76" w:rsidRPr="00D141D2" w:rsidRDefault="00F14B76" w:rsidP="00F22684">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15.1</w:t>
            </w:r>
          </w:p>
        </w:tc>
        <w:tc>
          <w:tcPr>
            <w:tcW w:w="564" w:type="pct"/>
            <w:tcBorders>
              <w:top w:val="nil"/>
              <w:left w:val="nil"/>
              <w:bottom w:val="nil"/>
              <w:right w:val="nil"/>
            </w:tcBorders>
            <w:hideMark/>
          </w:tcPr>
          <w:p w:rsidR="00F14B76" w:rsidRPr="00D141D2" w:rsidRDefault="00F14B76" w:rsidP="00F22684">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6.0</w:t>
            </w:r>
          </w:p>
        </w:tc>
        <w:tc>
          <w:tcPr>
            <w:tcW w:w="564" w:type="pct"/>
            <w:tcBorders>
              <w:top w:val="nil"/>
              <w:left w:val="nil"/>
              <w:bottom w:val="nil"/>
              <w:right w:val="nil"/>
            </w:tcBorders>
            <w:hideMark/>
          </w:tcPr>
          <w:p w:rsidR="00F14B76" w:rsidRPr="00D141D2" w:rsidRDefault="00F14B76" w:rsidP="00F22684">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0.1</w:t>
            </w:r>
          </w:p>
        </w:tc>
        <w:tc>
          <w:tcPr>
            <w:tcW w:w="564" w:type="pct"/>
            <w:tcBorders>
              <w:top w:val="nil"/>
              <w:left w:val="nil"/>
              <w:bottom w:val="nil"/>
              <w:right w:val="nil"/>
            </w:tcBorders>
            <w:hideMark/>
          </w:tcPr>
          <w:p w:rsidR="00F14B76" w:rsidRPr="00D141D2" w:rsidRDefault="00F14B76" w:rsidP="00F22684">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0.0</w:t>
            </w:r>
          </w:p>
        </w:tc>
        <w:tc>
          <w:tcPr>
            <w:tcW w:w="564" w:type="pct"/>
            <w:tcBorders>
              <w:top w:val="nil"/>
              <w:left w:val="nil"/>
              <w:bottom w:val="nil"/>
              <w:right w:val="nil"/>
            </w:tcBorders>
            <w:hideMark/>
          </w:tcPr>
          <w:p w:rsidR="00F14B76" w:rsidRPr="00D141D2" w:rsidRDefault="00F14B76" w:rsidP="00F22684">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–100</w:t>
            </w:r>
          </w:p>
        </w:tc>
        <w:tc>
          <w:tcPr>
            <w:tcW w:w="564" w:type="pct"/>
            <w:tcBorders>
              <w:top w:val="nil"/>
              <w:left w:val="nil"/>
              <w:bottom w:val="nil"/>
              <w:right w:val="nil"/>
            </w:tcBorders>
            <w:hideMark/>
          </w:tcPr>
          <w:p w:rsidR="00F14B76" w:rsidRPr="00D141D2" w:rsidRDefault="00F14B76" w:rsidP="00F22684">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–100</w:t>
            </w:r>
          </w:p>
        </w:tc>
        <w:tc>
          <w:tcPr>
            <w:tcW w:w="565" w:type="pct"/>
            <w:tcBorders>
              <w:top w:val="nil"/>
              <w:left w:val="nil"/>
              <w:bottom w:val="nil"/>
              <w:right w:val="nil"/>
            </w:tcBorders>
            <w:hideMark/>
          </w:tcPr>
          <w:p w:rsidR="00F14B76" w:rsidRPr="00D141D2" w:rsidRDefault="00F14B76" w:rsidP="00F22684">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–100</w:t>
            </w:r>
          </w:p>
        </w:tc>
      </w:tr>
      <w:tr w:rsidR="00F14B76" w:rsidRPr="00D141D2" w:rsidTr="00F22684">
        <w:tc>
          <w:tcPr>
            <w:cnfStyle w:val="001000000000" w:firstRow="0" w:lastRow="0" w:firstColumn="1" w:lastColumn="0" w:oddVBand="0" w:evenVBand="0" w:oddHBand="0" w:evenHBand="0" w:firstRowFirstColumn="0" w:firstRowLastColumn="0" w:lastRowFirstColumn="0" w:lastRowLastColumn="0"/>
            <w:tcW w:w="1050" w:type="pct"/>
            <w:tcBorders>
              <w:top w:val="nil"/>
              <w:left w:val="nil"/>
              <w:bottom w:val="nil"/>
              <w:right w:val="nil"/>
            </w:tcBorders>
            <w:hideMark/>
          </w:tcPr>
          <w:p w:rsidR="00F14B76" w:rsidRPr="00D141D2" w:rsidRDefault="00F14B76" w:rsidP="00F22684">
            <w:pPr>
              <w:pStyle w:val="Tabletext"/>
              <w:rPr>
                <w:szCs w:val="19"/>
              </w:rPr>
            </w:pPr>
            <w:r w:rsidRPr="00D141D2">
              <w:rPr>
                <w:szCs w:val="19"/>
              </w:rPr>
              <w:t>Western Australia</w:t>
            </w:r>
          </w:p>
        </w:tc>
        <w:tc>
          <w:tcPr>
            <w:tcW w:w="564" w:type="pct"/>
            <w:tcBorders>
              <w:top w:val="nil"/>
              <w:left w:val="nil"/>
              <w:bottom w:val="nil"/>
              <w:right w:val="nil"/>
            </w:tcBorders>
            <w:hideMark/>
          </w:tcPr>
          <w:p w:rsidR="00F14B76" w:rsidRPr="00D141D2" w:rsidRDefault="00F14B76" w:rsidP="00F22684">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64.8</w:t>
            </w:r>
          </w:p>
        </w:tc>
        <w:tc>
          <w:tcPr>
            <w:tcW w:w="564" w:type="pct"/>
            <w:tcBorders>
              <w:top w:val="nil"/>
              <w:left w:val="nil"/>
              <w:bottom w:val="nil"/>
              <w:right w:val="nil"/>
            </w:tcBorders>
            <w:hideMark/>
          </w:tcPr>
          <w:p w:rsidR="00F14B76" w:rsidRPr="00D141D2" w:rsidRDefault="00F14B76" w:rsidP="00F22684">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22.4</w:t>
            </w:r>
          </w:p>
        </w:tc>
        <w:tc>
          <w:tcPr>
            <w:tcW w:w="564" w:type="pct"/>
            <w:tcBorders>
              <w:top w:val="nil"/>
              <w:left w:val="nil"/>
              <w:bottom w:val="nil"/>
              <w:right w:val="nil"/>
            </w:tcBorders>
            <w:hideMark/>
          </w:tcPr>
          <w:p w:rsidR="00F14B76" w:rsidRPr="00D141D2" w:rsidRDefault="00F14B76" w:rsidP="00F22684">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0.4</w:t>
            </w:r>
          </w:p>
        </w:tc>
        <w:tc>
          <w:tcPr>
            <w:tcW w:w="564" w:type="pct"/>
            <w:tcBorders>
              <w:top w:val="nil"/>
              <w:left w:val="nil"/>
              <w:bottom w:val="nil"/>
              <w:right w:val="nil"/>
            </w:tcBorders>
            <w:hideMark/>
          </w:tcPr>
          <w:p w:rsidR="00F14B76" w:rsidRPr="00D141D2" w:rsidRDefault="00F14B76" w:rsidP="00F22684">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0.4</w:t>
            </w:r>
          </w:p>
        </w:tc>
        <w:tc>
          <w:tcPr>
            <w:tcW w:w="564" w:type="pct"/>
            <w:tcBorders>
              <w:top w:val="nil"/>
              <w:left w:val="nil"/>
              <w:bottom w:val="nil"/>
              <w:right w:val="nil"/>
            </w:tcBorders>
            <w:hideMark/>
          </w:tcPr>
          <w:p w:rsidR="00F14B76" w:rsidRPr="00D141D2" w:rsidRDefault="00F14B76" w:rsidP="00F22684">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–99</w:t>
            </w:r>
          </w:p>
        </w:tc>
        <w:tc>
          <w:tcPr>
            <w:tcW w:w="564" w:type="pct"/>
            <w:tcBorders>
              <w:top w:val="nil"/>
              <w:left w:val="nil"/>
              <w:bottom w:val="nil"/>
              <w:right w:val="nil"/>
            </w:tcBorders>
            <w:hideMark/>
          </w:tcPr>
          <w:p w:rsidR="00F14B76" w:rsidRPr="00D141D2" w:rsidRDefault="00F14B76" w:rsidP="00F22684">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–98</w:t>
            </w:r>
          </w:p>
        </w:tc>
        <w:tc>
          <w:tcPr>
            <w:tcW w:w="565" w:type="pct"/>
            <w:tcBorders>
              <w:top w:val="nil"/>
              <w:left w:val="nil"/>
              <w:bottom w:val="nil"/>
              <w:right w:val="nil"/>
            </w:tcBorders>
            <w:hideMark/>
          </w:tcPr>
          <w:p w:rsidR="00F14B76" w:rsidRPr="00D141D2" w:rsidRDefault="00F14B76" w:rsidP="00F22684">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–20</w:t>
            </w:r>
          </w:p>
        </w:tc>
      </w:tr>
      <w:tr w:rsidR="00F14B76" w:rsidRPr="00D141D2" w:rsidTr="00F22684">
        <w:tc>
          <w:tcPr>
            <w:cnfStyle w:val="001000000000" w:firstRow="0" w:lastRow="0" w:firstColumn="1" w:lastColumn="0" w:oddVBand="0" w:evenVBand="0" w:oddHBand="0" w:evenHBand="0" w:firstRowFirstColumn="0" w:firstRowLastColumn="0" w:lastRowFirstColumn="0" w:lastRowLastColumn="0"/>
            <w:tcW w:w="1050" w:type="pct"/>
            <w:tcBorders>
              <w:top w:val="nil"/>
              <w:left w:val="nil"/>
              <w:bottom w:val="nil"/>
              <w:right w:val="nil"/>
            </w:tcBorders>
            <w:hideMark/>
          </w:tcPr>
          <w:p w:rsidR="00D12DC2" w:rsidRPr="00D141D2" w:rsidRDefault="00F14B76" w:rsidP="00D12DC2">
            <w:pPr>
              <w:pStyle w:val="Tabletext"/>
              <w:rPr>
                <w:szCs w:val="19"/>
              </w:rPr>
            </w:pPr>
            <w:r w:rsidRPr="00D141D2">
              <w:rPr>
                <w:szCs w:val="19"/>
              </w:rPr>
              <w:t>Tasmania</w:t>
            </w:r>
          </w:p>
        </w:tc>
        <w:tc>
          <w:tcPr>
            <w:tcW w:w="564" w:type="pct"/>
            <w:tcBorders>
              <w:top w:val="nil"/>
              <w:left w:val="nil"/>
              <w:bottom w:val="nil"/>
              <w:right w:val="nil"/>
            </w:tcBorders>
            <w:hideMark/>
          </w:tcPr>
          <w:p w:rsidR="00F14B76" w:rsidRPr="00D141D2" w:rsidRDefault="00F14B76" w:rsidP="00F22684">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12.6</w:t>
            </w:r>
          </w:p>
        </w:tc>
        <w:tc>
          <w:tcPr>
            <w:tcW w:w="564" w:type="pct"/>
            <w:tcBorders>
              <w:top w:val="nil"/>
              <w:left w:val="nil"/>
              <w:bottom w:val="nil"/>
              <w:right w:val="nil"/>
            </w:tcBorders>
            <w:hideMark/>
          </w:tcPr>
          <w:p w:rsidR="00F14B76" w:rsidRPr="00D141D2" w:rsidRDefault="00F14B76" w:rsidP="00F22684">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10.0</w:t>
            </w:r>
          </w:p>
        </w:tc>
        <w:tc>
          <w:tcPr>
            <w:tcW w:w="564" w:type="pct"/>
            <w:tcBorders>
              <w:top w:val="nil"/>
              <w:left w:val="nil"/>
              <w:bottom w:val="nil"/>
              <w:right w:val="nil"/>
            </w:tcBorders>
            <w:hideMark/>
          </w:tcPr>
          <w:p w:rsidR="00F14B76" w:rsidRPr="00D141D2" w:rsidRDefault="00F14B76" w:rsidP="00F22684">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1.5</w:t>
            </w:r>
          </w:p>
        </w:tc>
        <w:tc>
          <w:tcPr>
            <w:tcW w:w="564" w:type="pct"/>
            <w:tcBorders>
              <w:top w:val="nil"/>
              <w:left w:val="nil"/>
              <w:bottom w:val="nil"/>
              <w:right w:val="nil"/>
            </w:tcBorders>
            <w:hideMark/>
          </w:tcPr>
          <w:p w:rsidR="00F14B76" w:rsidRPr="00D141D2" w:rsidRDefault="00F14B76" w:rsidP="00F22684">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0.1</w:t>
            </w:r>
          </w:p>
        </w:tc>
        <w:tc>
          <w:tcPr>
            <w:tcW w:w="564" w:type="pct"/>
            <w:tcBorders>
              <w:top w:val="nil"/>
              <w:left w:val="nil"/>
              <w:bottom w:val="nil"/>
              <w:right w:val="nil"/>
            </w:tcBorders>
            <w:hideMark/>
          </w:tcPr>
          <w:p w:rsidR="00F14B76" w:rsidRPr="00D141D2" w:rsidRDefault="00F14B76" w:rsidP="00F22684">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–100</w:t>
            </w:r>
          </w:p>
        </w:tc>
        <w:tc>
          <w:tcPr>
            <w:tcW w:w="564" w:type="pct"/>
            <w:tcBorders>
              <w:top w:val="nil"/>
              <w:left w:val="nil"/>
              <w:bottom w:val="nil"/>
              <w:right w:val="nil"/>
            </w:tcBorders>
            <w:hideMark/>
          </w:tcPr>
          <w:p w:rsidR="00F14B76" w:rsidRPr="00D141D2" w:rsidRDefault="00F14B76" w:rsidP="00F22684">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–99</w:t>
            </w:r>
          </w:p>
        </w:tc>
        <w:tc>
          <w:tcPr>
            <w:tcW w:w="565" w:type="pct"/>
            <w:tcBorders>
              <w:top w:val="nil"/>
              <w:left w:val="nil"/>
              <w:bottom w:val="nil"/>
              <w:right w:val="nil"/>
            </w:tcBorders>
            <w:hideMark/>
          </w:tcPr>
          <w:p w:rsidR="00F14B76" w:rsidRPr="00D141D2" w:rsidRDefault="00F14B76" w:rsidP="00F22684">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–96</w:t>
            </w:r>
          </w:p>
        </w:tc>
      </w:tr>
      <w:tr w:rsidR="00F14B76" w:rsidRPr="00D141D2" w:rsidTr="00F22684">
        <w:tc>
          <w:tcPr>
            <w:cnfStyle w:val="001000000000" w:firstRow="0" w:lastRow="0" w:firstColumn="1" w:lastColumn="0" w:oddVBand="0" w:evenVBand="0" w:oddHBand="0" w:evenHBand="0" w:firstRowFirstColumn="0" w:firstRowLastColumn="0" w:lastRowFirstColumn="0" w:lastRowLastColumn="0"/>
            <w:tcW w:w="1050" w:type="pct"/>
            <w:tcBorders>
              <w:top w:val="nil"/>
              <w:left w:val="nil"/>
              <w:bottom w:val="nil"/>
              <w:right w:val="nil"/>
            </w:tcBorders>
            <w:hideMark/>
          </w:tcPr>
          <w:p w:rsidR="00F14B76" w:rsidRPr="00D141D2" w:rsidRDefault="00F14B76" w:rsidP="00F22684">
            <w:pPr>
              <w:pStyle w:val="Tabletext"/>
              <w:rPr>
                <w:szCs w:val="19"/>
              </w:rPr>
            </w:pPr>
            <w:r w:rsidRPr="00D141D2">
              <w:rPr>
                <w:szCs w:val="19"/>
              </w:rPr>
              <w:t>Northern Territory</w:t>
            </w:r>
          </w:p>
        </w:tc>
        <w:tc>
          <w:tcPr>
            <w:tcW w:w="564" w:type="pct"/>
            <w:tcBorders>
              <w:top w:val="nil"/>
              <w:left w:val="nil"/>
              <w:bottom w:val="nil"/>
              <w:right w:val="nil"/>
            </w:tcBorders>
            <w:hideMark/>
          </w:tcPr>
          <w:p w:rsidR="00F14B76" w:rsidRPr="00D141D2" w:rsidRDefault="00F14B76" w:rsidP="00F22684">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1.2</w:t>
            </w:r>
          </w:p>
        </w:tc>
        <w:tc>
          <w:tcPr>
            <w:tcW w:w="564" w:type="pct"/>
            <w:tcBorders>
              <w:top w:val="nil"/>
              <w:left w:val="nil"/>
              <w:bottom w:val="nil"/>
              <w:right w:val="nil"/>
            </w:tcBorders>
            <w:hideMark/>
          </w:tcPr>
          <w:p w:rsidR="00F14B76" w:rsidRPr="00D141D2" w:rsidRDefault="00F14B76" w:rsidP="00F22684">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5.7</w:t>
            </w:r>
          </w:p>
        </w:tc>
        <w:tc>
          <w:tcPr>
            <w:tcW w:w="564" w:type="pct"/>
            <w:tcBorders>
              <w:top w:val="nil"/>
              <w:left w:val="nil"/>
              <w:bottom w:val="nil"/>
              <w:right w:val="nil"/>
            </w:tcBorders>
            <w:hideMark/>
          </w:tcPr>
          <w:p w:rsidR="00F14B76" w:rsidRPr="00D141D2" w:rsidRDefault="00F14B76" w:rsidP="00F22684">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2.2</w:t>
            </w:r>
          </w:p>
        </w:tc>
        <w:tc>
          <w:tcPr>
            <w:tcW w:w="564" w:type="pct"/>
            <w:tcBorders>
              <w:top w:val="nil"/>
              <w:left w:val="nil"/>
              <w:bottom w:val="nil"/>
              <w:right w:val="nil"/>
            </w:tcBorders>
            <w:hideMark/>
          </w:tcPr>
          <w:p w:rsidR="00F14B76" w:rsidRPr="00D141D2" w:rsidRDefault="00F14B76" w:rsidP="00F22684">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1.6</w:t>
            </w:r>
          </w:p>
        </w:tc>
        <w:tc>
          <w:tcPr>
            <w:tcW w:w="564" w:type="pct"/>
            <w:tcBorders>
              <w:top w:val="nil"/>
              <w:left w:val="nil"/>
              <w:bottom w:val="nil"/>
              <w:right w:val="nil"/>
            </w:tcBorders>
            <w:hideMark/>
          </w:tcPr>
          <w:p w:rsidR="00F14B76" w:rsidRPr="00D141D2" w:rsidRDefault="00F14B76" w:rsidP="00F22684">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31</w:t>
            </w:r>
          </w:p>
        </w:tc>
        <w:tc>
          <w:tcPr>
            <w:tcW w:w="564" w:type="pct"/>
            <w:tcBorders>
              <w:top w:val="nil"/>
              <w:left w:val="nil"/>
              <w:bottom w:val="nil"/>
              <w:right w:val="nil"/>
            </w:tcBorders>
            <w:hideMark/>
          </w:tcPr>
          <w:p w:rsidR="00F14B76" w:rsidRPr="00D141D2" w:rsidRDefault="00F14B76" w:rsidP="00F22684">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–72</w:t>
            </w:r>
          </w:p>
        </w:tc>
        <w:tc>
          <w:tcPr>
            <w:tcW w:w="565" w:type="pct"/>
            <w:tcBorders>
              <w:top w:val="nil"/>
              <w:left w:val="nil"/>
              <w:bottom w:val="nil"/>
              <w:right w:val="nil"/>
            </w:tcBorders>
            <w:hideMark/>
          </w:tcPr>
          <w:p w:rsidR="00F14B76" w:rsidRPr="00D141D2" w:rsidRDefault="00F14B76" w:rsidP="00F22684">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–28</w:t>
            </w:r>
          </w:p>
        </w:tc>
      </w:tr>
      <w:tr w:rsidR="00F14B76" w:rsidRPr="00D141D2" w:rsidTr="00F22684">
        <w:tc>
          <w:tcPr>
            <w:cnfStyle w:val="001000000000" w:firstRow="0" w:lastRow="0" w:firstColumn="1" w:lastColumn="0" w:oddVBand="0" w:evenVBand="0" w:oddHBand="0" w:evenHBand="0" w:firstRowFirstColumn="0" w:firstRowLastColumn="0" w:lastRowFirstColumn="0" w:lastRowLastColumn="0"/>
            <w:tcW w:w="1050" w:type="pct"/>
            <w:tcBorders>
              <w:top w:val="nil"/>
              <w:left w:val="nil"/>
              <w:bottom w:val="nil"/>
              <w:right w:val="nil"/>
            </w:tcBorders>
            <w:hideMark/>
          </w:tcPr>
          <w:p w:rsidR="00F14B76" w:rsidRPr="00D141D2" w:rsidRDefault="00F14B76" w:rsidP="00F22684">
            <w:pPr>
              <w:pStyle w:val="Tabletext"/>
              <w:rPr>
                <w:szCs w:val="19"/>
              </w:rPr>
            </w:pPr>
            <w:r w:rsidRPr="00D141D2">
              <w:rPr>
                <w:szCs w:val="19"/>
              </w:rPr>
              <w:t>Australian Capital Territory</w:t>
            </w:r>
          </w:p>
        </w:tc>
        <w:tc>
          <w:tcPr>
            <w:tcW w:w="564" w:type="pct"/>
            <w:tcBorders>
              <w:top w:val="nil"/>
              <w:left w:val="nil"/>
              <w:bottom w:val="nil"/>
              <w:right w:val="nil"/>
            </w:tcBorders>
            <w:hideMark/>
          </w:tcPr>
          <w:p w:rsidR="00F14B76" w:rsidRPr="00D141D2" w:rsidRDefault="00F14B76" w:rsidP="00F22684">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0.0</w:t>
            </w:r>
          </w:p>
        </w:tc>
        <w:tc>
          <w:tcPr>
            <w:tcW w:w="564" w:type="pct"/>
            <w:tcBorders>
              <w:top w:val="nil"/>
              <w:left w:val="nil"/>
              <w:bottom w:val="nil"/>
              <w:right w:val="nil"/>
            </w:tcBorders>
            <w:hideMark/>
          </w:tcPr>
          <w:p w:rsidR="00F14B76" w:rsidRPr="00D141D2" w:rsidRDefault="00F14B76" w:rsidP="00F22684">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0.0</w:t>
            </w:r>
          </w:p>
        </w:tc>
        <w:tc>
          <w:tcPr>
            <w:tcW w:w="564" w:type="pct"/>
            <w:tcBorders>
              <w:top w:val="nil"/>
              <w:left w:val="nil"/>
              <w:bottom w:val="nil"/>
              <w:right w:val="nil"/>
            </w:tcBorders>
            <w:hideMark/>
          </w:tcPr>
          <w:p w:rsidR="00F14B76" w:rsidRPr="00D141D2" w:rsidRDefault="00F14B76" w:rsidP="00F22684">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0.0</w:t>
            </w:r>
          </w:p>
        </w:tc>
        <w:tc>
          <w:tcPr>
            <w:tcW w:w="564" w:type="pct"/>
            <w:tcBorders>
              <w:top w:val="nil"/>
              <w:left w:val="nil"/>
              <w:bottom w:val="nil"/>
              <w:right w:val="nil"/>
            </w:tcBorders>
            <w:hideMark/>
          </w:tcPr>
          <w:p w:rsidR="00F14B76" w:rsidRPr="00D141D2" w:rsidRDefault="00F14B76" w:rsidP="00F22684">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0.0</w:t>
            </w:r>
          </w:p>
        </w:tc>
        <w:tc>
          <w:tcPr>
            <w:tcW w:w="564" w:type="pct"/>
            <w:tcBorders>
              <w:top w:val="nil"/>
              <w:left w:val="nil"/>
              <w:bottom w:val="nil"/>
              <w:right w:val="nil"/>
            </w:tcBorders>
            <w:hideMark/>
          </w:tcPr>
          <w:p w:rsidR="00F14B76" w:rsidRPr="00D141D2" w:rsidRDefault="00F14B76" w:rsidP="00F22684">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na</w:t>
            </w:r>
          </w:p>
        </w:tc>
        <w:tc>
          <w:tcPr>
            <w:tcW w:w="564" w:type="pct"/>
            <w:tcBorders>
              <w:top w:val="nil"/>
              <w:left w:val="nil"/>
              <w:bottom w:val="nil"/>
              <w:right w:val="nil"/>
            </w:tcBorders>
            <w:hideMark/>
          </w:tcPr>
          <w:p w:rsidR="00F14B76" w:rsidRPr="00D141D2" w:rsidRDefault="00F14B76" w:rsidP="00F22684">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na</w:t>
            </w:r>
          </w:p>
        </w:tc>
        <w:tc>
          <w:tcPr>
            <w:tcW w:w="565" w:type="pct"/>
            <w:tcBorders>
              <w:top w:val="nil"/>
              <w:left w:val="nil"/>
              <w:bottom w:val="nil"/>
              <w:right w:val="nil"/>
            </w:tcBorders>
            <w:hideMark/>
          </w:tcPr>
          <w:p w:rsidR="00F14B76" w:rsidRPr="00D141D2" w:rsidRDefault="00F14B76" w:rsidP="00F22684">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na</w:t>
            </w:r>
          </w:p>
        </w:tc>
      </w:tr>
      <w:tr w:rsidR="00F14B76" w:rsidRPr="00D141D2" w:rsidTr="00F22684">
        <w:tc>
          <w:tcPr>
            <w:cnfStyle w:val="001000000000" w:firstRow="0" w:lastRow="0" w:firstColumn="1" w:lastColumn="0" w:oddVBand="0" w:evenVBand="0" w:oddHBand="0" w:evenHBand="0" w:firstRowFirstColumn="0" w:firstRowLastColumn="0" w:lastRowFirstColumn="0" w:lastRowLastColumn="0"/>
            <w:tcW w:w="1050" w:type="pct"/>
            <w:tcBorders>
              <w:top w:val="nil"/>
              <w:left w:val="nil"/>
              <w:bottom w:val="single" w:sz="4" w:space="0" w:color="auto"/>
              <w:right w:val="nil"/>
            </w:tcBorders>
            <w:hideMark/>
          </w:tcPr>
          <w:p w:rsidR="00F14B76" w:rsidRPr="00D141D2" w:rsidRDefault="00F14B76" w:rsidP="00F22684">
            <w:pPr>
              <w:pStyle w:val="Tabletext"/>
              <w:rPr>
                <w:szCs w:val="19"/>
              </w:rPr>
            </w:pPr>
            <w:r w:rsidRPr="00D141D2">
              <w:rPr>
                <w:szCs w:val="19"/>
              </w:rPr>
              <w:t>Total</w:t>
            </w:r>
          </w:p>
        </w:tc>
        <w:tc>
          <w:tcPr>
            <w:tcW w:w="564" w:type="pct"/>
            <w:tcBorders>
              <w:top w:val="nil"/>
              <w:left w:val="nil"/>
              <w:bottom w:val="single" w:sz="4" w:space="0" w:color="auto"/>
              <w:right w:val="nil"/>
            </w:tcBorders>
            <w:hideMark/>
          </w:tcPr>
          <w:p w:rsidR="00F14B76" w:rsidRPr="00D141D2" w:rsidRDefault="00F14B76" w:rsidP="00F22684">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137.5</w:t>
            </w:r>
          </w:p>
        </w:tc>
        <w:tc>
          <w:tcPr>
            <w:tcW w:w="564" w:type="pct"/>
            <w:tcBorders>
              <w:top w:val="nil"/>
              <w:left w:val="nil"/>
              <w:bottom w:val="single" w:sz="4" w:space="0" w:color="auto"/>
              <w:right w:val="nil"/>
            </w:tcBorders>
            <w:hideMark/>
          </w:tcPr>
          <w:p w:rsidR="00F14B76" w:rsidRPr="00D141D2" w:rsidRDefault="00F14B76" w:rsidP="00F22684">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72.0</w:t>
            </w:r>
          </w:p>
        </w:tc>
        <w:tc>
          <w:tcPr>
            <w:tcW w:w="564" w:type="pct"/>
            <w:tcBorders>
              <w:top w:val="nil"/>
              <w:left w:val="nil"/>
              <w:bottom w:val="single" w:sz="4" w:space="0" w:color="auto"/>
              <w:right w:val="nil"/>
            </w:tcBorders>
            <w:hideMark/>
          </w:tcPr>
          <w:p w:rsidR="00F14B76" w:rsidRPr="00D141D2" w:rsidRDefault="00F14B76" w:rsidP="00F22684">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9.6</w:t>
            </w:r>
          </w:p>
        </w:tc>
        <w:tc>
          <w:tcPr>
            <w:tcW w:w="564" w:type="pct"/>
            <w:tcBorders>
              <w:top w:val="nil"/>
              <w:left w:val="nil"/>
              <w:bottom w:val="single" w:sz="4" w:space="0" w:color="auto"/>
              <w:right w:val="nil"/>
            </w:tcBorders>
            <w:hideMark/>
          </w:tcPr>
          <w:p w:rsidR="00F14B76" w:rsidRPr="00D141D2" w:rsidRDefault="00F14B76" w:rsidP="00F22684">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4.2</w:t>
            </w:r>
          </w:p>
        </w:tc>
        <w:tc>
          <w:tcPr>
            <w:tcW w:w="564" w:type="pct"/>
            <w:tcBorders>
              <w:top w:val="nil"/>
              <w:left w:val="nil"/>
              <w:bottom w:val="single" w:sz="4" w:space="0" w:color="auto"/>
              <w:right w:val="nil"/>
            </w:tcBorders>
            <w:hideMark/>
          </w:tcPr>
          <w:p w:rsidR="00F14B76" w:rsidRPr="00D141D2" w:rsidRDefault="00F14B76" w:rsidP="00F22684">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–97</w:t>
            </w:r>
          </w:p>
        </w:tc>
        <w:tc>
          <w:tcPr>
            <w:tcW w:w="564" w:type="pct"/>
            <w:tcBorders>
              <w:top w:val="nil"/>
              <w:left w:val="nil"/>
              <w:bottom w:val="single" w:sz="4" w:space="0" w:color="auto"/>
              <w:right w:val="nil"/>
            </w:tcBorders>
            <w:hideMark/>
          </w:tcPr>
          <w:p w:rsidR="00F14B76" w:rsidRPr="00D141D2" w:rsidRDefault="00F14B76" w:rsidP="00F22684">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–94</w:t>
            </w:r>
          </w:p>
        </w:tc>
        <w:tc>
          <w:tcPr>
            <w:tcW w:w="565" w:type="pct"/>
            <w:tcBorders>
              <w:top w:val="nil"/>
              <w:left w:val="nil"/>
              <w:bottom w:val="single" w:sz="4" w:space="0" w:color="auto"/>
              <w:right w:val="nil"/>
            </w:tcBorders>
            <w:hideMark/>
          </w:tcPr>
          <w:p w:rsidR="00F14B76" w:rsidRPr="00D141D2" w:rsidRDefault="00F14B76" w:rsidP="00F22684">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–56</w:t>
            </w:r>
          </w:p>
        </w:tc>
      </w:tr>
    </w:tbl>
    <w:p w:rsidR="00497BC2" w:rsidRDefault="00F14B76" w:rsidP="006915B8">
      <w:pPr>
        <w:pStyle w:val="Notesourcetext"/>
      </w:pPr>
      <w:r>
        <w:t xml:space="preserve">Note: New plantations </w:t>
      </w:r>
      <w:r w:rsidRPr="00402350">
        <w:t>are those established on land not previously used for plantation forestry. 2000 and 2005 are calendar years and 2011 and 2012 are financial years (2010–11 and 2011–12). All columns and rows have been rounded so column and row totals may not tally.</w:t>
      </w:r>
    </w:p>
    <w:p w:rsidR="00D0333C" w:rsidRPr="00D0333C" w:rsidRDefault="00C574D3" w:rsidP="006915B8">
      <w:pPr>
        <w:pStyle w:val="Notesourcetext"/>
      </w:pPr>
      <w:r>
        <w:t>Source: ABARES</w:t>
      </w:r>
    </w:p>
    <w:p w:rsidR="00C574D3" w:rsidRDefault="00C574D3" w:rsidP="00C574D3">
      <w:pPr>
        <w:pStyle w:val="Caption"/>
      </w:pPr>
      <w:bookmarkStart w:id="42" w:name="_Toc371959328"/>
      <w:bookmarkStart w:id="43" w:name="_Toc415751188"/>
      <w:r>
        <w:t>Table A</w:t>
      </w:r>
      <w:r w:rsidR="000A7BBE">
        <w:fldChar w:fldCharType="begin"/>
      </w:r>
      <w:r w:rsidR="00BE6FBE">
        <w:instrText xml:space="preserve"> SEQ Table</w:instrText>
      </w:r>
      <w:r w:rsidR="00D92C91">
        <w:instrText>A</w:instrText>
      </w:r>
      <w:r w:rsidR="00BE6FBE">
        <w:instrText xml:space="preserve"> </w:instrText>
      </w:r>
      <w:r w:rsidR="004A2267">
        <w:instrText>\* Arabic</w:instrText>
      </w:r>
      <w:r w:rsidR="004A2267" w:rsidDel="008F5946">
        <w:instrText xml:space="preserve"> </w:instrText>
      </w:r>
      <w:r w:rsidR="00BE6FBE">
        <w:instrText xml:space="preserve"> </w:instrText>
      </w:r>
      <w:r w:rsidR="008F5946">
        <w:instrText xml:space="preserve"> \</w:instrText>
      </w:r>
      <w:r w:rsidR="007F1578">
        <w:instrText>s</w:instrText>
      </w:r>
      <w:r w:rsidR="008F5946">
        <w:instrText xml:space="preserve"> </w:instrText>
      </w:r>
      <w:r w:rsidR="009C37DE">
        <w:instrText>"</w:instrText>
      </w:r>
      <w:r w:rsidR="00D43C41">
        <w:instrText>Appendix heading</w:instrText>
      </w:r>
      <w:r w:rsidR="009C37DE">
        <w:instrText>"</w:instrText>
      </w:r>
      <w:r w:rsidR="000A7BBE">
        <w:fldChar w:fldCharType="separate"/>
      </w:r>
      <w:r w:rsidR="00073D21">
        <w:rPr>
          <w:noProof/>
        </w:rPr>
        <w:t>2</w:t>
      </w:r>
      <w:r w:rsidR="000A7BBE">
        <w:rPr>
          <w:noProof/>
        </w:rPr>
        <w:fldChar w:fldCharType="end"/>
      </w:r>
      <w:r>
        <w:t xml:space="preserve"> Notes on southern bluefin tuna recreational fishing activities and monitoring program</w:t>
      </w:r>
      <w:r w:rsidR="00EA328B">
        <w:t>me</w:t>
      </w:r>
      <w:r>
        <w:t>s based on presentations and discussions at the 2011 technical workshop</w:t>
      </w:r>
      <w:bookmarkEnd w:id="42"/>
      <w:bookmarkEnd w:id="43"/>
    </w:p>
    <w:tbl>
      <w:tblPr>
        <w:tblStyle w:val="ABAREStableleftalign"/>
        <w:tblW w:w="0" w:type="auto"/>
        <w:tblLook w:val="04A0" w:firstRow="1" w:lastRow="0" w:firstColumn="1" w:lastColumn="0" w:noHBand="0" w:noVBand="1"/>
      </w:tblPr>
      <w:tblGrid>
        <w:gridCol w:w="1131"/>
        <w:gridCol w:w="2833"/>
        <w:gridCol w:w="2832"/>
        <w:gridCol w:w="4546"/>
        <w:gridCol w:w="2831"/>
      </w:tblGrid>
      <w:tr w:rsidR="00C574D3" w:rsidRPr="00D141D2" w:rsidTr="00C574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C574D3" w:rsidRPr="00D141D2" w:rsidRDefault="00C574D3" w:rsidP="00C574D3">
            <w:pPr>
              <w:pStyle w:val="Tabletext"/>
              <w:rPr>
                <w:szCs w:val="19"/>
              </w:rPr>
            </w:pPr>
            <w:r w:rsidRPr="00D141D2">
              <w:rPr>
                <w:szCs w:val="19"/>
              </w:rPr>
              <w:t>Attribute</w:t>
            </w:r>
          </w:p>
        </w:tc>
        <w:tc>
          <w:tcPr>
            <w:tcW w:w="2878" w:type="dxa"/>
          </w:tcPr>
          <w:p w:rsidR="00C574D3" w:rsidRPr="00D141D2" w:rsidRDefault="00C574D3" w:rsidP="00C574D3">
            <w:pPr>
              <w:pStyle w:val="Tabletext"/>
              <w:cnfStyle w:val="100000000000" w:firstRow="1" w:lastRow="0" w:firstColumn="0" w:lastColumn="0" w:oddVBand="0" w:evenVBand="0" w:oddHBand="0" w:evenHBand="0" w:firstRowFirstColumn="0" w:firstRowLastColumn="0" w:lastRowFirstColumn="0" w:lastRowLastColumn="0"/>
              <w:rPr>
                <w:szCs w:val="19"/>
              </w:rPr>
            </w:pPr>
            <w:r w:rsidRPr="00D141D2">
              <w:rPr>
                <w:szCs w:val="19"/>
              </w:rPr>
              <w:t>New South Wales</w:t>
            </w:r>
          </w:p>
        </w:tc>
        <w:tc>
          <w:tcPr>
            <w:tcW w:w="2878" w:type="dxa"/>
          </w:tcPr>
          <w:p w:rsidR="00C574D3" w:rsidRPr="00D141D2" w:rsidRDefault="00C574D3" w:rsidP="00C574D3">
            <w:pPr>
              <w:pStyle w:val="Tabletext"/>
              <w:cnfStyle w:val="100000000000" w:firstRow="1" w:lastRow="0" w:firstColumn="0" w:lastColumn="0" w:oddVBand="0" w:evenVBand="0" w:oddHBand="0" w:evenHBand="0" w:firstRowFirstColumn="0" w:firstRowLastColumn="0" w:lastRowFirstColumn="0" w:lastRowLastColumn="0"/>
              <w:rPr>
                <w:szCs w:val="19"/>
              </w:rPr>
            </w:pPr>
            <w:r w:rsidRPr="00D141D2">
              <w:rPr>
                <w:szCs w:val="19"/>
              </w:rPr>
              <w:t>Victoria</w:t>
            </w:r>
          </w:p>
        </w:tc>
        <w:tc>
          <w:tcPr>
            <w:tcW w:w="4621" w:type="dxa"/>
          </w:tcPr>
          <w:p w:rsidR="00C574D3" w:rsidRPr="00D141D2" w:rsidRDefault="00C574D3" w:rsidP="00C574D3">
            <w:pPr>
              <w:pStyle w:val="Tabletext"/>
              <w:cnfStyle w:val="100000000000" w:firstRow="1" w:lastRow="0" w:firstColumn="0" w:lastColumn="0" w:oddVBand="0" w:evenVBand="0" w:oddHBand="0" w:evenHBand="0" w:firstRowFirstColumn="0" w:firstRowLastColumn="0" w:lastRowFirstColumn="0" w:lastRowLastColumn="0"/>
              <w:rPr>
                <w:szCs w:val="19"/>
              </w:rPr>
            </w:pPr>
            <w:r w:rsidRPr="00D141D2">
              <w:rPr>
                <w:szCs w:val="19"/>
              </w:rPr>
              <w:t>South Australia</w:t>
            </w:r>
          </w:p>
        </w:tc>
        <w:tc>
          <w:tcPr>
            <w:tcW w:w="2878" w:type="dxa"/>
          </w:tcPr>
          <w:p w:rsidR="00C574D3" w:rsidRPr="00D141D2" w:rsidRDefault="00C574D3" w:rsidP="00C574D3">
            <w:pPr>
              <w:pStyle w:val="Tabletext"/>
              <w:cnfStyle w:val="100000000000" w:firstRow="1" w:lastRow="0" w:firstColumn="0" w:lastColumn="0" w:oddVBand="0" w:evenVBand="0" w:oddHBand="0" w:evenHBand="0" w:firstRowFirstColumn="0" w:firstRowLastColumn="0" w:lastRowFirstColumn="0" w:lastRowLastColumn="0"/>
              <w:rPr>
                <w:szCs w:val="19"/>
              </w:rPr>
            </w:pPr>
            <w:r w:rsidRPr="00D141D2">
              <w:rPr>
                <w:szCs w:val="19"/>
              </w:rPr>
              <w:t>Western Australia</w:t>
            </w:r>
          </w:p>
        </w:tc>
      </w:tr>
      <w:tr w:rsidR="00C574D3" w:rsidRPr="00D141D2" w:rsidTr="00C574D3">
        <w:tc>
          <w:tcPr>
            <w:cnfStyle w:val="001000000000" w:firstRow="0" w:lastRow="0" w:firstColumn="1" w:lastColumn="0" w:oddVBand="0" w:evenVBand="0" w:oddHBand="0" w:evenHBand="0" w:firstRowFirstColumn="0" w:firstRowLastColumn="0" w:lastRowFirstColumn="0" w:lastRowLastColumn="0"/>
            <w:tcW w:w="1134" w:type="dxa"/>
          </w:tcPr>
          <w:p w:rsidR="00C574D3" w:rsidRPr="00D141D2" w:rsidRDefault="00C574D3" w:rsidP="00C574D3">
            <w:pPr>
              <w:pStyle w:val="Tabletext"/>
              <w:rPr>
                <w:szCs w:val="19"/>
              </w:rPr>
            </w:pPr>
            <w:r w:rsidRPr="00D141D2">
              <w:rPr>
                <w:szCs w:val="19"/>
              </w:rPr>
              <w:t>Gaps</w:t>
            </w:r>
          </w:p>
        </w:tc>
        <w:tc>
          <w:tcPr>
            <w:tcW w:w="2878" w:type="dxa"/>
          </w:tcPr>
          <w:p w:rsidR="00C574D3" w:rsidRPr="00D141D2" w:rsidRDefault="00C574D3" w:rsidP="00C574D3">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Game fishing club members outside tournaments and non-club anglers are difficult to monitor.</w:t>
            </w:r>
          </w:p>
        </w:tc>
        <w:tc>
          <w:tcPr>
            <w:tcW w:w="2878" w:type="dxa"/>
          </w:tcPr>
          <w:p w:rsidR="00C574D3" w:rsidRPr="00D141D2" w:rsidRDefault="00C574D3" w:rsidP="00C574D3">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No southern bluefin tuna catch monitor program</w:t>
            </w:r>
            <w:r w:rsidR="00EA328B">
              <w:rPr>
                <w:szCs w:val="19"/>
              </w:rPr>
              <w:t>me</w:t>
            </w:r>
            <w:r w:rsidRPr="00D141D2">
              <w:rPr>
                <w:szCs w:val="19"/>
              </w:rPr>
              <w:t>s are planned after 2011.</w:t>
            </w:r>
          </w:p>
        </w:tc>
        <w:tc>
          <w:tcPr>
            <w:tcW w:w="4621" w:type="dxa"/>
          </w:tcPr>
          <w:p w:rsidR="00C574D3" w:rsidRPr="00D141D2" w:rsidRDefault="00C574D3" w:rsidP="00902730">
            <w:pPr>
              <w:pStyle w:val="Tablenumberedlis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Reporting released numbers in log books</w:t>
            </w:r>
          </w:p>
          <w:p w:rsidR="00C574D3" w:rsidRPr="00D141D2" w:rsidRDefault="00C574D3" w:rsidP="00902730">
            <w:pPr>
              <w:pStyle w:val="Tablenumberedlis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Lack of validation of logbook data</w:t>
            </w:r>
          </w:p>
          <w:p w:rsidR="00C574D3" w:rsidRPr="00D141D2" w:rsidRDefault="00C574D3" w:rsidP="00902730">
            <w:pPr>
              <w:pStyle w:val="Tablenumberedlis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Size composition of catches, no regular program</w:t>
            </w:r>
            <w:r w:rsidR="00EA328B">
              <w:rPr>
                <w:szCs w:val="19"/>
              </w:rPr>
              <w:t>me</w:t>
            </w:r>
            <w:r w:rsidRPr="00D141D2">
              <w:rPr>
                <w:szCs w:val="19"/>
              </w:rPr>
              <w:t xml:space="preserve"> of monitoring</w:t>
            </w:r>
          </w:p>
          <w:p w:rsidR="00C574D3" w:rsidRPr="00D141D2" w:rsidRDefault="00C574D3" w:rsidP="00902730">
            <w:pPr>
              <w:pStyle w:val="Tablenumberedlis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Estimates from general recreational fishery for southern bluefin tuna very patchy</w:t>
            </w:r>
          </w:p>
          <w:p w:rsidR="00C574D3" w:rsidRPr="00D141D2" w:rsidRDefault="00C574D3" w:rsidP="00902730">
            <w:pPr>
              <w:pStyle w:val="Tablenumberedlis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Proposed new general recreational fishery survey in 2012</w:t>
            </w:r>
          </w:p>
        </w:tc>
        <w:tc>
          <w:tcPr>
            <w:tcW w:w="2878" w:type="dxa"/>
          </w:tcPr>
          <w:p w:rsidR="00C574D3" w:rsidRPr="00D141D2" w:rsidRDefault="00C574D3" w:rsidP="00D10386">
            <w:pPr>
              <w:pStyle w:val="Tabletext"/>
              <w:cnfStyle w:val="000000000000" w:firstRow="0" w:lastRow="0" w:firstColumn="0" w:lastColumn="0" w:oddVBand="0" w:evenVBand="0" w:oddHBand="0" w:evenHBand="0" w:firstRowFirstColumn="0" w:firstRowLastColumn="0" w:lastRowFirstColumn="0" w:lastRowLastColumn="0"/>
              <w:rPr>
                <w:szCs w:val="19"/>
              </w:rPr>
            </w:pPr>
            <w:r w:rsidRPr="00D141D2">
              <w:rPr>
                <w:szCs w:val="19"/>
              </w:rPr>
              <w:t>No time series data available for recreational catches of southern bluefin tuna. The charter boat logbook has been compulsory since June 2001.</w:t>
            </w:r>
          </w:p>
        </w:tc>
      </w:tr>
    </w:tbl>
    <w:p w:rsidR="00C574D3" w:rsidRPr="00C574D3" w:rsidRDefault="0094797D" w:rsidP="0094797D">
      <w:pPr>
        <w:pStyle w:val="Notesourcetext"/>
        <w:sectPr w:rsidR="00C574D3" w:rsidRPr="00C574D3" w:rsidSect="00027014">
          <w:headerReference w:type="default" r:id="rId24"/>
          <w:footerReference w:type="default" r:id="rId25"/>
          <w:pgSz w:w="16838" w:h="11906" w:orient="landscape"/>
          <w:pgMar w:top="1418" w:right="1247" w:bottom="1418" w:left="1418" w:header="510" w:footer="709" w:gutter="0"/>
          <w:cols w:space="708"/>
          <w:docGrid w:linePitch="360"/>
        </w:sectPr>
      </w:pPr>
      <w:r w:rsidRPr="0094797D">
        <w:t>Source: ABARES</w:t>
      </w:r>
    </w:p>
    <w:p w:rsidR="00123E78" w:rsidRDefault="00123E78" w:rsidP="00123E78">
      <w:pPr>
        <w:pStyle w:val="Heading1unnumberedchapter"/>
      </w:pPr>
      <w:bookmarkStart w:id="44" w:name="_Toc415751183"/>
      <w:r>
        <w:lastRenderedPageBreak/>
        <w:t>Glossary</w:t>
      </w:r>
      <w:bookmarkEnd w:id="44"/>
    </w:p>
    <w:p w:rsidR="00F14B76" w:rsidRDefault="00497BC2" w:rsidP="00497BC2">
      <w:pPr>
        <w:pStyle w:val="BodyText1"/>
        <w:tabs>
          <w:tab w:val="left" w:pos="1418"/>
        </w:tabs>
      </w:pPr>
      <w:r w:rsidRPr="00497BC2">
        <w:rPr>
          <w:rStyle w:val="GlossaryChar"/>
        </w:rPr>
        <w:t>BLUP</w:t>
      </w:r>
      <w:r w:rsidR="00F14B76" w:rsidRPr="00497BC2">
        <w:rPr>
          <w:rStyle w:val="GlossaryChar"/>
        </w:rPr>
        <w:tab/>
        <w:t>best linear unbiased</w:t>
      </w:r>
      <w:r w:rsidR="00F14B76">
        <w:t xml:space="preserve"> prediction</w:t>
      </w:r>
    </w:p>
    <w:p w:rsidR="00F14B76" w:rsidRDefault="00497BC2" w:rsidP="00497BC2">
      <w:pPr>
        <w:pStyle w:val="Glossary"/>
      </w:pPr>
      <w:r>
        <w:t>FAO</w:t>
      </w:r>
      <w:r>
        <w:tab/>
      </w:r>
      <w:r w:rsidR="00F14B76">
        <w:t>Food and Agriculture Organization of the United Nations</w:t>
      </w:r>
    </w:p>
    <w:p w:rsidR="000D4873" w:rsidRDefault="00497BC2" w:rsidP="005F5C56">
      <w:pPr>
        <w:pStyle w:val="Glossary"/>
      </w:pPr>
      <w:r>
        <w:t>R&amp;D</w:t>
      </w:r>
      <w:r>
        <w:tab/>
      </w:r>
      <w:r w:rsidR="00F14B76">
        <w:t>research a</w:t>
      </w:r>
      <w:r w:rsidR="00F14B76" w:rsidRPr="00497BC2">
        <w:rPr>
          <w:rStyle w:val="GlossaryChar"/>
        </w:rPr>
        <w:t>n</w:t>
      </w:r>
      <w:r w:rsidR="00F14B76">
        <w:t>d development</w:t>
      </w:r>
    </w:p>
    <w:p w:rsidR="00B71354" w:rsidRDefault="00B71354" w:rsidP="005F5C56">
      <w:pPr>
        <w:pStyle w:val="Glossary"/>
      </w:pPr>
    </w:p>
    <w:p w:rsidR="00552873" w:rsidRDefault="00552873" w:rsidP="00F14B76">
      <w:pPr>
        <w:pStyle w:val="Heading1unnumberedchapter"/>
        <w:sectPr w:rsidR="00552873" w:rsidSect="00027014">
          <w:headerReference w:type="default" r:id="rId26"/>
          <w:footerReference w:type="default" r:id="rId27"/>
          <w:pgSz w:w="11906" w:h="16838"/>
          <w:pgMar w:top="1247" w:right="1418" w:bottom="1418" w:left="1418" w:header="510" w:footer="709" w:gutter="0"/>
          <w:cols w:space="708"/>
          <w:docGrid w:linePitch="360"/>
        </w:sectPr>
      </w:pPr>
    </w:p>
    <w:p w:rsidR="00123E78" w:rsidRDefault="00123E78" w:rsidP="00F14B76">
      <w:pPr>
        <w:pStyle w:val="Heading1unnumberedchapter"/>
      </w:pPr>
      <w:bookmarkStart w:id="45" w:name="_Toc415751184"/>
      <w:r>
        <w:lastRenderedPageBreak/>
        <w:t>References</w:t>
      </w:r>
      <w:bookmarkEnd w:id="45"/>
    </w:p>
    <w:p w:rsidR="000356F3" w:rsidRDefault="000356F3" w:rsidP="00402350">
      <w:pPr>
        <w:pStyle w:val="BodyText1"/>
      </w:pPr>
      <w:r w:rsidRPr="000356F3">
        <w:t xml:space="preserve">Unless otherwise indicated, ABARES publications listed here are available at </w:t>
      </w:r>
      <w:hyperlink r:id="rId28" w:history="1">
        <w:r w:rsidRPr="000356F3">
          <w:rPr>
            <w:rStyle w:val="Hyperlink"/>
          </w:rPr>
          <w:t>agriculture.gov.au/abares/publications</w:t>
        </w:r>
      </w:hyperlink>
      <w:r w:rsidRPr="000356F3">
        <w:t>.</w:t>
      </w:r>
    </w:p>
    <w:p w:rsidR="00F14B76" w:rsidRDefault="00F14B76" w:rsidP="00402350">
      <w:pPr>
        <w:pStyle w:val="BodyText1"/>
      </w:pPr>
      <w:r>
        <w:t xml:space="preserve">ABARES 2012a, </w:t>
      </w:r>
      <w:r w:rsidRPr="00402350">
        <w:rPr>
          <w:rStyle w:val="Italic"/>
        </w:rPr>
        <w:t>Australian beef—financial performance of beef cattle producing farms, 2009</w:t>
      </w:r>
      <w:r>
        <w:t>–</w:t>
      </w:r>
      <w:r w:rsidRPr="00402350">
        <w:rPr>
          <w:rStyle w:val="Italic"/>
        </w:rPr>
        <w:t>10 to 2011–12</w:t>
      </w:r>
      <w:r>
        <w:t xml:space="preserve">, Australian Bureau of Agricultural and Resource Economics, Canberra, available at </w:t>
      </w:r>
      <w:hyperlink r:id="rId29" w:history="1">
        <w:r>
          <w:rPr>
            <w:rStyle w:val="Hyperlink"/>
          </w:rPr>
          <w:t>adl.brs.gov.au/data/warehouse/9aabf004/abfpf/abfpfd9aabf00420120629/AustBeef_2012_v1.0.0.pdf</w:t>
        </w:r>
      </w:hyperlink>
      <w:r>
        <w:t xml:space="preserve"> (pdf 2.33mb).</w:t>
      </w:r>
    </w:p>
    <w:p w:rsidR="00F14B76" w:rsidRDefault="00F14B76" w:rsidP="00402350">
      <w:pPr>
        <w:pStyle w:val="BodyText1"/>
      </w:pPr>
      <w:r>
        <w:t xml:space="preserve">ABARES 2012b, </w:t>
      </w:r>
      <w:r w:rsidRPr="00402350">
        <w:rPr>
          <w:rStyle w:val="Italic"/>
        </w:rPr>
        <w:t>Agricultural commodities: September quarter 2012</w:t>
      </w:r>
      <w:r>
        <w:t xml:space="preserve">, Australian Bureau of Agricultural and Resource Economics and Sciences, Canberra, available at </w:t>
      </w:r>
      <w:hyperlink r:id="rId30" w:history="1">
        <w:r>
          <w:rPr>
            <w:rStyle w:val="Hyperlink"/>
          </w:rPr>
          <w:t>adl.brs.gov.au/data/warehouse/agcomd9abcc004/agcomd9abcc004201209/AgCommodities2012.Vol2.No3_Ver1.1.0.pdf</w:t>
        </w:r>
      </w:hyperlink>
      <w:r>
        <w:t xml:space="preserve"> (pdf 5.51mb).</w:t>
      </w:r>
    </w:p>
    <w:p w:rsidR="00F14B76" w:rsidRDefault="00F14B76" w:rsidP="00402350">
      <w:pPr>
        <w:pStyle w:val="BodyText1"/>
      </w:pPr>
      <w:r>
        <w:t xml:space="preserve">ALA 2013, </w:t>
      </w:r>
      <w:r w:rsidRPr="00402350">
        <w:rPr>
          <w:rStyle w:val="Italic"/>
        </w:rPr>
        <w:t>Explore</w:t>
      </w:r>
      <w:r>
        <w:t xml:space="preserve"> [home page], Atlas of Living Australia, Canberra, available at </w:t>
      </w:r>
      <w:hyperlink r:id="rId31" w:history="1">
        <w:r>
          <w:rPr>
            <w:rStyle w:val="Hyperlink"/>
          </w:rPr>
          <w:t>ala.org.au</w:t>
        </w:r>
      </w:hyperlink>
      <w:r>
        <w:t>.</w:t>
      </w:r>
    </w:p>
    <w:p w:rsidR="00F14B76" w:rsidRDefault="00F14B76" w:rsidP="00402350">
      <w:pPr>
        <w:pStyle w:val="BodyText1"/>
      </w:pPr>
      <w:r>
        <w:t>Brickley, C 2002, ‘Extending eco-label standards to include soil and water quality: the Protected Harvest approach’, conference on Ecolabels and the Greening of the Food Market, Boston, MA.</w:t>
      </w:r>
    </w:p>
    <w:p w:rsidR="00F14B76" w:rsidRDefault="00F14B76" w:rsidP="00402350">
      <w:pPr>
        <w:pStyle w:val="BodyText1"/>
      </w:pPr>
      <w:r>
        <w:t xml:space="preserve">Crosthwaite, J &amp; Macleod, ND 2000, ‘Retaining native vegetation on farm: Understanding its private value’, in Craig, JL, Mitchell, N &amp; Saunders, DA (eds), </w:t>
      </w:r>
      <w:r>
        <w:rPr>
          <w:i/>
        </w:rPr>
        <w:t>Conservation in production environments: Managing the matrix</w:t>
      </w:r>
      <w:r>
        <w:t>, Surrey Beatty and Sons, Chipping Norton, New South Wales, proceedings of Conservation Networks Conference 5, Taupo, New Zealand, 1997.</w:t>
      </w:r>
    </w:p>
    <w:p w:rsidR="00F14B76" w:rsidRDefault="00F14B76" w:rsidP="00402350">
      <w:pPr>
        <w:pStyle w:val="BodyText1"/>
        <w:rPr>
          <w:rFonts w:asciiTheme="majorHAnsi" w:hAnsiTheme="majorHAnsi"/>
        </w:rPr>
      </w:pPr>
      <w:r>
        <w:rPr>
          <w:rFonts w:asciiTheme="majorHAnsi" w:hAnsiTheme="majorHAnsi"/>
        </w:rPr>
        <w:t xml:space="preserve">Light, D 2000, ‘A tax of the jitters’, </w:t>
      </w:r>
      <w:r>
        <w:rPr>
          <w:rFonts w:asciiTheme="majorHAnsi" w:hAnsiTheme="majorHAnsi"/>
          <w:i/>
        </w:rPr>
        <w:t>Bulletin</w:t>
      </w:r>
      <w:r>
        <w:rPr>
          <w:rFonts w:asciiTheme="majorHAnsi" w:hAnsiTheme="majorHAnsi"/>
        </w:rPr>
        <w:t>, 18 January, pp. 50–1.</w:t>
      </w:r>
    </w:p>
    <w:p w:rsidR="00F14B76" w:rsidRDefault="00F14B76" w:rsidP="00402350">
      <w:pPr>
        <w:pStyle w:val="BodyText1"/>
      </w:pPr>
      <w:r>
        <w:t xml:space="preserve">Rutherford, TF 1995, ‘Extension of GAMS for complementarity problems arising in applied economic analysis’, </w:t>
      </w:r>
      <w:r w:rsidRPr="00402350">
        <w:rPr>
          <w:rStyle w:val="Italic"/>
        </w:rPr>
        <w:t>Journal of Economic Dynamics and Control</w:t>
      </w:r>
      <w:r>
        <w:t>, vol. 19, no. 8, pp. 1299–1324.</w:t>
      </w:r>
    </w:p>
    <w:p w:rsidR="004170C9" w:rsidRPr="004170C9" w:rsidRDefault="00F14B76" w:rsidP="001D6909">
      <w:pPr>
        <w:pStyle w:val="BodyText1"/>
      </w:pPr>
      <w:r>
        <w:t>Stoneham, G, Chaudri, V, Ha, A &amp; Strapazzon, L 2002, ‘Auctions for conservation contracts: an empirical investigation of Victoria’s bush tender trial’, 46th Australian Agricultural and Resource Economics Society Conference,</w:t>
      </w:r>
      <w:r w:rsidR="00664F63">
        <w:t xml:space="preserve"> 13–15 February, Canberra</w:t>
      </w:r>
      <w:r w:rsidR="001D6909">
        <w:t>.</w:t>
      </w:r>
    </w:p>
    <w:sectPr w:rsidR="004170C9" w:rsidRPr="004170C9" w:rsidSect="00027014">
      <w:headerReference w:type="default" r:id="rId32"/>
      <w:footerReference w:type="default" r:id="rId33"/>
      <w:pgSz w:w="11906" w:h="16838"/>
      <w:pgMar w:top="1247" w:right="1418" w:bottom="1418" w:left="1418" w:header="510"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3F03" w:rsidRPr="00F77DD5" w:rsidRDefault="00153F03" w:rsidP="00AA73EC">
      <w:r>
        <w:separator/>
      </w:r>
    </w:p>
    <w:p w:rsidR="00153F03" w:rsidRDefault="00153F03"/>
    <w:p w:rsidR="00153F03" w:rsidRDefault="00153F03"/>
  </w:endnote>
  <w:endnote w:type="continuationSeparator" w:id="0">
    <w:p w:rsidR="00153F03" w:rsidRPr="00F77DD5" w:rsidRDefault="00153F03" w:rsidP="00AA73EC">
      <w:r>
        <w:continuationSeparator/>
      </w:r>
    </w:p>
    <w:p w:rsidR="00153F03" w:rsidRDefault="00153F03"/>
    <w:p w:rsidR="00153F03" w:rsidRDefault="00153F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01F0" w:rsidRDefault="000A7BBE" w:rsidP="00AA73EC">
    <w:pPr>
      <w:jc w:val="center"/>
    </w:pPr>
    <w:r>
      <w:fldChar w:fldCharType="begin"/>
    </w:r>
    <w:r w:rsidR="005F01F0">
      <w:instrText xml:space="preserve"> PAGE \* roman </w:instrText>
    </w:r>
    <w:r>
      <w:fldChar w:fldCharType="separate"/>
    </w:r>
    <w:r w:rsidR="0039049F">
      <w:rPr>
        <w:noProof/>
      </w:rPr>
      <w:t>vii</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01F0" w:rsidRDefault="000A7BBE" w:rsidP="000B59F3">
    <w:pPr>
      <w:jc w:val="center"/>
    </w:pPr>
    <w:r>
      <w:fldChar w:fldCharType="begin"/>
    </w:r>
    <w:r w:rsidR="005F01F0">
      <w:instrText xml:space="preserve"> PAGE </w:instrText>
    </w:r>
    <w:r>
      <w:fldChar w:fldCharType="separate"/>
    </w:r>
    <w:r w:rsidR="0039049F">
      <w:rPr>
        <w:noProof/>
      </w:rPr>
      <w:t>4</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01F0" w:rsidRPr="00027014" w:rsidRDefault="005F01F0" w:rsidP="0002701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50C2" w:rsidRPr="000B59F3" w:rsidRDefault="00C25B43" w:rsidP="000B59F3">
    <w:pPr>
      <w:jc w:val="center"/>
    </w:pPr>
    <w:r>
      <w:fldChar w:fldCharType="begin"/>
    </w:r>
    <w:r>
      <w:instrText xml:space="preserve"> PAGE </w:instrText>
    </w:r>
    <w:r>
      <w:fldChar w:fldCharType="separate"/>
    </w:r>
    <w:r w:rsidR="0039049F">
      <w:rPr>
        <w:noProof/>
      </w:rPr>
      <w:t>6</w:t>
    </w:r>
    <w:r>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50C2" w:rsidRPr="000B59F3" w:rsidRDefault="00C25B43" w:rsidP="000B59F3">
    <w:pPr>
      <w:jc w:val="center"/>
    </w:pPr>
    <w:r>
      <w:fldChar w:fldCharType="begin"/>
    </w:r>
    <w:r>
      <w:instrText xml:space="preserve"> PAGE </w:instrText>
    </w:r>
    <w:r>
      <w:fldChar w:fldCharType="separate"/>
    </w:r>
    <w:r w:rsidR="0039049F">
      <w:rPr>
        <w:noProof/>
      </w:rPr>
      <w:t>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3F03" w:rsidRPr="00F77DD5" w:rsidRDefault="00153F03" w:rsidP="00AA73EC">
      <w:r>
        <w:separator/>
      </w:r>
    </w:p>
    <w:p w:rsidR="00153F03" w:rsidRDefault="00153F03"/>
    <w:p w:rsidR="00153F03" w:rsidRDefault="00153F03"/>
  </w:footnote>
  <w:footnote w:type="continuationSeparator" w:id="0">
    <w:p w:rsidR="00153F03" w:rsidRPr="00F77DD5" w:rsidRDefault="00153F03" w:rsidP="00AA73EC">
      <w:r>
        <w:continuationSeparator/>
      </w:r>
    </w:p>
    <w:p w:rsidR="00153F03" w:rsidRDefault="00153F03"/>
    <w:p w:rsidR="00153F03" w:rsidRDefault="00153F0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01F0" w:rsidRDefault="005F01F0" w:rsidP="008044DB">
    <w:pPr>
      <w:pStyle w:val="BodyText1"/>
      <w:jc w:val="center"/>
    </w:pPr>
    <w:r w:rsidRPr="00654124">
      <w:rPr>
        <w:rStyle w:val="Italic"/>
        <w:i w:val="0"/>
      </w:rPr>
      <w:t>Report title</w:t>
    </w:r>
    <w:r>
      <w:tab/>
    </w:r>
    <w:r w:rsidRPr="003C413C">
      <w:t>ABARES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01F0" w:rsidRPr="00027014" w:rsidRDefault="00CB0C60" w:rsidP="00027014">
    <w:pPr>
      <w:pStyle w:val="Header"/>
    </w:pPr>
    <w:r>
      <w:rPr>
        <w:noProof/>
        <w:lang w:eastAsia="en-AU"/>
      </w:rPr>
      <mc:AlternateContent>
        <mc:Choice Requires="wps">
          <w:drawing>
            <wp:anchor distT="0" distB="0" distL="114300" distR="114300" simplePos="0" relativeHeight="251660288" behindDoc="0" locked="0" layoutInCell="1" allowOverlap="1">
              <wp:simplePos x="0" y="0"/>
              <wp:positionH relativeFrom="column">
                <wp:posOffset>-495935</wp:posOffset>
              </wp:positionH>
              <wp:positionV relativeFrom="paragraph">
                <wp:posOffset>387350</wp:posOffset>
              </wp:positionV>
              <wp:extent cx="635000" cy="6350000"/>
              <wp:effectExtent l="0" t="0" r="0" b="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6350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B59F3" w:rsidRDefault="00C25B43" w:rsidP="000B59F3">
                          <w:pPr>
                            <w:jc w:val="center"/>
                          </w:pPr>
                          <w:r>
                            <w:fldChar w:fldCharType="begin"/>
                          </w:r>
                          <w:r>
                            <w:instrText xml:space="preserve"> PAGE </w:instrText>
                          </w:r>
                          <w:r>
                            <w:fldChar w:fldCharType="separate"/>
                          </w:r>
                          <w:r w:rsidR="0039049F">
                            <w:rPr>
                              <w:noProof/>
                            </w:rPr>
                            <w:t>5</w:t>
                          </w:r>
                          <w:r>
                            <w:rPr>
                              <w:noProof/>
                            </w:rPr>
                            <w:fldChar w:fldCharType="end"/>
                          </w:r>
                        </w:p>
                        <w:p w:rsidR="005F01F0" w:rsidRPr="000B59F3" w:rsidRDefault="005F01F0" w:rsidP="000B59F3"/>
                      </w:txbxContent>
                    </wps:txbx>
                    <wps:bodyPr rot="0" vert="mongolian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39.05pt;margin-top:30.5pt;width:50pt;height:50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2zpiAIAABgFAAAOAAAAZHJzL2Uyb0RvYy54bWysVNtu2zAMfR+wfxD0ntrOnIuNOEUvyzCg&#10;uwDt9q7Ysi1MFj1JiV0M+/dRUpKmHQYMw/LgiCJ1RPIcanU5dpLsuTYCVEGTi5gSrkqohGoK+uVh&#10;M1lSYixTFZOgeEEfuaGX69evVkOf8ym0ICuuCYIokw99QVtr+zyKTNnyjpkL6LlCZw26YxZN3USV&#10;ZgOidzKaxvE8GkBXvYaSG4O7t8FJ1x6/rnlpP9W14ZbIgmJu1n+1/27dN1qvWN5o1reiPKTB/iGL&#10;jgmFl56gbpllZKfFb1CdKDUYqO1FCV0EdS1K7mvAapL4RTX3Leu5rwWbY/pTm8z/gy0/7j9rIqqC&#10;ppQo1iFFD3y05BpGsnDdGXqTY9B9j2F2xG1k2Vdq+jsovxmi4KZlquFXWsPQclZhdok7GZ0dDTjG&#10;gWyHD1DhNWxnwQONte5c67AZBNGRpccTMy6VEjfnb2ZxjJ4SXWHtqYtYfjzda2PfceiIWxRUI/Me&#10;ne3vjHXZsPwY4i4zIEW1EVJ6QzfbG6nJnqFKNv7nC3gRJpULVuCOBcSwg0niHc7n0vWs/8iSaRpf&#10;T7PJZr5cTNJNOptki3g5iZPsOpvHaZbebn66BJM0b0VVcXUnFD8qMEn/juHDLATteA2SoaDZbDoL&#10;FP2xSGym62eo4lkvOmFxIKXoCro8BbHcEftWVXiA5ZYJGdbR8/R9l7EHx3/fFS8Dx3zQgB23I6I4&#10;bWyhekRBaEC+kFt8RXDRgWowbaa+oknJgKNZUPN9xzSnRL5XqK4sSVM3y95IZ4spGvrcsz33MFW2&#10;gBOPYGF5Y8P873otmhavDHpWcIWKrIUXy1N6Bx3j+PmqDk+Fm+9z20c9PWjrXwAAAP//AwBQSwME&#10;FAAGAAgAAAAhAJ1IqZPfAAAACgEAAA8AAABkcnMvZG93bnJldi54bWxMj8FKw0AQhu+C77CM4K3d&#10;pGCNaTYlFERQL42C1012mqTJzobsto1v7/RkjzPz8c/3Z9vZDuKMk+8cKYiXEQik2pmOGgXfX6+L&#10;BIQPmoweHKGCX/Swze/vMp0ad6E9nsvQCA4hn2oFbQhjKqWvW7TaL92IxLeDm6wOPE6NNJO+cLgd&#10;5CqK1tLqjvhDq0fctVj35ckq+Iiquv9Jyvc3u/PHp/1ncfR9odTjw1xsQAScwz8MV31Wh5ydKnci&#10;48WgYPGcxIwqWMfciYFV/AKiYjC6bmSeydsK+R8AAAD//wMAUEsBAi0AFAAGAAgAAAAhALaDOJL+&#10;AAAA4QEAABMAAAAAAAAAAAAAAAAAAAAAAFtDb250ZW50X1R5cGVzXS54bWxQSwECLQAUAAYACAAA&#10;ACEAOP0h/9YAAACUAQAACwAAAAAAAAAAAAAAAAAvAQAAX3JlbHMvLnJlbHNQSwECLQAUAAYACAAA&#10;ACEAL2Ns6YgCAAAYBQAADgAAAAAAAAAAAAAAAAAuAgAAZHJzL2Uyb0RvYy54bWxQSwECLQAUAAYA&#10;CAAAACEAnUipk98AAAAKAQAADwAAAAAAAAAAAAAAAADiBAAAZHJzL2Rvd25yZXYueG1sUEsFBgAA&#10;AAAEAAQA8wAAAO4FAAAAAA==&#10;" stroked="f">
              <v:textbox style="layout-flow:vertical;mso-layout-flow-alt:top-to-bottom">
                <w:txbxContent>
                  <w:p w:rsidR="000B59F3" w:rsidRDefault="00C25B43" w:rsidP="000B59F3">
                    <w:pPr>
                      <w:jc w:val="center"/>
                    </w:pPr>
                    <w:r>
                      <w:fldChar w:fldCharType="begin"/>
                    </w:r>
                    <w:r>
                      <w:instrText xml:space="preserve"> PAGE </w:instrText>
                    </w:r>
                    <w:r>
                      <w:fldChar w:fldCharType="separate"/>
                    </w:r>
                    <w:r w:rsidR="0039049F">
                      <w:rPr>
                        <w:noProof/>
                      </w:rPr>
                      <w:t>5</w:t>
                    </w:r>
                    <w:r>
                      <w:rPr>
                        <w:noProof/>
                      </w:rPr>
                      <w:fldChar w:fldCharType="end"/>
                    </w:r>
                  </w:p>
                  <w:p w:rsidR="005F01F0" w:rsidRPr="000B59F3" w:rsidRDefault="005F01F0" w:rsidP="000B59F3"/>
                </w:txbxContent>
              </v:textbox>
            </v:shape>
          </w:pict>
        </mc:Fallback>
      </mc:AlternateContent>
    </w:r>
    <w:r>
      <w:rPr>
        <w:noProof/>
        <w:lang w:eastAsia="en-AU"/>
      </w:rPr>
      <mc:AlternateContent>
        <mc:Choice Requires="wps">
          <w:drawing>
            <wp:anchor distT="0" distB="0" distL="114300" distR="114300" simplePos="0" relativeHeight="251659264" behindDoc="0" locked="0" layoutInCell="1" allowOverlap="1">
              <wp:simplePos x="0" y="0"/>
              <wp:positionH relativeFrom="column">
                <wp:posOffset>9178925</wp:posOffset>
              </wp:positionH>
              <wp:positionV relativeFrom="paragraph">
                <wp:posOffset>387350</wp:posOffset>
              </wp:positionV>
              <wp:extent cx="635000" cy="6350000"/>
              <wp:effectExtent l="0" t="0" r="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6350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B59F3" w:rsidRDefault="000B59F3" w:rsidP="000B59F3">
                          <w:pPr>
                            <w:pStyle w:val="BodyText1"/>
                            <w:jc w:val="center"/>
                          </w:pPr>
                          <w:r w:rsidRPr="00654124">
                            <w:rPr>
                              <w:rStyle w:val="Italic"/>
                              <w:i w:val="0"/>
                            </w:rPr>
                            <w:t>Report title</w:t>
                          </w:r>
                          <w:r>
                            <w:tab/>
                          </w:r>
                          <w:r w:rsidRPr="003C413C">
                            <w:t>ABARES</w:t>
                          </w:r>
                        </w:p>
                        <w:p w:rsidR="005F01F0" w:rsidRPr="000B59F3" w:rsidRDefault="005F01F0" w:rsidP="000B59F3"/>
                      </w:txbxContent>
                    </wps:txbx>
                    <wps:bodyPr rot="0" vert="mongolian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722.75pt;margin-top:30.5pt;width:50pt;height:50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2ViwIAAB8FAAAOAAAAZHJzL2Uyb0RvYy54bWysVNtu2zAMfR+wfxD0ntpOnTQ24hS9LMOA&#10;7gK027tiy7YwW9QkJXZR7N9HSUmadhgwDMuDI4rUEclzqOXl2Hdkx7URIAuanMWUcFlCJWRT0K8P&#10;68mCEmOZrFgHkhf0kRt6uXr7ZjmonE+hha7imiCINPmgCtpaq/IoMmXLe2bOQHGJzhp0zyyauokq&#10;zQZE77toGsfzaABdKQ0lNwZ3b4OTrjx+XfPSfq5rwy3pCoq5Wf/V/rtx32i1ZHmjmWpFuU+D/UMW&#10;PRMSLz1C3TLLyFaL36B6UWowUNuzEvoI6lqU3NeA1STxq2ruW6a4rwWbY9SxTeb/wZafdl80EVVB&#10;zymRrEeKHvhoyTWMZO66MyiTY9C9wjA74jay7Cs16g7K74ZIuGmZbPiV1jC0nFWYXeJORidHA45x&#10;IJvhI1R4Ddta8EBjrXvXOmwGQXRk6fHIjEulxM35+SyO0VOiK6w9dRHLD6eVNvY9h564RUE1Mu/R&#10;2e7OWJcNyw8h7jIDnajWouu8oZvNTafJjqFK1v7nC3gV1kkXLMEdC4hhB5PEO5zPpetZf8qSaRpf&#10;T7PJer64mKTrdDbJLuLFJE6y62wep1l6u/7pEkzSvBVVxeWdkPygwCT9O4b3sxC04zVIhoJms+ks&#10;UPTHIrGZrp+hihe96IXFgexEX9DFMYjljth3ssIDLLdMdGEdvUzfdxl7cPj3XfEycMwHDdhxM3q9&#10;eY04iWygekRdaEDakGJ8THDRg2wweya/oUnJgBNaUPNjyzSnpPsgUWRZkqZupL2Rzi6maOhTz+bU&#10;w2TZAg4+goXljQ3PwFZp0bR4ZZC1hCsUZi28Zp7T28sZp9AXt38x3Jif2j7q+V1b/QIAAP//AwBQ&#10;SwMEFAAGAAgAAAAhAAh6yjrdAAAADQEAAA8AAABkcnMvZG93bnJldi54bWxMT01Lw0AQvQv9D8sU&#10;vNlNpSklZlNCQQT10lTwusmOSZrsbMhu2/jvnXjR27wP3ryX7ifbiyuOvnWkYL2KQCBVzrRUK/g4&#10;PT/sQPigyejeESr4Rg/7bHGX6sS4Gx3xWoRacAj5RCtoQhgSKX3VoNV+5QYk1r7caHVgONbSjPrG&#10;4baXj1G0lVa3xB8aPeChwaorLlbBW1RW3eeueH2xB3+Oj+/52Xe5UvfLKX8CEXAKf2aY63N1yLhT&#10;6S5kvOgZbzZxzF4F2zWPmh3xL1PyFc2czFL5f0X2AwAA//8DAFBLAQItABQABgAIAAAAIQC2gziS&#10;/gAAAOEBAAATAAAAAAAAAAAAAAAAAAAAAABbQ29udGVudF9UeXBlc10ueG1sUEsBAi0AFAAGAAgA&#10;AAAhADj9If/WAAAAlAEAAAsAAAAAAAAAAAAAAAAALwEAAF9yZWxzLy5yZWxzUEsBAi0AFAAGAAgA&#10;AAAhAGr+DZWLAgAAHwUAAA4AAAAAAAAAAAAAAAAALgIAAGRycy9lMm9Eb2MueG1sUEsBAi0AFAAG&#10;AAgAAAAhAAh6yjrdAAAADQEAAA8AAAAAAAAAAAAAAAAA5QQAAGRycy9kb3ducmV2LnhtbFBLBQYA&#10;AAAABAAEAPMAAADvBQAAAAA=&#10;" stroked="f">
              <v:textbox style="layout-flow:vertical;mso-layout-flow-alt:top-to-bottom">
                <w:txbxContent>
                  <w:p w:rsidR="000B59F3" w:rsidRDefault="000B59F3" w:rsidP="000B59F3">
                    <w:pPr>
                      <w:pStyle w:val="BodyText1"/>
                      <w:jc w:val="center"/>
                    </w:pPr>
                    <w:r w:rsidRPr="00654124">
                      <w:rPr>
                        <w:rStyle w:val="Italic"/>
                        <w:i w:val="0"/>
                      </w:rPr>
                      <w:t>Report title</w:t>
                    </w:r>
                    <w:r>
                      <w:tab/>
                    </w:r>
                    <w:r w:rsidRPr="003C413C">
                      <w:t>ABARES</w:t>
                    </w:r>
                  </w:p>
                  <w:p w:rsidR="005F01F0" w:rsidRPr="000B59F3" w:rsidRDefault="005F01F0" w:rsidP="000B59F3"/>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50C2" w:rsidRPr="000B59F3" w:rsidRDefault="000B59F3" w:rsidP="000B59F3">
    <w:pPr>
      <w:pStyle w:val="BodyText1"/>
      <w:jc w:val="center"/>
    </w:pPr>
    <w:r w:rsidRPr="00654124">
      <w:rPr>
        <w:rStyle w:val="Italic"/>
        <w:i w:val="0"/>
      </w:rPr>
      <w:t>Report title</w:t>
    </w:r>
    <w:r>
      <w:tab/>
    </w:r>
    <w:r w:rsidRPr="003C413C">
      <w:t>ABARES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50C2" w:rsidRPr="000B59F3" w:rsidRDefault="000B59F3" w:rsidP="000B59F3">
    <w:pPr>
      <w:pStyle w:val="BodyText1"/>
      <w:jc w:val="center"/>
    </w:pPr>
    <w:r w:rsidRPr="00654124">
      <w:rPr>
        <w:rStyle w:val="Italic"/>
        <w:i w:val="0"/>
      </w:rPr>
      <w:t>Report title</w:t>
    </w:r>
    <w:r>
      <w:tab/>
    </w:r>
    <w:r w:rsidRPr="003C413C">
      <w:t>ABARES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C9C9F2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B769FD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1EC5EA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DDEB7B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E1AEC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89CC3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82C023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78606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0F1D7B3C"/>
    <w:multiLevelType w:val="multilevel"/>
    <w:tmpl w:val="E7647912"/>
    <w:numStyleLink w:val="ABARESnumberedlist2"/>
  </w:abstractNum>
  <w:abstractNum w:abstractNumId="9" w15:restartNumberingAfterBreak="0">
    <w:nsid w:val="12AA2DE2"/>
    <w:multiLevelType w:val="multilevel"/>
    <w:tmpl w:val="E7647912"/>
    <w:numStyleLink w:val="ABARESnumberedlist2"/>
  </w:abstractNum>
  <w:abstractNum w:abstractNumId="10" w15:restartNumberingAfterBreak="0">
    <w:nsid w:val="1AE463F3"/>
    <w:multiLevelType w:val="hybridMultilevel"/>
    <w:tmpl w:val="8314092E"/>
    <w:lvl w:ilvl="0" w:tplc="CC205F80">
      <w:start w:val="1"/>
      <w:numFmt w:val="bullet"/>
      <w:pStyle w:val="Tablebulletpoint"/>
      <w:lvlText w:val=""/>
      <w:lvlJc w:val="left"/>
      <w:pPr>
        <w:ind w:left="709" w:hanging="360"/>
      </w:pPr>
      <w:rPr>
        <w:rFonts w:ascii="Symbol" w:hAnsi="Symbol" w:hint="default"/>
      </w:rPr>
    </w:lvl>
    <w:lvl w:ilvl="1" w:tplc="4476E53E" w:tentative="1">
      <w:start w:val="1"/>
      <w:numFmt w:val="bullet"/>
      <w:lvlText w:val="o"/>
      <w:lvlJc w:val="left"/>
      <w:pPr>
        <w:ind w:left="1429" w:hanging="360"/>
      </w:pPr>
      <w:rPr>
        <w:rFonts w:ascii="Courier New" w:hAnsi="Courier New" w:cs="Courier New" w:hint="default"/>
      </w:rPr>
    </w:lvl>
    <w:lvl w:ilvl="2" w:tplc="2224207C" w:tentative="1">
      <w:start w:val="1"/>
      <w:numFmt w:val="bullet"/>
      <w:lvlText w:val=""/>
      <w:lvlJc w:val="left"/>
      <w:pPr>
        <w:ind w:left="2149" w:hanging="360"/>
      </w:pPr>
      <w:rPr>
        <w:rFonts w:ascii="Wingdings" w:hAnsi="Wingdings" w:hint="default"/>
      </w:rPr>
    </w:lvl>
    <w:lvl w:ilvl="3" w:tplc="8656056C" w:tentative="1">
      <w:start w:val="1"/>
      <w:numFmt w:val="bullet"/>
      <w:lvlText w:val=""/>
      <w:lvlJc w:val="left"/>
      <w:pPr>
        <w:ind w:left="2869" w:hanging="360"/>
      </w:pPr>
      <w:rPr>
        <w:rFonts w:ascii="Symbol" w:hAnsi="Symbol" w:hint="default"/>
      </w:rPr>
    </w:lvl>
    <w:lvl w:ilvl="4" w:tplc="534E5680" w:tentative="1">
      <w:start w:val="1"/>
      <w:numFmt w:val="bullet"/>
      <w:lvlText w:val="o"/>
      <w:lvlJc w:val="left"/>
      <w:pPr>
        <w:ind w:left="3589" w:hanging="360"/>
      </w:pPr>
      <w:rPr>
        <w:rFonts w:ascii="Courier New" w:hAnsi="Courier New" w:cs="Courier New" w:hint="default"/>
      </w:rPr>
    </w:lvl>
    <w:lvl w:ilvl="5" w:tplc="BDBA11DA" w:tentative="1">
      <w:start w:val="1"/>
      <w:numFmt w:val="bullet"/>
      <w:lvlText w:val=""/>
      <w:lvlJc w:val="left"/>
      <w:pPr>
        <w:ind w:left="4309" w:hanging="360"/>
      </w:pPr>
      <w:rPr>
        <w:rFonts w:ascii="Wingdings" w:hAnsi="Wingdings" w:hint="default"/>
      </w:rPr>
    </w:lvl>
    <w:lvl w:ilvl="6" w:tplc="4E6CFE50" w:tentative="1">
      <w:start w:val="1"/>
      <w:numFmt w:val="bullet"/>
      <w:lvlText w:val=""/>
      <w:lvlJc w:val="left"/>
      <w:pPr>
        <w:ind w:left="5029" w:hanging="360"/>
      </w:pPr>
      <w:rPr>
        <w:rFonts w:ascii="Symbol" w:hAnsi="Symbol" w:hint="default"/>
      </w:rPr>
    </w:lvl>
    <w:lvl w:ilvl="7" w:tplc="F6B4238A" w:tentative="1">
      <w:start w:val="1"/>
      <w:numFmt w:val="bullet"/>
      <w:lvlText w:val="o"/>
      <w:lvlJc w:val="left"/>
      <w:pPr>
        <w:ind w:left="5749" w:hanging="360"/>
      </w:pPr>
      <w:rPr>
        <w:rFonts w:ascii="Courier New" w:hAnsi="Courier New" w:cs="Courier New" w:hint="default"/>
      </w:rPr>
    </w:lvl>
    <w:lvl w:ilvl="8" w:tplc="BF36042A" w:tentative="1">
      <w:start w:val="1"/>
      <w:numFmt w:val="bullet"/>
      <w:lvlText w:val=""/>
      <w:lvlJc w:val="left"/>
      <w:pPr>
        <w:ind w:left="6469" w:hanging="360"/>
      </w:pPr>
      <w:rPr>
        <w:rFonts w:ascii="Wingdings" w:hAnsi="Wingdings" w:hint="default"/>
      </w:rPr>
    </w:lvl>
  </w:abstractNum>
  <w:abstractNum w:abstractNumId="11" w15:restartNumberingAfterBreak="0">
    <w:nsid w:val="1CD71580"/>
    <w:multiLevelType w:val="hybridMultilevel"/>
    <w:tmpl w:val="16AAE240"/>
    <w:lvl w:ilvl="0" w:tplc="8BB2C990">
      <w:start w:val="1"/>
      <w:numFmt w:val="bullet"/>
      <w:pStyle w:val="ListBullet"/>
      <w:lvlText w:val=""/>
      <w:lvlJc w:val="left"/>
      <w:pPr>
        <w:ind w:left="360" w:hanging="360"/>
      </w:pPr>
      <w:rPr>
        <w:rFonts w:ascii="Symbol" w:hAnsi="Symbol" w:hint="default"/>
        <w:color w:val="FF790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3A11417"/>
    <w:multiLevelType w:val="multilevel"/>
    <w:tmpl w:val="CBECD8D6"/>
    <w:styleLink w:val="bulletlist"/>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3" w15:restartNumberingAfterBreak="0">
    <w:nsid w:val="2A472E2D"/>
    <w:multiLevelType w:val="multilevel"/>
    <w:tmpl w:val="E7647912"/>
    <w:styleLink w:val="ABARESnumberedlist2"/>
    <w:lvl w:ilvl="0">
      <w:start w:val="1"/>
      <w:numFmt w:val="decimal"/>
      <w:pStyle w:val="Numberedlist-level1"/>
      <w:lvlText w:val="%1)"/>
      <w:lvlJc w:val="left"/>
      <w:pPr>
        <w:ind w:left="360" w:hanging="360"/>
      </w:pPr>
      <w:rPr>
        <w:rFonts w:hint="default"/>
        <w:color w:val="FF7900"/>
      </w:rPr>
    </w:lvl>
    <w:lvl w:ilvl="1">
      <w:start w:val="1"/>
      <w:numFmt w:val="lowerLetter"/>
      <w:pStyle w:val="Numberedlist-level2"/>
      <w:lvlText w:val="%2)"/>
      <w:lvlJc w:val="left"/>
      <w:pPr>
        <w:ind w:left="720" w:hanging="380"/>
      </w:pPr>
      <w:rPr>
        <w:rFonts w:hint="default"/>
      </w:rPr>
    </w:lvl>
    <w:lvl w:ilvl="2">
      <w:start w:val="1"/>
      <w:numFmt w:val="lowerRoman"/>
      <w:pStyle w:val="Numberedlist-level3"/>
      <w:lvlText w:val="%3)"/>
      <w:lvlJc w:val="left"/>
      <w:pPr>
        <w:ind w:left="1077" w:hanging="357"/>
      </w:pPr>
      <w:rPr>
        <w:rFonts w:hint="default"/>
      </w:rPr>
    </w:lvl>
    <w:lvl w:ilvl="3">
      <w:start w:val="1"/>
      <w:numFmt w:val="none"/>
      <w:lvlText w:val=""/>
      <w:lvlJc w:val="left"/>
      <w:pPr>
        <w:ind w:left="2520" w:hanging="360"/>
      </w:pPr>
      <w:rPr>
        <w:rFonts w:hint="default"/>
      </w:rPr>
    </w:lvl>
    <w:lvl w:ilvl="4">
      <w:start w:val="1"/>
      <w:numFmt w:val="none"/>
      <w:lvlText w:val=""/>
      <w:lvlJc w:val="left"/>
      <w:pPr>
        <w:ind w:left="3240" w:hanging="360"/>
      </w:pPr>
      <w:rPr>
        <w:rFonts w:hint="default"/>
      </w:rPr>
    </w:lvl>
    <w:lvl w:ilvl="5">
      <w:start w:val="1"/>
      <w:numFmt w:val="none"/>
      <w:lvlText w:val=""/>
      <w:lvlJc w:val="right"/>
      <w:pPr>
        <w:ind w:left="3960" w:hanging="180"/>
      </w:pPr>
      <w:rPr>
        <w:rFonts w:hint="default"/>
      </w:rPr>
    </w:lvl>
    <w:lvl w:ilvl="6">
      <w:start w:val="1"/>
      <w:numFmt w:val="none"/>
      <w:lvlText w:val=""/>
      <w:lvlJc w:val="left"/>
      <w:pPr>
        <w:ind w:left="4680" w:hanging="360"/>
      </w:pPr>
      <w:rPr>
        <w:rFonts w:hint="default"/>
      </w:rPr>
    </w:lvl>
    <w:lvl w:ilvl="7">
      <w:start w:val="1"/>
      <w:numFmt w:val="none"/>
      <w:lvlText w:val=""/>
      <w:lvlJc w:val="left"/>
      <w:pPr>
        <w:ind w:left="5400" w:hanging="360"/>
      </w:pPr>
      <w:rPr>
        <w:rFonts w:hint="default"/>
      </w:rPr>
    </w:lvl>
    <w:lvl w:ilvl="8">
      <w:start w:val="1"/>
      <w:numFmt w:val="none"/>
      <w:lvlText w:val=""/>
      <w:lvlJc w:val="right"/>
      <w:pPr>
        <w:ind w:left="6120" w:hanging="180"/>
      </w:pPr>
      <w:rPr>
        <w:rFonts w:hint="default"/>
      </w:rPr>
    </w:lvl>
  </w:abstractNum>
  <w:abstractNum w:abstractNumId="14" w15:restartNumberingAfterBreak="0">
    <w:nsid w:val="2DBD653E"/>
    <w:multiLevelType w:val="multilevel"/>
    <w:tmpl w:val="E7647912"/>
    <w:numStyleLink w:val="ABARESnumberedlist2"/>
  </w:abstractNum>
  <w:abstractNum w:abstractNumId="15" w15:restartNumberingAfterBreak="0">
    <w:nsid w:val="4C547036"/>
    <w:multiLevelType w:val="multilevel"/>
    <w:tmpl w:val="E8CC7262"/>
    <w:styleLink w:val="ABARESbulletedlist"/>
    <w:lvl w:ilvl="0">
      <w:start w:val="1"/>
      <w:numFmt w:val="bullet"/>
      <w:pStyle w:val="Bulletlist-level1"/>
      <w:lvlText w:val=""/>
      <w:lvlJc w:val="left"/>
      <w:pPr>
        <w:ind w:left="567" w:hanging="567"/>
      </w:pPr>
      <w:rPr>
        <w:rFonts w:ascii="Symbol" w:hAnsi="Symbol" w:hint="default"/>
        <w:color w:val="FF7900"/>
      </w:rPr>
    </w:lvl>
    <w:lvl w:ilvl="1">
      <w:start w:val="1"/>
      <w:numFmt w:val="bullet"/>
      <w:pStyle w:val="Bulletlist-level2"/>
      <w:lvlText w:val="-"/>
      <w:lvlJc w:val="left"/>
      <w:pPr>
        <w:ind w:left="720" w:hanging="363"/>
      </w:pPr>
      <w:rPr>
        <w:rFonts w:ascii="Calibri" w:hAnsi="Calibri" w:hint="default"/>
      </w:rPr>
    </w:lvl>
    <w:lvl w:ilvl="2">
      <w:start w:val="1"/>
      <w:numFmt w:val="none"/>
      <w:lvlText w:val=""/>
      <w:lvlJc w:val="left"/>
      <w:pPr>
        <w:ind w:left="2157" w:hanging="360"/>
      </w:pPr>
      <w:rPr>
        <w:rFonts w:hint="default"/>
      </w:rPr>
    </w:lvl>
    <w:lvl w:ilvl="3">
      <w:start w:val="1"/>
      <w:numFmt w:val="none"/>
      <w:lvlText w:val=""/>
      <w:lvlJc w:val="left"/>
      <w:pPr>
        <w:ind w:left="2517" w:hanging="360"/>
      </w:pPr>
      <w:rPr>
        <w:rFonts w:hint="default"/>
        <w:color w:val="auto"/>
      </w:rPr>
    </w:lvl>
    <w:lvl w:ilvl="4">
      <w:start w:val="1"/>
      <w:numFmt w:val="none"/>
      <w:lvlText w:val=""/>
      <w:lvlJc w:val="left"/>
      <w:pPr>
        <w:ind w:left="2877" w:hanging="360"/>
      </w:pPr>
      <w:rPr>
        <w:rFonts w:hint="default"/>
      </w:rPr>
    </w:lvl>
    <w:lvl w:ilvl="5">
      <w:start w:val="1"/>
      <w:numFmt w:val="none"/>
      <w:lvlText w:val=""/>
      <w:lvlJc w:val="left"/>
      <w:pPr>
        <w:ind w:left="3237" w:hanging="360"/>
      </w:pPr>
      <w:rPr>
        <w:rFonts w:hint="default"/>
      </w:rPr>
    </w:lvl>
    <w:lvl w:ilvl="6">
      <w:start w:val="1"/>
      <w:numFmt w:val="none"/>
      <w:lvlText w:val=""/>
      <w:lvlJc w:val="left"/>
      <w:pPr>
        <w:ind w:left="3597" w:hanging="360"/>
      </w:pPr>
      <w:rPr>
        <w:rFonts w:hint="default"/>
        <w:color w:val="auto"/>
      </w:rPr>
    </w:lvl>
    <w:lvl w:ilvl="7">
      <w:start w:val="1"/>
      <w:numFmt w:val="none"/>
      <w:lvlText w:val="%8"/>
      <w:lvlJc w:val="left"/>
      <w:pPr>
        <w:ind w:left="3957" w:hanging="360"/>
      </w:pPr>
      <w:rPr>
        <w:rFonts w:hint="default"/>
      </w:rPr>
    </w:lvl>
    <w:lvl w:ilvl="8">
      <w:start w:val="1"/>
      <w:numFmt w:val="none"/>
      <w:lvlText w:val=""/>
      <w:lvlJc w:val="left"/>
      <w:pPr>
        <w:ind w:left="4317" w:hanging="360"/>
      </w:pPr>
      <w:rPr>
        <w:rFonts w:hint="default"/>
      </w:rPr>
    </w:lvl>
  </w:abstractNum>
  <w:abstractNum w:abstractNumId="16" w15:restartNumberingAfterBreak="0">
    <w:nsid w:val="55364439"/>
    <w:multiLevelType w:val="multilevel"/>
    <w:tmpl w:val="427E4520"/>
    <w:styleLink w:val="ABARESnumberedlist"/>
    <w:lvl w:ilvl="0">
      <w:start w:val="1"/>
      <w:numFmt w:val="decimal"/>
      <w:lvlText w:val="%1)"/>
      <w:lvlJc w:val="left"/>
      <w:pPr>
        <w:ind w:left="360" w:hanging="360"/>
      </w:pPr>
      <w:rPr>
        <w:rFonts w:hint="default"/>
        <w:color w:val="FF7900"/>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7" w15:restartNumberingAfterBreak="0">
    <w:nsid w:val="5654208F"/>
    <w:multiLevelType w:val="multilevel"/>
    <w:tmpl w:val="E8CC7262"/>
    <w:numStyleLink w:val="ABARESbulletedlist"/>
  </w:abstractNum>
  <w:abstractNum w:abstractNumId="18" w15:restartNumberingAfterBreak="0">
    <w:nsid w:val="5770342E"/>
    <w:multiLevelType w:val="multilevel"/>
    <w:tmpl w:val="F75C17F0"/>
    <w:lvl w:ilvl="0">
      <w:start w:val="1"/>
      <w:numFmt w:val="decimal"/>
      <w:pStyle w:val="Tablenumberedlist"/>
      <w:lvlText w:val="%1)"/>
      <w:lvlJc w:val="left"/>
      <w:pPr>
        <w:ind w:left="745" w:hanging="360"/>
      </w:pPr>
    </w:lvl>
    <w:lvl w:ilvl="1" w:tentative="1">
      <w:start w:val="1"/>
      <w:numFmt w:val="lowerLetter"/>
      <w:lvlText w:val="%2."/>
      <w:lvlJc w:val="left"/>
      <w:pPr>
        <w:ind w:left="1465" w:hanging="360"/>
      </w:pPr>
    </w:lvl>
    <w:lvl w:ilvl="2" w:tentative="1">
      <w:start w:val="1"/>
      <w:numFmt w:val="lowerRoman"/>
      <w:lvlText w:val="%3."/>
      <w:lvlJc w:val="right"/>
      <w:pPr>
        <w:ind w:left="2185" w:hanging="180"/>
      </w:pPr>
    </w:lvl>
    <w:lvl w:ilvl="3" w:tentative="1">
      <w:start w:val="1"/>
      <w:numFmt w:val="decimal"/>
      <w:lvlText w:val="%4."/>
      <w:lvlJc w:val="left"/>
      <w:pPr>
        <w:ind w:left="2905" w:hanging="360"/>
      </w:pPr>
    </w:lvl>
    <w:lvl w:ilvl="4" w:tentative="1">
      <w:start w:val="1"/>
      <w:numFmt w:val="lowerLetter"/>
      <w:lvlText w:val="%5."/>
      <w:lvlJc w:val="left"/>
      <w:pPr>
        <w:ind w:left="3625" w:hanging="360"/>
      </w:pPr>
    </w:lvl>
    <w:lvl w:ilvl="5" w:tentative="1">
      <w:start w:val="1"/>
      <w:numFmt w:val="lowerRoman"/>
      <w:lvlText w:val="%6."/>
      <w:lvlJc w:val="right"/>
      <w:pPr>
        <w:ind w:left="4345" w:hanging="180"/>
      </w:pPr>
    </w:lvl>
    <w:lvl w:ilvl="6" w:tentative="1">
      <w:start w:val="1"/>
      <w:numFmt w:val="decimal"/>
      <w:lvlText w:val="%7."/>
      <w:lvlJc w:val="left"/>
      <w:pPr>
        <w:ind w:left="5065" w:hanging="360"/>
      </w:pPr>
    </w:lvl>
    <w:lvl w:ilvl="7" w:tentative="1">
      <w:start w:val="1"/>
      <w:numFmt w:val="lowerLetter"/>
      <w:lvlText w:val="%8."/>
      <w:lvlJc w:val="left"/>
      <w:pPr>
        <w:ind w:left="5785" w:hanging="360"/>
      </w:pPr>
    </w:lvl>
    <w:lvl w:ilvl="8" w:tentative="1">
      <w:start w:val="1"/>
      <w:numFmt w:val="lowerRoman"/>
      <w:lvlText w:val="%9."/>
      <w:lvlJc w:val="right"/>
      <w:pPr>
        <w:ind w:left="6505" w:hanging="180"/>
      </w:pPr>
    </w:lvl>
  </w:abstractNum>
  <w:abstractNum w:abstractNumId="19" w15:restartNumberingAfterBreak="0">
    <w:nsid w:val="58D64110"/>
    <w:multiLevelType w:val="multilevel"/>
    <w:tmpl w:val="E7647912"/>
    <w:numStyleLink w:val="ABARESnumberedlist2"/>
  </w:abstractNum>
  <w:abstractNum w:abstractNumId="20" w15:restartNumberingAfterBreak="0">
    <w:nsid w:val="590609C1"/>
    <w:multiLevelType w:val="multilevel"/>
    <w:tmpl w:val="E8CC7262"/>
    <w:numStyleLink w:val="ABARESbulletedlist"/>
  </w:abstractNum>
  <w:abstractNum w:abstractNumId="21" w15:restartNumberingAfterBreak="0">
    <w:nsid w:val="5AC33B48"/>
    <w:multiLevelType w:val="hybridMultilevel"/>
    <w:tmpl w:val="17FC66E2"/>
    <w:lvl w:ilvl="0" w:tplc="583ECAB6">
      <w:start w:val="1"/>
      <w:numFmt w:val="decimal"/>
      <w:pStyle w:val="Heading1"/>
      <w:lvlText w:val="%1"/>
      <w:lvlJc w:val="left"/>
      <w:pPr>
        <w:ind w:left="4897" w:hanging="360"/>
      </w:pPr>
      <w:rPr>
        <w:rFonts w:hint="default"/>
      </w:rPr>
    </w:lvl>
    <w:lvl w:ilvl="1" w:tplc="609EF51A" w:tentative="1">
      <w:start w:val="1"/>
      <w:numFmt w:val="lowerLetter"/>
      <w:lvlText w:val="%2."/>
      <w:lvlJc w:val="left"/>
      <w:pPr>
        <w:ind w:left="1920" w:hanging="360"/>
      </w:pPr>
    </w:lvl>
    <w:lvl w:ilvl="2" w:tplc="923CA714" w:tentative="1">
      <w:start w:val="1"/>
      <w:numFmt w:val="lowerRoman"/>
      <w:lvlText w:val="%3."/>
      <w:lvlJc w:val="right"/>
      <w:pPr>
        <w:ind w:left="2640" w:hanging="180"/>
      </w:pPr>
    </w:lvl>
    <w:lvl w:ilvl="3" w:tplc="3E98C9C2" w:tentative="1">
      <w:start w:val="1"/>
      <w:numFmt w:val="decimal"/>
      <w:lvlText w:val="%4."/>
      <w:lvlJc w:val="left"/>
      <w:pPr>
        <w:ind w:left="3360" w:hanging="360"/>
      </w:pPr>
    </w:lvl>
    <w:lvl w:ilvl="4" w:tplc="947244D2" w:tentative="1">
      <w:start w:val="1"/>
      <w:numFmt w:val="lowerLetter"/>
      <w:lvlText w:val="%5."/>
      <w:lvlJc w:val="left"/>
      <w:pPr>
        <w:ind w:left="4080" w:hanging="360"/>
      </w:pPr>
    </w:lvl>
    <w:lvl w:ilvl="5" w:tplc="9EA0D2F6" w:tentative="1">
      <w:start w:val="1"/>
      <w:numFmt w:val="lowerRoman"/>
      <w:lvlText w:val="%6."/>
      <w:lvlJc w:val="right"/>
      <w:pPr>
        <w:ind w:left="4800" w:hanging="180"/>
      </w:pPr>
    </w:lvl>
    <w:lvl w:ilvl="6" w:tplc="CC86B1BA" w:tentative="1">
      <w:start w:val="1"/>
      <w:numFmt w:val="decimal"/>
      <w:lvlText w:val="%7."/>
      <w:lvlJc w:val="left"/>
      <w:pPr>
        <w:ind w:left="5520" w:hanging="360"/>
      </w:pPr>
    </w:lvl>
    <w:lvl w:ilvl="7" w:tplc="C4BE511A" w:tentative="1">
      <w:start w:val="1"/>
      <w:numFmt w:val="lowerLetter"/>
      <w:lvlText w:val="%8."/>
      <w:lvlJc w:val="left"/>
      <w:pPr>
        <w:ind w:left="6240" w:hanging="360"/>
      </w:pPr>
    </w:lvl>
    <w:lvl w:ilvl="8" w:tplc="C95696BA" w:tentative="1">
      <w:start w:val="1"/>
      <w:numFmt w:val="lowerRoman"/>
      <w:lvlText w:val="%9."/>
      <w:lvlJc w:val="right"/>
      <w:pPr>
        <w:ind w:left="6960" w:hanging="180"/>
      </w:pPr>
    </w:lvl>
  </w:abstractNum>
  <w:abstractNum w:abstractNumId="22" w15:restartNumberingAfterBreak="0">
    <w:nsid w:val="69884D74"/>
    <w:multiLevelType w:val="multilevel"/>
    <w:tmpl w:val="E7647912"/>
    <w:numStyleLink w:val="ABARESnumberedlist2"/>
  </w:abstractNum>
  <w:abstractNum w:abstractNumId="23" w15:restartNumberingAfterBreak="0">
    <w:nsid w:val="6B7540AF"/>
    <w:multiLevelType w:val="multilevel"/>
    <w:tmpl w:val="E7647912"/>
    <w:numStyleLink w:val="ABARESnumberedlist2"/>
  </w:abstractNum>
  <w:abstractNum w:abstractNumId="24" w15:restartNumberingAfterBreak="0">
    <w:nsid w:val="7C9940FF"/>
    <w:multiLevelType w:val="hybridMultilevel"/>
    <w:tmpl w:val="C9846804"/>
    <w:lvl w:ilvl="0" w:tplc="77126EDE">
      <w:start w:val="1"/>
      <w:numFmt w:val="upperLetter"/>
      <w:pStyle w:val="Appendixheading"/>
      <w:lvlText w:val="Appendix %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1"/>
  </w:num>
  <w:num w:numId="2">
    <w:abstractNumId w:val="8"/>
  </w:num>
  <w:num w:numId="3">
    <w:abstractNumId w:val="15"/>
  </w:num>
  <w:num w:numId="4">
    <w:abstractNumId w:val="16"/>
  </w:num>
  <w:num w:numId="5">
    <w:abstractNumId w:val="12"/>
  </w:num>
  <w:num w:numId="6">
    <w:abstractNumId w:val="11"/>
  </w:num>
  <w:num w:numId="7">
    <w:abstractNumId w:val="13"/>
  </w:num>
  <w:num w:numId="8">
    <w:abstractNumId w:val="10"/>
  </w:num>
  <w:num w:numId="9">
    <w:abstractNumId w:val="18"/>
  </w:num>
  <w:num w:numId="10">
    <w:abstractNumId w:val="24"/>
  </w:num>
  <w:num w:numId="11">
    <w:abstractNumId w:val="17"/>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14"/>
  </w:num>
  <w:num w:numId="25">
    <w:abstractNumId w:val="22"/>
  </w:num>
  <w:num w:numId="26">
    <w:abstractNumId w:val="9"/>
  </w:num>
  <w:num w:numId="27">
    <w:abstractNumId w:val="19"/>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1" w:cryptProviderType="rsaFull" w:cryptAlgorithmClass="hash" w:cryptAlgorithmType="typeAny" w:cryptAlgorithmSid="4" w:cryptSpinCount="100000" w:hash="8+0cSEsyPp8M9iHis7dztDb2IsE=" w:salt="upY4cVawYiOPiyiGwiiBVQ=="/>
  <w:defaultTabStop w:val="720"/>
  <w:drawingGridHorizontalSpacing w:val="110"/>
  <w:displayHorizontalDrawingGridEvery w:val="2"/>
  <w:displayVerticalDrawingGridEvery w:val="2"/>
  <w:characterSpacingControl w:val="doNotCompress"/>
  <w:hdrShapeDefaults>
    <o:shapedefaults v:ext="edit" spidmax="2049">
      <o:colormru v:ext="edit" colors="#d5d2c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D21"/>
    <w:rsid w:val="0000063F"/>
    <w:rsid w:val="00000F9E"/>
    <w:rsid w:val="00001640"/>
    <w:rsid w:val="00001B36"/>
    <w:rsid w:val="000021CE"/>
    <w:rsid w:val="00002F06"/>
    <w:rsid w:val="00003277"/>
    <w:rsid w:val="00004480"/>
    <w:rsid w:val="0000607A"/>
    <w:rsid w:val="00006320"/>
    <w:rsid w:val="00006DED"/>
    <w:rsid w:val="00007D24"/>
    <w:rsid w:val="00007EF6"/>
    <w:rsid w:val="000125DF"/>
    <w:rsid w:val="000128F6"/>
    <w:rsid w:val="000134B0"/>
    <w:rsid w:val="000154C2"/>
    <w:rsid w:val="000159B0"/>
    <w:rsid w:val="00015B9E"/>
    <w:rsid w:val="000165E9"/>
    <w:rsid w:val="00016FAA"/>
    <w:rsid w:val="00020B3A"/>
    <w:rsid w:val="00021ABD"/>
    <w:rsid w:val="000222BB"/>
    <w:rsid w:val="00022FD0"/>
    <w:rsid w:val="000235A2"/>
    <w:rsid w:val="00024794"/>
    <w:rsid w:val="000269D5"/>
    <w:rsid w:val="00026D24"/>
    <w:rsid w:val="00026E79"/>
    <w:rsid w:val="00027014"/>
    <w:rsid w:val="00027263"/>
    <w:rsid w:val="00027679"/>
    <w:rsid w:val="000277DC"/>
    <w:rsid w:val="0003065E"/>
    <w:rsid w:val="00030745"/>
    <w:rsid w:val="00030B8A"/>
    <w:rsid w:val="00031D50"/>
    <w:rsid w:val="000321AF"/>
    <w:rsid w:val="00032B3E"/>
    <w:rsid w:val="00034773"/>
    <w:rsid w:val="00035206"/>
    <w:rsid w:val="000356F3"/>
    <w:rsid w:val="00035FC5"/>
    <w:rsid w:val="000400C2"/>
    <w:rsid w:val="000402D4"/>
    <w:rsid w:val="000429C0"/>
    <w:rsid w:val="00043036"/>
    <w:rsid w:val="000448DC"/>
    <w:rsid w:val="00044A8A"/>
    <w:rsid w:val="00045A5B"/>
    <w:rsid w:val="00046B55"/>
    <w:rsid w:val="000478E1"/>
    <w:rsid w:val="000479FA"/>
    <w:rsid w:val="000501E0"/>
    <w:rsid w:val="00052509"/>
    <w:rsid w:val="00052B28"/>
    <w:rsid w:val="00052B83"/>
    <w:rsid w:val="0005303B"/>
    <w:rsid w:val="000533AF"/>
    <w:rsid w:val="00053535"/>
    <w:rsid w:val="00053D07"/>
    <w:rsid w:val="0005538E"/>
    <w:rsid w:val="0005617E"/>
    <w:rsid w:val="000565F3"/>
    <w:rsid w:val="000575A5"/>
    <w:rsid w:val="00057FCA"/>
    <w:rsid w:val="0006021F"/>
    <w:rsid w:val="0006029B"/>
    <w:rsid w:val="00061EE4"/>
    <w:rsid w:val="00064C54"/>
    <w:rsid w:val="0006619B"/>
    <w:rsid w:val="0006642D"/>
    <w:rsid w:val="00066A87"/>
    <w:rsid w:val="00067EA3"/>
    <w:rsid w:val="000704B3"/>
    <w:rsid w:val="000712A8"/>
    <w:rsid w:val="00072737"/>
    <w:rsid w:val="0007303D"/>
    <w:rsid w:val="00073122"/>
    <w:rsid w:val="00073D21"/>
    <w:rsid w:val="000759EC"/>
    <w:rsid w:val="00076DB5"/>
    <w:rsid w:val="00080414"/>
    <w:rsid w:val="00080E8B"/>
    <w:rsid w:val="00081EC3"/>
    <w:rsid w:val="000827CB"/>
    <w:rsid w:val="000835F1"/>
    <w:rsid w:val="0008439B"/>
    <w:rsid w:val="00084DFB"/>
    <w:rsid w:val="00085124"/>
    <w:rsid w:val="00086538"/>
    <w:rsid w:val="00087BB2"/>
    <w:rsid w:val="00090090"/>
    <w:rsid w:val="0009156E"/>
    <w:rsid w:val="00091D6D"/>
    <w:rsid w:val="000921E6"/>
    <w:rsid w:val="0009221F"/>
    <w:rsid w:val="00093221"/>
    <w:rsid w:val="00093381"/>
    <w:rsid w:val="0009451D"/>
    <w:rsid w:val="00094DA5"/>
    <w:rsid w:val="0009628B"/>
    <w:rsid w:val="000966A6"/>
    <w:rsid w:val="00096AC1"/>
    <w:rsid w:val="0009793B"/>
    <w:rsid w:val="00097D7F"/>
    <w:rsid w:val="000A11B6"/>
    <w:rsid w:val="000A3B81"/>
    <w:rsid w:val="000A3C71"/>
    <w:rsid w:val="000A460A"/>
    <w:rsid w:val="000A5B22"/>
    <w:rsid w:val="000A6EC2"/>
    <w:rsid w:val="000A768A"/>
    <w:rsid w:val="000A7954"/>
    <w:rsid w:val="000A7BBE"/>
    <w:rsid w:val="000B0C14"/>
    <w:rsid w:val="000B1375"/>
    <w:rsid w:val="000B27F9"/>
    <w:rsid w:val="000B37DC"/>
    <w:rsid w:val="000B446C"/>
    <w:rsid w:val="000B4473"/>
    <w:rsid w:val="000B587A"/>
    <w:rsid w:val="000B59F3"/>
    <w:rsid w:val="000B5D75"/>
    <w:rsid w:val="000B65A1"/>
    <w:rsid w:val="000B6703"/>
    <w:rsid w:val="000B67E1"/>
    <w:rsid w:val="000B6D3A"/>
    <w:rsid w:val="000B6E21"/>
    <w:rsid w:val="000B787E"/>
    <w:rsid w:val="000B7C09"/>
    <w:rsid w:val="000B7EBB"/>
    <w:rsid w:val="000C1A13"/>
    <w:rsid w:val="000C1CCD"/>
    <w:rsid w:val="000C1EF2"/>
    <w:rsid w:val="000C3303"/>
    <w:rsid w:val="000C33A0"/>
    <w:rsid w:val="000C4E37"/>
    <w:rsid w:val="000C6280"/>
    <w:rsid w:val="000D132E"/>
    <w:rsid w:val="000D2431"/>
    <w:rsid w:val="000D2A75"/>
    <w:rsid w:val="000D2C10"/>
    <w:rsid w:val="000D3246"/>
    <w:rsid w:val="000D4873"/>
    <w:rsid w:val="000D5D2B"/>
    <w:rsid w:val="000D757B"/>
    <w:rsid w:val="000D76CD"/>
    <w:rsid w:val="000E013D"/>
    <w:rsid w:val="000E0242"/>
    <w:rsid w:val="000E0821"/>
    <w:rsid w:val="000E0B6E"/>
    <w:rsid w:val="000E1EAA"/>
    <w:rsid w:val="000E2649"/>
    <w:rsid w:val="000E2F86"/>
    <w:rsid w:val="000E38C5"/>
    <w:rsid w:val="000E3FA2"/>
    <w:rsid w:val="000E441F"/>
    <w:rsid w:val="000E450A"/>
    <w:rsid w:val="000E4623"/>
    <w:rsid w:val="000E49E9"/>
    <w:rsid w:val="000E4F4D"/>
    <w:rsid w:val="000E5404"/>
    <w:rsid w:val="000E56DD"/>
    <w:rsid w:val="000E6A92"/>
    <w:rsid w:val="000E75EF"/>
    <w:rsid w:val="000E77E8"/>
    <w:rsid w:val="000E7932"/>
    <w:rsid w:val="000E7A61"/>
    <w:rsid w:val="000F01C4"/>
    <w:rsid w:val="000F1571"/>
    <w:rsid w:val="000F1AEB"/>
    <w:rsid w:val="000F2DB2"/>
    <w:rsid w:val="000F2F7C"/>
    <w:rsid w:val="000F3C4A"/>
    <w:rsid w:val="000F4027"/>
    <w:rsid w:val="000F4BCC"/>
    <w:rsid w:val="000F575B"/>
    <w:rsid w:val="000F57A6"/>
    <w:rsid w:val="000F5A15"/>
    <w:rsid w:val="000F5F3B"/>
    <w:rsid w:val="00100057"/>
    <w:rsid w:val="00100B25"/>
    <w:rsid w:val="00100E8E"/>
    <w:rsid w:val="00101812"/>
    <w:rsid w:val="00102A23"/>
    <w:rsid w:val="001039CF"/>
    <w:rsid w:val="0010436C"/>
    <w:rsid w:val="0010553B"/>
    <w:rsid w:val="00105D07"/>
    <w:rsid w:val="00106146"/>
    <w:rsid w:val="00107710"/>
    <w:rsid w:val="001077B8"/>
    <w:rsid w:val="0010796C"/>
    <w:rsid w:val="001111EB"/>
    <w:rsid w:val="00113159"/>
    <w:rsid w:val="00115CEA"/>
    <w:rsid w:val="00115E7E"/>
    <w:rsid w:val="0011664B"/>
    <w:rsid w:val="001167F6"/>
    <w:rsid w:val="00116B63"/>
    <w:rsid w:val="00117166"/>
    <w:rsid w:val="00117B75"/>
    <w:rsid w:val="00117BCF"/>
    <w:rsid w:val="001200C5"/>
    <w:rsid w:val="0012169C"/>
    <w:rsid w:val="00121BE1"/>
    <w:rsid w:val="00123E78"/>
    <w:rsid w:val="001247C1"/>
    <w:rsid w:val="00124DAF"/>
    <w:rsid w:val="0012516D"/>
    <w:rsid w:val="0012607F"/>
    <w:rsid w:val="00126F8C"/>
    <w:rsid w:val="00127DEB"/>
    <w:rsid w:val="00127F55"/>
    <w:rsid w:val="001330CE"/>
    <w:rsid w:val="0013468A"/>
    <w:rsid w:val="00134A19"/>
    <w:rsid w:val="00134BD0"/>
    <w:rsid w:val="001357B6"/>
    <w:rsid w:val="00135C40"/>
    <w:rsid w:val="00137646"/>
    <w:rsid w:val="00137F7A"/>
    <w:rsid w:val="00140169"/>
    <w:rsid w:val="00140A48"/>
    <w:rsid w:val="00140C08"/>
    <w:rsid w:val="00140DD7"/>
    <w:rsid w:val="0014127C"/>
    <w:rsid w:val="00142016"/>
    <w:rsid w:val="001421F4"/>
    <w:rsid w:val="00142650"/>
    <w:rsid w:val="00143289"/>
    <w:rsid w:val="0014343A"/>
    <w:rsid w:val="001438CD"/>
    <w:rsid w:val="00143945"/>
    <w:rsid w:val="0014399D"/>
    <w:rsid w:val="00144565"/>
    <w:rsid w:val="00144747"/>
    <w:rsid w:val="001450AD"/>
    <w:rsid w:val="00146339"/>
    <w:rsid w:val="00147586"/>
    <w:rsid w:val="00151406"/>
    <w:rsid w:val="001519F0"/>
    <w:rsid w:val="00151C6E"/>
    <w:rsid w:val="00152D51"/>
    <w:rsid w:val="001533F1"/>
    <w:rsid w:val="00153676"/>
    <w:rsid w:val="00153F03"/>
    <w:rsid w:val="00154480"/>
    <w:rsid w:val="00154DFC"/>
    <w:rsid w:val="00155226"/>
    <w:rsid w:val="001561A6"/>
    <w:rsid w:val="001561E7"/>
    <w:rsid w:val="00156253"/>
    <w:rsid w:val="00157171"/>
    <w:rsid w:val="001573D0"/>
    <w:rsid w:val="001575A2"/>
    <w:rsid w:val="001577FC"/>
    <w:rsid w:val="00160820"/>
    <w:rsid w:val="0016091B"/>
    <w:rsid w:val="00160DE0"/>
    <w:rsid w:val="00161FEF"/>
    <w:rsid w:val="001625BA"/>
    <w:rsid w:val="001627D3"/>
    <w:rsid w:val="00162C5D"/>
    <w:rsid w:val="00163019"/>
    <w:rsid w:val="0016390D"/>
    <w:rsid w:val="00163C0B"/>
    <w:rsid w:val="00164DDB"/>
    <w:rsid w:val="001658BB"/>
    <w:rsid w:val="00165CFB"/>
    <w:rsid w:val="00165EAC"/>
    <w:rsid w:val="0016691D"/>
    <w:rsid w:val="00170766"/>
    <w:rsid w:val="0017180D"/>
    <w:rsid w:val="00172A69"/>
    <w:rsid w:val="00172F0F"/>
    <w:rsid w:val="00173B0C"/>
    <w:rsid w:val="001750BC"/>
    <w:rsid w:val="0017560E"/>
    <w:rsid w:val="0017576D"/>
    <w:rsid w:val="00175BA3"/>
    <w:rsid w:val="00175D5D"/>
    <w:rsid w:val="00176BF5"/>
    <w:rsid w:val="00176E74"/>
    <w:rsid w:val="00177527"/>
    <w:rsid w:val="001803E8"/>
    <w:rsid w:val="00180AF2"/>
    <w:rsid w:val="00181176"/>
    <w:rsid w:val="00181C29"/>
    <w:rsid w:val="001837C1"/>
    <w:rsid w:val="001844F7"/>
    <w:rsid w:val="00184FA6"/>
    <w:rsid w:val="00184FC0"/>
    <w:rsid w:val="00185F61"/>
    <w:rsid w:val="00187537"/>
    <w:rsid w:val="00187DA5"/>
    <w:rsid w:val="00190530"/>
    <w:rsid w:val="00190848"/>
    <w:rsid w:val="00190CA0"/>
    <w:rsid w:val="0019167F"/>
    <w:rsid w:val="00194B61"/>
    <w:rsid w:val="001965C9"/>
    <w:rsid w:val="001968AA"/>
    <w:rsid w:val="00197105"/>
    <w:rsid w:val="001A0F21"/>
    <w:rsid w:val="001A5D76"/>
    <w:rsid w:val="001A5F12"/>
    <w:rsid w:val="001A694C"/>
    <w:rsid w:val="001B00D4"/>
    <w:rsid w:val="001B25C5"/>
    <w:rsid w:val="001B4244"/>
    <w:rsid w:val="001B450B"/>
    <w:rsid w:val="001B51FC"/>
    <w:rsid w:val="001B5900"/>
    <w:rsid w:val="001B5ED4"/>
    <w:rsid w:val="001B62DE"/>
    <w:rsid w:val="001B64B3"/>
    <w:rsid w:val="001B7841"/>
    <w:rsid w:val="001B7F73"/>
    <w:rsid w:val="001C0259"/>
    <w:rsid w:val="001C041F"/>
    <w:rsid w:val="001C0689"/>
    <w:rsid w:val="001C0F85"/>
    <w:rsid w:val="001C1747"/>
    <w:rsid w:val="001C1B7E"/>
    <w:rsid w:val="001C2A59"/>
    <w:rsid w:val="001C36B4"/>
    <w:rsid w:val="001C3E9B"/>
    <w:rsid w:val="001C3EE4"/>
    <w:rsid w:val="001C4030"/>
    <w:rsid w:val="001C4124"/>
    <w:rsid w:val="001C4608"/>
    <w:rsid w:val="001C465B"/>
    <w:rsid w:val="001C47CE"/>
    <w:rsid w:val="001C48BB"/>
    <w:rsid w:val="001C4D7D"/>
    <w:rsid w:val="001C51F3"/>
    <w:rsid w:val="001C56A5"/>
    <w:rsid w:val="001C5F85"/>
    <w:rsid w:val="001C6F3D"/>
    <w:rsid w:val="001C7E1F"/>
    <w:rsid w:val="001C7E72"/>
    <w:rsid w:val="001D2382"/>
    <w:rsid w:val="001D2CFB"/>
    <w:rsid w:val="001D3F08"/>
    <w:rsid w:val="001D5B2C"/>
    <w:rsid w:val="001D6909"/>
    <w:rsid w:val="001D69C2"/>
    <w:rsid w:val="001D6B4F"/>
    <w:rsid w:val="001E1061"/>
    <w:rsid w:val="001E1A2D"/>
    <w:rsid w:val="001E27D2"/>
    <w:rsid w:val="001E38BC"/>
    <w:rsid w:val="001E3F81"/>
    <w:rsid w:val="001E59FE"/>
    <w:rsid w:val="001E6C57"/>
    <w:rsid w:val="001E7BD8"/>
    <w:rsid w:val="001E7EAA"/>
    <w:rsid w:val="001F00CC"/>
    <w:rsid w:val="001F0D67"/>
    <w:rsid w:val="001F0D69"/>
    <w:rsid w:val="001F1396"/>
    <w:rsid w:val="001F144E"/>
    <w:rsid w:val="001F24E7"/>
    <w:rsid w:val="001F2CDA"/>
    <w:rsid w:val="001F3DAD"/>
    <w:rsid w:val="001F3E8D"/>
    <w:rsid w:val="001F5ECB"/>
    <w:rsid w:val="001F65F6"/>
    <w:rsid w:val="001F6E06"/>
    <w:rsid w:val="0020020D"/>
    <w:rsid w:val="002004B7"/>
    <w:rsid w:val="00200688"/>
    <w:rsid w:val="002017D8"/>
    <w:rsid w:val="00203331"/>
    <w:rsid w:val="002034BA"/>
    <w:rsid w:val="0020533C"/>
    <w:rsid w:val="00210424"/>
    <w:rsid w:val="00210F03"/>
    <w:rsid w:val="00211151"/>
    <w:rsid w:val="002118E6"/>
    <w:rsid w:val="00211BC9"/>
    <w:rsid w:val="00212E59"/>
    <w:rsid w:val="002140D7"/>
    <w:rsid w:val="00216F89"/>
    <w:rsid w:val="002171BC"/>
    <w:rsid w:val="00220447"/>
    <w:rsid w:val="0022062E"/>
    <w:rsid w:val="002208E0"/>
    <w:rsid w:val="002246E7"/>
    <w:rsid w:val="00224EDB"/>
    <w:rsid w:val="002265EC"/>
    <w:rsid w:val="002270AF"/>
    <w:rsid w:val="00227609"/>
    <w:rsid w:val="00227AAF"/>
    <w:rsid w:val="00234957"/>
    <w:rsid w:val="00234CC7"/>
    <w:rsid w:val="00234D44"/>
    <w:rsid w:val="002354F1"/>
    <w:rsid w:val="00235A99"/>
    <w:rsid w:val="00235FB0"/>
    <w:rsid w:val="0023676C"/>
    <w:rsid w:val="00237B02"/>
    <w:rsid w:val="00237B51"/>
    <w:rsid w:val="00240EEA"/>
    <w:rsid w:val="00240F13"/>
    <w:rsid w:val="002414C9"/>
    <w:rsid w:val="00241C3F"/>
    <w:rsid w:val="00242008"/>
    <w:rsid w:val="002434F3"/>
    <w:rsid w:val="00243854"/>
    <w:rsid w:val="00245695"/>
    <w:rsid w:val="00245783"/>
    <w:rsid w:val="00250A35"/>
    <w:rsid w:val="00251B3F"/>
    <w:rsid w:val="00251D1C"/>
    <w:rsid w:val="002529C8"/>
    <w:rsid w:val="00252DC0"/>
    <w:rsid w:val="00252FA3"/>
    <w:rsid w:val="00254771"/>
    <w:rsid w:val="0025592C"/>
    <w:rsid w:val="00255D40"/>
    <w:rsid w:val="00255D9E"/>
    <w:rsid w:val="002571BE"/>
    <w:rsid w:val="00257C1E"/>
    <w:rsid w:val="00260152"/>
    <w:rsid w:val="00260F1D"/>
    <w:rsid w:val="00260F44"/>
    <w:rsid w:val="002613E9"/>
    <w:rsid w:val="002620ED"/>
    <w:rsid w:val="002625D2"/>
    <w:rsid w:val="00264141"/>
    <w:rsid w:val="00265774"/>
    <w:rsid w:val="002658E8"/>
    <w:rsid w:val="0026629F"/>
    <w:rsid w:val="002715F9"/>
    <w:rsid w:val="00271CE3"/>
    <w:rsid w:val="00271D35"/>
    <w:rsid w:val="00271E38"/>
    <w:rsid w:val="002733C7"/>
    <w:rsid w:val="00275609"/>
    <w:rsid w:val="002777D3"/>
    <w:rsid w:val="00277D94"/>
    <w:rsid w:val="00281EA4"/>
    <w:rsid w:val="00284895"/>
    <w:rsid w:val="00284AA4"/>
    <w:rsid w:val="002864F6"/>
    <w:rsid w:val="002865DE"/>
    <w:rsid w:val="00286A96"/>
    <w:rsid w:val="00286B19"/>
    <w:rsid w:val="00286B39"/>
    <w:rsid w:val="00286C0F"/>
    <w:rsid w:val="00286C57"/>
    <w:rsid w:val="00286EDF"/>
    <w:rsid w:val="00290F05"/>
    <w:rsid w:val="00290FA2"/>
    <w:rsid w:val="002918E5"/>
    <w:rsid w:val="00291960"/>
    <w:rsid w:val="002931EF"/>
    <w:rsid w:val="00293F34"/>
    <w:rsid w:val="00295A9C"/>
    <w:rsid w:val="00295DC2"/>
    <w:rsid w:val="00296261"/>
    <w:rsid w:val="00296817"/>
    <w:rsid w:val="00296985"/>
    <w:rsid w:val="00297586"/>
    <w:rsid w:val="002A18F6"/>
    <w:rsid w:val="002A2AF1"/>
    <w:rsid w:val="002A2F3C"/>
    <w:rsid w:val="002A2F84"/>
    <w:rsid w:val="002A38AB"/>
    <w:rsid w:val="002A44C5"/>
    <w:rsid w:val="002A59C7"/>
    <w:rsid w:val="002B0A63"/>
    <w:rsid w:val="002B0E6F"/>
    <w:rsid w:val="002B24EB"/>
    <w:rsid w:val="002B2729"/>
    <w:rsid w:val="002B27D2"/>
    <w:rsid w:val="002B2A7C"/>
    <w:rsid w:val="002B46E6"/>
    <w:rsid w:val="002B4B5D"/>
    <w:rsid w:val="002B5E24"/>
    <w:rsid w:val="002B6132"/>
    <w:rsid w:val="002B698D"/>
    <w:rsid w:val="002B6B1F"/>
    <w:rsid w:val="002C04E3"/>
    <w:rsid w:val="002C13FB"/>
    <w:rsid w:val="002C1C90"/>
    <w:rsid w:val="002C367E"/>
    <w:rsid w:val="002C4106"/>
    <w:rsid w:val="002C4E48"/>
    <w:rsid w:val="002C5150"/>
    <w:rsid w:val="002C7B53"/>
    <w:rsid w:val="002D3F6B"/>
    <w:rsid w:val="002D4269"/>
    <w:rsid w:val="002D452F"/>
    <w:rsid w:val="002D5CDE"/>
    <w:rsid w:val="002D61D3"/>
    <w:rsid w:val="002D6832"/>
    <w:rsid w:val="002D691C"/>
    <w:rsid w:val="002E07EE"/>
    <w:rsid w:val="002E215F"/>
    <w:rsid w:val="002E2C21"/>
    <w:rsid w:val="002E3472"/>
    <w:rsid w:val="002E4825"/>
    <w:rsid w:val="002E4D82"/>
    <w:rsid w:val="002E5352"/>
    <w:rsid w:val="002E6124"/>
    <w:rsid w:val="002E758D"/>
    <w:rsid w:val="002F03A1"/>
    <w:rsid w:val="002F2B41"/>
    <w:rsid w:val="002F2D28"/>
    <w:rsid w:val="002F3403"/>
    <w:rsid w:val="002F4311"/>
    <w:rsid w:val="002F4360"/>
    <w:rsid w:val="002F4F57"/>
    <w:rsid w:val="002F5C0C"/>
    <w:rsid w:val="002F6E74"/>
    <w:rsid w:val="00300758"/>
    <w:rsid w:val="00300973"/>
    <w:rsid w:val="00300DCE"/>
    <w:rsid w:val="00301232"/>
    <w:rsid w:val="00303645"/>
    <w:rsid w:val="00305108"/>
    <w:rsid w:val="003079BB"/>
    <w:rsid w:val="00307DD0"/>
    <w:rsid w:val="00311132"/>
    <w:rsid w:val="00311619"/>
    <w:rsid w:val="00314A6E"/>
    <w:rsid w:val="003155C6"/>
    <w:rsid w:val="00316087"/>
    <w:rsid w:val="00317FA7"/>
    <w:rsid w:val="00320876"/>
    <w:rsid w:val="00323326"/>
    <w:rsid w:val="0032449F"/>
    <w:rsid w:val="003249E3"/>
    <w:rsid w:val="003266DD"/>
    <w:rsid w:val="003269FA"/>
    <w:rsid w:val="0032768D"/>
    <w:rsid w:val="0032790D"/>
    <w:rsid w:val="00330E7D"/>
    <w:rsid w:val="00331B74"/>
    <w:rsid w:val="003322CB"/>
    <w:rsid w:val="00332981"/>
    <w:rsid w:val="003330D8"/>
    <w:rsid w:val="00333E09"/>
    <w:rsid w:val="00333EB1"/>
    <w:rsid w:val="0033469D"/>
    <w:rsid w:val="0033473B"/>
    <w:rsid w:val="003366E6"/>
    <w:rsid w:val="00337E84"/>
    <w:rsid w:val="00340DDE"/>
    <w:rsid w:val="00341B43"/>
    <w:rsid w:val="0034518F"/>
    <w:rsid w:val="003457FA"/>
    <w:rsid w:val="003467A2"/>
    <w:rsid w:val="00346A5D"/>
    <w:rsid w:val="003470BA"/>
    <w:rsid w:val="0034744A"/>
    <w:rsid w:val="00347603"/>
    <w:rsid w:val="003502CE"/>
    <w:rsid w:val="00350B96"/>
    <w:rsid w:val="00351797"/>
    <w:rsid w:val="00352436"/>
    <w:rsid w:val="00354627"/>
    <w:rsid w:val="00354739"/>
    <w:rsid w:val="00354A73"/>
    <w:rsid w:val="00354C9D"/>
    <w:rsid w:val="00355810"/>
    <w:rsid w:val="00355B29"/>
    <w:rsid w:val="003562C3"/>
    <w:rsid w:val="003570B1"/>
    <w:rsid w:val="00360E3E"/>
    <w:rsid w:val="003618C1"/>
    <w:rsid w:val="0036247F"/>
    <w:rsid w:val="00362485"/>
    <w:rsid w:val="003625DF"/>
    <w:rsid w:val="00362D45"/>
    <w:rsid w:val="00362FBB"/>
    <w:rsid w:val="00362FE3"/>
    <w:rsid w:val="00366732"/>
    <w:rsid w:val="00366D6F"/>
    <w:rsid w:val="0036746C"/>
    <w:rsid w:val="00367AF5"/>
    <w:rsid w:val="003715CD"/>
    <w:rsid w:val="00371848"/>
    <w:rsid w:val="00373C4A"/>
    <w:rsid w:val="003746E6"/>
    <w:rsid w:val="00374736"/>
    <w:rsid w:val="00374891"/>
    <w:rsid w:val="00374B88"/>
    <w:rsid w:val="003752CA"/>
    <w:rsid w:val="00375AD2"/>
    <w:rsid w:val="00375EB4"/>
    <w:rsid w:val="003764CC"/>
    <w:rsid w:val="00376DC1"/>
    <w:rsid w:val="003771FE"/>
    <w:rsid w:val="00377A1A"/>
    <w:rsid w:val="00380751"/>
    <w:rsid w:val="0038098B"/>
    <w:rsid w:val="0038160E"/>
    <w:rsid w:val="00383692"/>
    <w:rsid w:val="00384950"/>
    <w:rsid w:val="00384DCD"/>
    <w:rsid w:val="00384FA7"/>
    <w:rsid w:val="0038503F"/>
    <w:rsid w:val="003850BA"/>
    <w:rsid w:val="003859A5"/>
    <w:rsid w:val="00386768"/>
    <w:rsid w:val="00386A04"/>
    <w:rsid w:val="00386FDF"/>
    <w:rsid w:val="0039049F"/>
    <w:rsid w:val="00391D9B"/>
    <w:rsid w:val="00392EB7"/>
    <w:rsid w:val="00393A8F"/>
    <w:rsid w:val="00393B99"/>
    <w:rsid w:val="00394094"/>
    <w:rsid w:val="00396DBB"/>
    <w:rsid w:val="0039726E"/>
    <w:rsid w:val="003979B3"/>
    <w:rsid w:val="003979CC"/>
    <w:rsid w:val="003A06C3"/>
    <w:rsid w:val="003A2C23"/>
    <w:rsid w:val="003A3695"/>
    <w:rsid w:val="003A5395"/>
    <w:rsid w:val="003A55FE"/>
    <w:rsid w:val="003A59E9"/>
    <w:rsid w:val="003A6C63"/>
    <w:rsid w:val="003A6CC6"/>
    <w:rsid w:val="003A7DBF"/>
    <w:rsid w:val="003B0E10"/>
    <w:rsid w:val="003B213D"/>
    <w:rsid w:val="003B2EE4"/>
    <w:rsid w:val="003B3BD0"/>
    <w:rsid w:val="003B3D58"/>
    <w:rsid w:val="003B4505"/>
    <w:rsid w:val="003B712D"/>
    <w:rsid w:val="003C1262"/>
    <w:rsid w:val="003C158C"/>
    <w:rsid w:val="003C3560"/>
    <w:rsid w:val="003C39C9"/>
    <w:rsid w:val="003C413C"/>
    <w:rsid w:val="003C4B9D"/>
    <w:rsid w:val="003C4C7A"/>
    <w:rsid w:val="003C5CE4"/>
    <w:rsid w:val="003C5E1F"/>
    <w:rsid w:val="003C71AC"/>
    <w:rsid w:val="003D147F"/>
    <w:rsid w:val="003D1A2B"/>
    <w:rsid w:val="003D1F6A"/>
    <w:rsid w:val="003D22CC"/>
    <w:rsid w:val="003D2455"/>
    <w:rsid w:val="003D246A"/>
    <w:rsid w:val="003D3277"/>
    <w:rsid w:val="003D33E8"/>
    <w:rsid w:val="003D3540"/>
    <w:rsid w:val="003D3BCE"/>
    <w:rsid w:val="003D71C6"/>
    <w:rsid w:val="003D73FA"/>
    <w:rsid w:val="003E00DC"/>
    <w:rsid w:val="003E0CE2"/>
    <w:rsid w:val="003E11E3"/>
    <w:rsid w:val="003E12CD"/>
    <w:rsid w:val="003E1427"/>
    <w:rsid w:val="003E488F"/>
    <w:rsid w:val="003E518E"/>
    <w:rsid w:val="003E567F"/>
    <w:rsid w:val="003F0231"/>
    <w:rsid w:val="003F0CE2"/>
    <w:rsid w:val="003F221F"/>
    <w:rsid w:val="003F2853"/>
    <w:rsid w:val="003F33AF"/>
    <w:rsid w:val="003F58CD"/>
    <w:rsid w:val="003F58FA"/>
    <w:rsid w:val="003F5DE6"/>
    <w:rsid w:val="003F629E"/>
    <w:rsid w:val="003F6926"/>
    <w:rsid w:val="003F6A22"/>
    <w:rsid w:val="0040036D"/>
    <w:rsid w:val="004004EB"/>
    <w:rsid w:val="00400B55"/>
    <w:rsid w:val="00401C1D"/>
    <w:rsid w:val="00401D0E"/>
    <w:rsid w:val="00402350"/>
    <w:rsid w:val="00403580"/>
    <w:rsid w:val="00403A64"/>
    <w:rsid w:val="00403E6A"/>
    <w:rsid w:val="00404048"/>
    <w:rsid w:val="00404E1F"/>
    <w:rsid w:val="00405732"/>
    <w:rsid w:val="00406675"/>
    <w:rsid w:val="004132C8"/>
    <w:rsid w:val="004140D0"/>
    <w:rsid w:val="0041435B"/>
    <w:rsid w:val="004153BA"/>
    <w:rsid w:val="00415DDE"/>
    <w:rsid w:val="004170C9"/>
    <w:rsid w:val="00417AEB"/>
    <w:rsid w:val="00420F1C"/>
    <w:rsid w:val="00421670"/>
    <w:rsid w:val="004257E3"/>
    <w:rsid w:val="004259FC"/>
    <w:rsid w:val="00426D4B"/>
    <w:rsid w:val="004302A8"/>
    <w:rsid w:val="00430616"/>
    <w:rsid w:val="0043075B"/>
    <w:rsid w:val="00430CA8"/>
    <w:rsid w:val="004322DD"/>
    <w:rsid w:val="004325D5"/>
    <w:rsid w:val="0043479A"/>
    <w:rsid w:val="00434FB6"/>
    <w:rsid w:val="0043549E"/>
    <w:rsid w:val="00435580"/>
    <w:rsid w:val="0043663A"/>
    <w:rsid w:val="00436AFA"/>
    <w:rsid w:val="00436E72"/>
    <w:rsid w:val="00440CA7"/>
    <w:rsid w:val="00441AB7"/>
    <w:rsid w:val="00443C05"/>
    <w:rsid w:val="00443E4C"/>
    <w:rsid w:val="00445754"/>
    <w:rsid w:val="00445EA9"/>
    <w:rsid w:val="00446BE2"/>
    <w:rsid w:val="00452C1C"/>
    <w:rsid w:val="00452E9E"/>
    <w:rsid w:val="00453703"/>
    <w:rsid w:val="00454D11"/>
    <w:rsid w:val="004569C0"/>
    <w:rsid w:val="00457B83"/>
    <w:rsid w:val="004611D7"/>
    <w:rsid w:val="00461473"/>
    <w:rsid w:val="0046190C"/>
    <w:rsid w:val="00463121"/>
    <w:rsid w:val="00463633"/>
    <w:rsid w:val="00463F3B"/>
    <w:rsid w:val="00464093"/>
    <w:rsid w:val="00464384"/>
    <w:rsid w:val="00465BAA"/>
    <w:rsid w:val="00466C27"/>
    <w:rsid w:val="00467FB4"/>
    <w:rsid w:val="0047028F"/>
    <w:rsid w:val="00471995"/>
    <w:rsid w:val="004722D0"/>
    <w:rsid w:val="00472F35"/>
    <w:rsid w:val="00472F61"/>
    <w:rsid w:val="00473293"/>
    <w:rsid w:val="004736F2"/>
    <w:rsid w:val="0047450A"/>
    <w:rsid w:val="00474745"/>
    <w:rsid w:val="00475962"/>
    <w:rsid w:val="0047703C"/>
    <w:rsid w:val="00477C03"/>
    <w:rsid w:val="00480215"/>
    <w:rsid w:val="00482477"/>
    <w:rsid w:val="00484700"/>
    <w:rsid w:val="004847FF"/>
    <w:rsid w:val="00484CBA"/>
    <w:rsid w:val="00484FEF"/>
    <w:rsid w:val="004877F7"/>
    <w:rsid w:val="0049188F"/>
    <w:rsid w:val="00492E79"/>
    <w:rsid w:val="0049328D"/>
    <w:rsid w:val="00493DC8"/>
    <w:rsid w:val="00494743"/>
    <w:rsid w:val="00495DE2"/>
    <w:rsid w:val="00495FD8"/>
    <w:rsid w:val="00497BC2"/>
    <w:rsid w:val="004A0673"/>
    <w:rsid w:val="004A0AF0"/>
    <w:rsid w:val="004A15F0"/>
    <w:rsid w:val="004A16FF"/>
    <w:rsid w:val="004A2267"/>
    <w:rsid w:val="004A2B69"/>
    <w:rsid w:val="004A2FAF"/>
    <w:rsid w:val="004A4417"/>
    <w:rsid w:val="004A4587"/>
    <w:rsid w:val="004A47FB"/>
    <w:rsid w:val="004A4B42"/>
    <w:rsid w:val="004A67D3"/>
    <w:rsid w:val="004A6B39"/>
    <w:rsid w:val="004B18D3"/>
    <w:rsid w:val="004B258A"/>
    <w:rsid w:val="004B2707"/>
    <w:rsid w:val="004B2775"/>
    <w:rsid w:val="004B2EB2"/>
    <w:rsid w:val="004B4999"/>
    <w:rsid w:val="004B4BA1"/>
    <w:rsid w:val="004B5391"/>
    <w:rsid w:val="004B55D6"/>
    <w:rsid w:val="004B734C"/>
    <w:rsid w:val="004B7D74"/>
    <w:rsid w:val="004C00F5"/>
    <w:rsid w:val="004C00F6"/>
    <w:rsid w:val="004C0380"/>
    <w:rsid w:val="004C16DE"/>
    <w:rsid w:val="004C17A0"/>
    <w:rsid w:val="004C1FC9"/>
    <w:rsid w:val="004C279A"/>
    <w:rsid w:val="004C3880"/>
    <w:rsid w:val="004C3C59"/>
    <w:rsid w:val="004C4719"/>
    <w:rsid w:val="004C5E2C"/>
    <w:rsid w:val="004C76B1"/>
    <w:rsid w:val="004D2710"/>
    <w:rsid w:val="004D40D3"/>
    <w:rsid w:val="004D420D"/>
    <w:rsid w:val="004D4E43"/>
    <w:rsid w:val="004D52AD"/>
    <w:rsid w:val="004D5545"/>
    <w:rsid w:val="004D616C"/>
    <w:rsid w:val="004D6254"/>
    <w:rsid w:val="004D761D"/>
    <w:rsid w:val="004D7D5A"/>
    <w:rsid w:val="004E0713"/>
    <w:rsid w:val="004E147B"/>
    <w:rsid w:val="004E2ACD"/>
    <w:rsid w:val="004E306A"/>
    <w:rsid w:val="004E3980"/>
    <w:rsid w:val="004E5887"/>
    <w:rsid w:val="004E589F"/>
    <w:rsid w:val="004E58C3"/>
    <w:rsid w:val="004E5BC3"/>
    <w:rsid w:val="004E655B"/>
    <w:rsid w:val="004E6890"/>
    <w:rsid w:val="004E6C05"/>
    <w:rsid w:val="004E786D"/>
    <w:rsid w:val="004F02D5"/>
    <w:rsid w:val="004F15C6"/>
    <w:rsid w:val="004F2614"/>
    <w:rsid w:val="004F275D"/>
    <w:rsid w:val="004F4251"/>
    <w:rsid w:val="004F4285"/>
    <w:rsid w:val="004F5953"/>
    <w:rsid w:val="004F5BEA"/>
    <w:rsid w:val="004F5E06"/>
    <w:rsid w:val="004F72D1"/>
    <w:rsid w:val="004F7A52"/>
    <w:rsid w:val="00500694"/>
    <w:rsid w:val="00500B5B"/>
    <w:rsid w:val="0050169D"/>
    <w:rsid w:val="00503E24"/>
    <w:rsid w:val="00504A67"/>
    <w:rsid w:val="00506D8C"/>
    <w:rsid w:val="00507A03"/>
    <w:rsid w:val="00510236"/>
    <w:rsid w:val="0051087F"/>
    <w:rsid w:val="00511264"/>
    <w:rsid w:val="005126A0"/>
    <w:rsid w:val="005144A4"/>
    <w:rsid w:val="00514A84"/>
    <w:rsid w:val="00515081"/>
    <w:rsid w:val="0051557A"/>
    <w:rsid w:val="00515DA3"/>
    <w:rsid w:val="00515EC1"/>
    <w:rsid w:val="0051665E"/>
    <w:rsid w:val="00517D16"/>
    <w:rsid w:val="0052157A"/>
    <w:rsid w:val="00521EA5"/>
    <w:rsid w:val="00522DB5"/>
    <w:rsid w:val="00523360"/>
    <w:rsid w:val="00524810"/>
    <w:rsid w:val="00524CFA"/>
    <w:rsid w:val="00525C53"/>
    <w:rsid w:val="005260CD"/>
    <w:rsid w:val="00526A18"/>
    <w:rsid w:val="00526C26"/>
    <w:rsid w:val="005277D9"/>
    <w:rsid w:val="00531ED8"/>
    <w:rsid w:val="00532246"/>
    <w:rsid w:val="005334B3"/>
    <w:rsid w:val="00534489"/>
    <w:rsid w:val="00535BB8"/>
    <w:rsid w:val="00537892"/>
    <w:rsid w:val="00542AF8"/>
    <w:rsid w:val="00543402"/>
    <w:rsid w:val="00544FC1"/>
    <w:rsid w:val="005452DB"/>
    <w:rsid w:val="00545EC1"/>
    <w:rsid w:val="005467EC"/>
    <w:rsid w:val="005475CA"/>
    <w:rsid w:val="00547CA6"/>
    <w:rsid w:val="00550F47"/>
    <w:rsid w:val="00551768"/>
    <w:rsid w:val="00552873"/>
    <w:rsid w:val="005528F0"/>
    <w:rsid w:val="00553666"/>
    <w:rsid w:val="00554089"/>
    <w:rsid w:val="0055573F"/>
    <w:rsid w:val="00555AFB"/>
    <w:rsid w:val="00556EEF"/>
    <w:rsid w:val="00556F37"/>
    <w:rsid w:val="005603F3"/>
    <w:rsid w:val="00562D7E"/>
    <w:rsid w:val="00563677"/>
    <w:rsid w:val="0056394C"/>
    <w:rsid w:val="00563B27"/>
    <w:rsid w:val="00563FBC"/>
    <w:rsid w:val="00566159"/>
    <w:rsid w:val="005663D9"/>
    <w:rsid w:val="005670FA"/>
    <w:rsid w:val="00567A81"/>
    <w:rsid w:val="00567C05"/>
    <w:rsid w:val="005708AC"/>
    <w:rsid w:val="00573740"/>
    <w:rsid w:val="005740AE"/>
    <w:rsid w:val="0057557A"/>
    <w:rsid w:val="00575943"/>
    <w:rsid w:val="00576800"/>
    <w:rsid w:val="00576959"/>
    <w:rsid w:val="00577033"/>
    <w:rsid w:val="005770B7"/>
    <w:rsid w:val="005772D4"/>
    <w:rsid w:val="00577A22"/>
    <w:rsid w:val="00581B01"/>
    <w:rsid w:val="00584CFD"/>
    <w:rsid w:val="005854D6"/>
    <w:rsid w:val="005864D3"/>
    <w:rsid w:val="00586C48"/>
    <w:rsid w:val="00587008"/>
    <w:rsid w:val="0058778B"/>
    <w:rsid w:val="0059139F"/>
    <w:rsid w:val="005913EB"/>
    <w:rsid w:val="0059185C"/>
    <w:rsid w:val="00591FC1"/>
    <w:rsid w:val="00592196"/>
    <w:rsid w:val="005921BE"/>
    <w:rsid w:val="005928AA"/>
    <w:rsid w:val="0059429B"/>
    <w:rsid w:val="0059466E"/>
    <w:rsid w:val="00595CE9"/>
    <w:rsid w:val="00596FA8"/>
    <w:rsid w:val="005977AE"/>
    <w:rsid w:val="005A0F41"/>
    <w:rsid w:val="005A2BEA"/>
    <w:rsid w:val="005A4F3C"/>
    <w:rsid w:val="005A57A8"/>
    <w:rsid w:val="005A6501"/>
    <w:rsid w:val="005A68CD"/>
    <w:rsid w:val="005A6CE6"/>
    <w:rsid w:val="005A72C2"/>
    <w:rsid w:val="005A73F1"/>
    <w:rsid w:val="005B2174"/>
    <w:rsid w:val="005B283C"/>
    <w:rsid w:val="005B3C39"/>
    <w:rsid w:val="005B3D53"/>
    <w:rsid w:val="005B4185"/>
    <w:rsid w:val="005B4842"/>
    <w:rsid w:val="005B7D05"/>
    <w:rsid w:val="005B7D88"/>
    <w:rsid w:val="005C137F"/>
    <w:rsid w:val="005C19B2"/>
    <w:rsid w:val="005C1AA1"/>
    <w:rsid w:val="005C1B79"/>
    <w:rsid w:val="005C1C42"/>
    <w:rsid w:val="005C2369"/>
    <w:rsid w:val="005C274F"/>
    <w:rsid w:val="005C30D7"/>
    <w:rsid w:val="005C391B"/>
    <w:rsid w:val="005C4B78"/>
    <w:rsid w:val="005C5A98"/>
    <w:rsid w:val="005D0D50"/>
    <w:rsid w:val="005D0F54"/>
    <w:rsid w:val="005D1BD2"/>
    <w:rsid w:val="005D2AAB"/>
    <w:rsid w:val="005D39D0"/>
    <w:rsid w:val="005D4678"/>
    <w:rsid w:val="005D50DD"/>
    <w:rsid w:val="005D6434"/>
    <w:rsid w:val="005D6848"/>
    <w:rsid w:val="005D6F12"/>
    <w:rsid w:val="005D7A03"/>
    <w:rsid w:val="005E025B"/>
    <w:rsid w:val="005E107D"/>
    <w:rsid w:val="005E24DC"/>
    <w:rsid w:val="005E39CC"/>
    <w:rsid w:val="005E443F"/>
    <w:rsid w:val="005E490B"/>
    <w:rsid w:val="005E4DC6"/>
    <w:rsid w:val="005E5CCF"/>
    <w:rsid w:val="005E5D2A"/>
    <w:rsid w:val="005E60A3"/>
    <w:rsid w:val="005E7BB5"/>
    <w:rsid w:val="005F01F0"/>
    <w:rsid w:val="005F05FE"/>
    <w:rsid w:val="005F0E04"/>
    <w:rsid w:val="005F209C"/>
    <w:rsid w:val="005F20AF"/>
    <w:rsid w:val="005F320B"/>
    <w:rsid w:val="005F35AE"/>
    <w:rsid w:val="005F3A45"/>
    <w:rsid w:val="005F3B87"/>
    <w:rsid w:val="005F455B"/>
    <w:rsid w:val="005F4847"/>
    <w:rsid w:val="005F5573"/>
    <w:rsid w:val="005F5C56"/>
    <w:rsid w:val="005F652F"/>
    <w:rsid w:val="005F67B2"/>
    <w:rsid w:val="005F6A44"/>
    <w:rsid w:val="005F6BB5"/>
    <w:rsid w:val="005F7D57"/>
    <w:rsid w:val="0060073B"/>
    <w:rsid w:val="00601CC9"/>
    <w:rsid w:val="00601D05"/>
    <w:rsid w:val="00601FD1"/>
    <w:rsid w:val="00602C39"/>
    <w:rsid w:val="006055D3"/>
    <w:rsid w:val="00605AC9"/>
    <w:rsid w:val="00606F8A"/>
    <w:rsid w:val="00607253"/>
    <w:rsid w:val="00607B5C"/>
    <w:rsid w:val="006106F5"/>
    <w:rsid w:val="0061145E"/>
    <w:rsid w:val="00611CB9"/>
    <w:rsid w:val="00612C02"/>
    <w:rsid w:val="00614365"/>
    <w:rsid w:val="0061585F"/>
    <w:rsid w:val="0061593E"/>
    <w:rsid w:val="006208FD"/>
    <w:rsid w:val="00620AA8"/>
    <w:rsid w:val="00620C98"/>
    <w:rsid w:val="0062119E"/>
    <w:rsid w:val="00622204"/>
    <w:rsid w:val="00623523"/>
    <w:rsid w:val="0062491C"/>
    <w:rsid w:val="00626FAB"/>
    <w:rsid w:val="00627BB0"/>
    <w:rsid w:val="006308EC"/>
    <w:rsid w:val="00630CAC"/>
    <w:rsid w:val="00630EB8"/>
    <w:rsid w:val="00632C5F"/>
    <w:rsid w:val="006341BB"/>
    <w:rsid w:val="0063658D"/>
    <w:rsid w:val="00636BE4"/>
    <w:rsid w:val="00636E55"/>
    <w:rsid w:val="00637CAA"/>
    <w:rsid w:val="00640592"/>
    <w:rsid w:val="0064233A"/>
    <w:rsid w:val="006437E7"/>
    <w:rsid w:val="00643858"/>
    <w:rsid w:val="00643AA5"/>
    <w:rsid w:val="00643AE0"/>
    <w:rsid w:val="00643EC3"/>
    <w:rsid w:val="00643F8D"/>
    <w:rsid w:val="006443FE"/>
    <w:rsid w:val="0064467A"/>
    <w:rsid w:val="00644956"/>
    <w:rsid w:val="0064516E"/>
    <w:rsid w:val="00645679"/>
    <w:rsid w:val="00645A9D"/>
    <w:rsid w:val="00646F0B"/>
    <w:rsid w:val="00647721"/>
    <w:rsid w:val="0065097E"/>
    <w:rsid w:val="0065131E"/>
    <w:rsid w:val="006513CC"/>
    <w:rsid w:val="00651D88"/>
    <w:rsid w:val="00654124"/>
    <w:rsid w:val="0065546D"/>
    <w:rsid w:val="0065659A"/>
    <w:rsid w:val="00656730"/>
    <w:rsid w:val="006604E8"/>
    <w:rsid w:val="006609EA"/>
    <w:rsid w:val="00660D87"/>
    <w:rsid w:val="0066259B"/>
    <w:rsid w:val="00662CC3"/>
    <w:rsid w:val="00663962"/>
    <w:rsid w:val="00664001"/>
    <w:rsid w:val="006648DE"/>
    <w:rsid w:val="00664F63"/>
    <w:rsid w:val="00665BAE"/>
    <w:rsid w:val="00665BF2"/>
    <w:rsid w:val="006704DC"/>
    <w:rsid w:val="006712F9"/>
    <w:rsid w:val="0067225A"/>
    <w:rsid w:val="00672995"/>
    <w:rsid w:val="0067337E"/>
    <w:rsid w:val="00673D84"/>
    <w:rsid w:val="0067435D"/>
    <w:rsid w:val="00674382"/>
    <w:rsid w:val="0067469F"/>
    <w:rsid w:val="00674BD4"/>
    <w:rsid w:val="006754D9"/>
    <w:rsid w:val="006757B6"/>
    <w:rsid w:val="0067626D"/>
    <w:rsid w:val="006763AB"/>
    <w:rsid w:val="00677D4F"/>
    <w:rsid w:val="00681010"/>
    <w:rsid w:val="00681FD1"/>
    <w:rsid w:val="006825E8"/>
    <w:rsid w:val="00682966"/>
    <w:rsid w:val="00685C8E"/>
    <w:rsid w:val="00686375"/>
    <w:rsid w:val="00686F88"/>
    <w:rsid w:val="006907B6"/>
    <w:rsid w:val="006915B8"/>
    <w:rsid w:val="006917EB"/>
    <w:rsid w:val="0069239B"/>
    <w:rsid w:val="00692BE8"/>
    <w:rsid w:val="00693C27"/>
    <w:rsid w:val="00694A73"/>
    <w:rsid w:val="00694C06"/>
    <w:rsid w:val="00694F26"/>
    <w:rsid w:val="0069596F"/>
    <w:rsid w:val="0069611D"/>
    <w:rsid w:val="00696911"/>
    <w:rsid w:val="0069696C"/>
    <w:rsid w:val="00696BEF"/>
    <w:rsid w:val="00696C1E"/>
    <w:rsid w:val="00696ED8"/>
    <w:rsid w:val="00696F51"/>
    <w:rsid w:val="00697E66"/>
    <w:rsid w:val="006A27D8"/>
    <w:rsid w:val="006A2D59"/>
    <w:rsid w:val="006A3335"/>
    <w:rsid w:val="006A33DE"/>
    <w:rsid w:val="006A3823"/>
    <w:rsid w:val="006A44EF"/>
    <w:rsid w:val="006A5FAF"/>
    <w:rsid w:val="006A6238"/>
    <w:rsid w:val="006A6470"/>
    <w:rsid w:val="006A6CB9"/>
    <w:rsid w:val="006A7AA2"/>
    <w:rsid w:val="006A7B7A"/>
    <w:rsid w:val="006B0293"/>
    <w:rsid w:val="006B5A3D"/>
    <w:rsid w:val="006B6B84"/>
    <w:rsid w:val="006B7B87"/>
    <w:rsid w:val="006B7D30"/>
    <w:rsid w:val="006B7F8D"/>
    <w:rsid w:val="006C0277"/>
    <w:rsid w:val="006C027B"/>
    <w:rsid w:val="006C081D"/>
    <w:rsid w:val="006C1524"/>
    <w:rsid w:val="006C16D9"/>
    <w:rsid w:val="006C1A2D"/>
    <w:rsid w:val="006C234F"/>
    <w:rsid w:val="006C4125"/>
    <w:rsid w:val="006C5B41"/>
    <w:rsid w:val="006C6336"/>
    <w:rsid w:val="006C6D91"/>
    <w:rsid w:val="006C7FE8"/>
    <w:rsid w:val="006D1FAA"/>
    <w:rsid w:val="006D20DF"/>
    <w:rsid w:val="006D3735"/>
    <w:rsid w:val="006D3F69"/>
    <w:rsid w:val="006D4217"/>
    <w:rsid w:val="006D4652"/>
    <w:rsid w:val="006D4BCC"/>
    <w:rsid w:val="006D5E5F"/>
    <w:rsid w:val="006D68A9"/>
    <w:rsid w:val="006D6B07"/>
    <w:rsid w:val="006D74A2"/>
    <w:rsid w:val="006E02C8"/>
    <w:rsid w:val="006E0577"/>
    <w:rsid w:val="006E14E9"/>
    <w:rsid w:val="006E1E1F"/>
    <w:rsid w:val="006E3B6E"/>
    <w:rsid w:val="006E4052"/>
    <w:rsid w:val="006E46CD"/>
    <w:rsid w:val="006E55BB"/>
    <w:rsid w:val="006E6251"/>
    <w:rsid w:val="006E680F"/>
    <w:rsid w:val="006E7BBE"/>
    <w:rsid w:val="006E7BCA"/>
    <w:rsid w:val="006F1326"/>
    <w:rsid w:val="006F215B"/>
    <w:rsid w:val="006F21E1"/>
    <w:rsid w:val="006F3105"/>
    <w:rsid w:val="006F36D8"/>
    <w:rsid w:val="006F3A6C"/>
    <w:rsid w:val="006F5109"/>
    <w:rsid w:val="006F57E4"/>
    <w:rsid w:val="00700816"/>
    <w:rsid w:val="0070142B"/>
    <w:rsid w:val="00701D84"/>
    <w:rsid w:val="007032DF"/>
    <w:rsid w:val="007035AE"/>
    <w:rsid w:val="007048D5"/>
    <w:rsid w:val="00704938"/>
    <w:rsid w:val="00704C3E"/>
    <w:rsid w:val="00704FE6"/>
    <w:rsid w:val="00705207"/>
    <w:rsid w:val="007053C6"/>
    <w:rsid w:val="007062BF"/>
    <w:rsid w:val="00706A1E"/>
    <w:rsid w:val="00707AE9"/>
    <w:rsid w:val="00707AF9"/>
    <w:rsid w:val="007123BE"/>
    <w:rsid w:val="00713D51"/>
    <w:rsid w:val="00714655"/>
    <w:rsid w:val="007154D4"/>
    <w:rsid w:val="007160DB"/>
    <w:rsid w:val="0071633E"/>
    <w:rsid w:val="0071722A"/>
    <w:rsid w:val="0072046F"/>
    <w:rsid w:val="00720AC9"/>
    <w:rsid w:val="00721F57"/>
    <w:rsid w:val="00722AD4"/>
    <w:rsid w:val="00723653"/>
    <w:rsid w:val="0072385B"/>
    <w:rsid w:val="007244C4"/>
    <w:rsid w:val="00724A2A"/>
    <w:rsid w:val="00726094"/>
    <w:rsid w:val="00730FCB"/>
    <w:rsid w:val="007315FD"/>
    <w:rsid w:val="00731E17"/>
    <w:rsid w:val="00732FD3"/>
    <w:rsid w:val="007352DB"/>
    <w:rsid w:val="007355BE"/>
    <w:rsid w:val="00736234"/>
    <w:rsid w:val="00736E7B"/>
    <w:rsid w:val="007374CD"/>
    <w:rsid w:val="00737B2C"/>
    <w:rsid w:val="00737DA1"/>
    <w:rsid w:val="00740110"/>
    <w:rsid w:val="00740154"/>
    <w:rsid w:val="00740DDB"/>
    <w:rsid w:val="0074113E"/>
    <w:rsid w:val="007413F9"/>
    <w:rsid w:val="00743594"/>
    <w:rsid w:val="00745BCF"/>
    <w:rsid w:val="00745EC7"/>
    <w:rsid w:val="00746600"/>
    <w:rsid w:val="00746EAD"/>
    <w:rsid w:val="007471FE"/>
    <w:rsid w:val="007476C5"/>
    <w:rsid w:val="00747E0E"/>
    <w:rsid w:val="00750219"/>
    <w:rsid w:val="007504B4"/>
    <w:rsid w:val="0075084F"/>
    <w:rsid w:val="00751860"/>
    <w:rsid w:val="00753A01"/>
    <w:rsid w:val="00754529"/>
    <w:rsid w:val="0075500C"/>
    <w:rsid w:val="007550F4"/>
    <w:rsid w:val="0075623F"/>
    <w:rsid w:val="007604D0"/>
    <w:rsid w:val="00760B42"/>
    <w:rsid w:val="00761C21"/>
    <w:rsid w:val="00762A12"/>
    <w:rsid w:val="00762A59"/>
    <w:rsid w:val="007632DF"/>
    <w:rsid w:val="0076389D"/>
    <w:rsid w:val="00763D87"/>
    <w:rsid w:val="007644F1"/>
    <w:rsid w:val="007647DC"/>
    <w:rsid w:val="007674F3"/>
    <w:rsid w:val="00770540"/>
    <w:rsid w:val="00771A7E"/>
    <w:rsid w:val="00773F04"/>
    <w:rsid w:val="007756DC"/>
    <w:rsid w:val="0077684B"/>
    <w:rsid w:val="00776A05"/>
    <w:rsid w:val="00777882"/>
    <w:rsid w:val="0078103C"/>
    <w:rsid w:val="00781848"/>
    <w:rsid w:val="00783876"/>
    <w:rsid w:val="00784611"/>
    <w:rsid w:val="00784981"/>
    <w:rsid w:val="00790910"/>
    <w:rsid w:val="00792145"/>
    <w:rsid w:val="00792BB8"/>
    <w:rsid w:val="00793BB0"/>
    <w:rsid w:val="0079504D"/>
    <w:rsid w:val="00795DCF"/>
    <w:rsid w:val="00796012"/>
    <w:rsid w:val="00797148"/>
    <w:rsid w:val="007A0832"/>
    <w:rsid w:val="007A149B"/>
    <w:rsid w:val="007A1E0B"/>
    <w:rsid w:val="007A1F47"/>
    <w:rsid w:val="007A2D21"/>
    <w:rsid w:val="007A2D45"/>
    <w:rsid w:val="007A34B3"/>
    <w:rsid w:val="007A453E"/>
    <w:rsid w:val="007A49FA"/>
    <w:rsid w:val="007A515E"/>
    <w:rsid w:val="007A682C"/>
    <w:rsid w:val="007A6CB4"/>
    <w:rsid w:val="007B075C"/>
    <w:rsid w:val="007B198C"/>
    <w:rsid w:val="007B4E74"/>
    <w:rsid w:val="007B676A"/>
    <w:rsid w:val="007B6D3C"/>
    <w:rsid w:val="007B76B2"/>
    <w:rsid w:val="007C00CD"/>
    <w:rsid w:val="007C164E"/>
    <w:rsid w:val="007C2163"/>
    <w:rsid w:val="007C258F"/>
    <w:rsid w:val="007C37D6"/>
    <w:rsid w:val="007C3999"/>
    <w:rsid w:val="007C63D0"/>
    <w:rsid w:val="007C6453"/>
    <w:rsid w:val="007C675D"/>
    <w:rsid w:val="007C7E29"/>
    <w:rsid w:val="007D06F8"/>
    <w:rsid w:val="007D3313"/>
    <w:rsid w:val="007D3892"/>
    <w:rsid w:val="007D4ED4"/>
    <w:rsid w:val="007D54E2"/>
    <w:rsid w:val="007D58C0"/>
    <w:rsid w:val="007D6418"/>
    <w:rsid w:val="007D66A9"/>
    <w:rsid w:val="007D6B4F"/>
    <w:rsid w:val="007E082B"/>
    <w:rsid w:val="007E10AB"/>
    <w:rsid w:val="007E175B"/>
    <w:rsid w:val="007E2E07"/>
    <w:rsid w:val="007E43FA"/>
    <w:rsid w:val="007E5AE7"/>
    <w:rsid w:val="007E5D1E"/>
    <w:rsid w:val="007E639A"/>
    <w:rsid w:val="007F1578"/>
    <w:rsid w:val="007F1953"/>
    <w:rsid w:val="007F2445"/>
    <w:rsid w:val="007F282A"/>
    <w:rsid w:val="007F34C3"/>
    <w:rsid w:val="007F3E4E"/>
    <w:rsid w:val="007F4980"/>
    <w:rsid w:val="007F562B"/>
    <w:rsid w:val="007F5F61"/>
    <w:rsid w:val="007F7C53"/>
    <w:rsid w:val="00800396"/>
    <w:rsid w:val="00800723"/>
    <w:rsid w:val="00800B4E"/>
    <w:rsid w:val="00800ED9"/>
    <w:rsid w:val="0080149E"/>
    <w:rsid w:val="00801699"/>
    <w:rsid w:val="0080185E"/>
    <w:rsid w:val="00802999"/>
    <w:rsid w:val="00803DA1"/>
    <w:rsid w:val="008044DB"/>
    <w:rsid w:val="008049B5"/>
    <w:rsid w:val="008072EA"/>
    <w:rsid w:val="008079F1"/>
    <w:rsid w:val="00807C2A"/>
    <w:rsid w:val="008109D9"/>
    <w:rsid w:val="00812766"/>
    <w:rsid w:val="00812997"/>
    <w:rsid w:val="00812BC9"/>
    <w:rsid w:val="00812C69"/>
    <w:rsid w:val="0081552D"/>
    <w:rsid w:val="00815B4A"/>
    <w:rsid w:val="00816698"/>
    <w:rsid w:val="0082026E"/>
    <w:rsid w:val="00820443"/>
    <w:rsid w:val="00821918"/>
    <w:rsid w:val="00822AFB"/>
    <w:rsid w:val="0082405F"/>
    <w:rsid w:val="00826003"/>
    <w:rsid w:val="008263BF"/>
    <w:rsid w:val="00826756"/>
    <w:rsid w:val="00827332"/>
    <w:rsid w:val="0083099F"/>
    <w:rsid w:val="00830CCE"/>
    <w:rsid w:val="008313AA"/>
    <w:rsid w:val="00831D9F"/>
    <w:rsid w:val="00832CBA"/>
    <w:rsid w:val="00834675"/>
    <w:rsid w:val="008348A9"/>
    <w:rsid w:val="00834B75"/>
    <w:rsid w:val="008354B4"/>
    <w:rsid w:val="00840140"/>
    <w:rsid w:val="00843034"/>
    <w:rsid w:val="00843E9D"/>
    <w:rsid w:val="00843F60"/>
    <w:rsid w:val="00844F7F"/>
    <w:rsid w:val="0084501C"/>
    <w:rsid w:val="00845157"/>
    <w:rsid w:val="008456FD"/>
    <w:rsid w:val="00845E14"/>
    <w:rsid w:val="00845F0A"/>
    <w:rsid w:val="00847839"/>
    <w:rsid w:val="00847E39"/>
    <w:rsid w:val="00850963"/>
    <w:rsid w:val="008511C8"/>
    <w:rsid w:val="00851CFC"/>
    <w:rsid w:val="00851DFF"/>
    <w:rsid w:val="008535A2"/>
    <w:rsid w:val="00856F48"/>
    <w:rsid w:val="00857313"/>
    <w:rsid w:val="008575E9"/>
    <w:rsid w:val="00857ACB"/>
    <w:rsid w:val="0086005E"/>
    <w:rsid w:val="008603D0"/>
    <w:rsid w:val="00861113"/>
    <w:rsid w:val="00861A3F"/>
    <w:rsid w:val="008620C0"/>
    <w:rsid w:val="008627F4"/>
    <w:rsid w:val="00862A13"/>
    <w:rsid w:val="00862E9B"/>
    <w:rsid w:val="00865447"/>
    <w:rsid w:val="00865F6B"/>
    <w:rsid w:val="00866176"/>
    <w:rsid w:val="008662E8"/>
    <w:rsid w:val="00867166"/>
    <w:rsid w:val="0086745D"/>
    <w:rsid w:val="008676A1"/>
    <w:rsid w:val="00870967"/>
    <w:rsid w:val="00872FDD"/>
    <w:rsid w:val="00873721"/>
    <w:rsid w:val="0087380E"/>
    <w:rsid w:val="0087641D"/>
    <w:rsid w:val="00877F75"/>
    <w:rsid w:val="00880D81"/>
    <w:rsid w:val="00881444"/>
    <w:rsid w:val="00884658"/>
    <w:rsid w:val="00885736"/>
    <w:rsid w:val="008865DF"/>
    <w:rsid w:val="00886C32"/>
    <w:rsid w:val="008900A6"/>
    <w:rsid w:val="00890A34"/>
    <w:rsid w:val="0089127F"/>
    <w:rsid w:val="008915C2"/>
    <w:rsid w:val="0089165B"/>
    <w:rsid w:val="00892CCF"/>
    <w:rsid w:val="00892E99"/>
    <w:rsid w:val="00893422"/>
    <w:rsid w:val="0089380C"/>
    <w:rsid w:val="00893D1C"/>
    <w:rsid w:val="008944A9"/>
    <w:rsid w:val="00894F27"/>
    <w:rsid w:val="00897BBB"/>
    <w:rsid w:val="008A044E"/>
    <w:rsid w:val="008A0CD8"/>
    <w:rsid w:val="008A1058"/>
    <w:rsid w:val="008A200E"/>
    <w:rsid w:val="008A2EF9"/>
    <w:rsid w:val="008A363D"/>
    <w:rsid w:val="008A4096"/>
    <w:rsid w:val="008A4097"/>
    <w:rsid w:val="008A41E4"/>
    <w:rsid w:val="008A58EA"/>
    <w:rsid w:val="008A7C96"/>
    <w:rsid w:val="008B0C27"/>
    <w:rsid w:val="008B24D6"/>
    <w:rsid w:val="008B54A0"/>
    <w:rsid w:val="008B58EC"/>
    <w:rsid w:val="008B5CF4"/>
    <w:rsid w:val="008B6AB5"/>
    <w:rsid w:val="008B6EAA"/>
    <w:rsid w:val="008C01AB"/>
    <w:rsid w:val="008C1135"/>
    <w:rsid w:val="008C2237"/>
    <w:rsid w:val="008C3A32"/>
    <w:rsid w:val="008C5B61"/>
    <w:rsid w:val="008C6165"/>
    <w:rsid w:val="008C688F"/>
    <w:rsid w:val="008D02FF"/>
    <w:rsid w:val="008D09C1"/>
    <w:rsid w:val="008D1DE2"/>
    <w:rsid w:val="008D3290"/>
    <w:rsid w:val="008D3F0D"/>
    <w:rsid w:val="008D3FC1"/>
    <w:rsid w:val="008D4446"/>
    <w:rsid w:val="008D4A8C"/>
    <w:rsid w:val="008D4E49"/>
    <w:rsid w:val="008D6093"/>
    <w:rsid w:val="008E1ED0"/>
    <w:rsid w:val="008E203E"/>
    <w:rsid w:val="008E21CD"/>
    <w:rsid w:val="008E32A9"/>
    <w:rsid w:val="008E35CC"/>
    <w:rsid w:val="008E4487"/>
    <w:rsid w:val="008E4A71"/>
    <w:rsid w:val="008E53C2"/>
    <w:rsid w:val="008E5EE4"/>
    <w:rsid w:val="008E5F0F"/>
    <w:rsid w:val="008E7049"/>
    <w:rsid w:val="008E79CB"/>
    <w:rsid w:val="008E7EA2"/>
    <w:rsid w:val="008F06B4"/>
    <w:rsid w:val="008F19C1"/>
    <w:rsid w:val="008F1E94"/>
    <w:rsid w:val="008F2568"/>
    <w:rsid w:val="008F3B08"/>
    <w:rsid w:val="008F416F"/>
    <w:rsid w:val="008F4232"/>
    <w:rsid w:val="008F48EB"/>
    <w:rsid w:val="008F542C"/>
    <w:rsid w:val="008F5946"/>
    <w:rsid w:val="008F5DDB"/>
    <w:rsid w:val="008F5E59"/>
    <w:rsid w:val="008F7479"/>
    <w:rsid w:val="0090077C"/>
    <w:rsid w:val="00900DF6"/>
    <w:rsid w:val="00900F5B"/>
    <w:rsid w:val="00901858"/>
    <w:rsid w:val="00902730"/>
    <w:rsid w:val="00905D05"/>
    <w:rsid w:val="00906C52"/>
    <w:rsid w:val="009072A9"/>
    <w:rsid w:val="00907608"/>
    <w:rsid w:val="00907A7F"/>
    <w:rsid w:val="00910596"/>
    <w:rsid w:val="00910641"/>
    <w:rsid w:val="00911250"/>
    <w:rsid w:val="00911ED3"/>
    <w:rsid w:val="00912443"/>
    <w:rsid w:val="00912D04"/>
    <w:rsid w:val="009142BC"/>
    <w:rsid w:val="00916065"/>
    <w:rsid w:val="00917F61"/>
    <w:rsid w:val="0092018B"/>
    <w:rsid w:val="00920BF1"/>
    <w:rsid w:val="00920C0F"/>
    <w:rsid w:val="00921F3F"/>
    <w:rsid w:val="0092330B"/>
    <w:rsid w:val="009238DE"/>
    <w:rsid w:val="009238ED"/>
    <w:rsid w:val="00924ABA"/>
    <w:rsid w:val="00924E4E"/>
    <w:rsid w:val="0092592F"/>
    <w:rsid w:val="00926DFE"/>
    <w:rsid w:val="0092744D"/>
    <w:rsid w:val="0093176E"/>
    <w:rsid w:val="00931C49"/>
    <w:rsid w:val="00931D54"/>
    <w:rsid w:val="00934B94"/>
    <w:rsid w:val="009352CD"/>
    <w:rsid w:val="00935F0F"/>
    <w:rsid w:val="00936204"/>
    <w:rsid w:val="009363D8"/>
    <w:rsid w:val="009368A1"/>
    <w:rsid w:val="00937101"/>
    <w:rsid w:val="00940F49"/>
    <w:rsid w:val="00941C42"/>
    <w:rsid w:val="00941CA8"/>
    <w:rsid w:val="00942065"/>
    <w:rsid w:val="009435EB"/>
    <w:rsid w:val="00943DBC"/>
    <w:rsid w:val="0094414D"/>
    <w:rsid w:val="00944500"/>
    <w:rsid w:val="00945448"/>
    <w:rsid w:val="009462CD"/>
    <w:rsid w:val="0094797D"/>
    <w:rsid w:val="0095034A"/>
    <w:rsid w:val="00950656"/>
    <w:rsid w:val="00952C6D"/>
    <w:rsid w:val="00952DD0"/>
    <w:rsid w:val="00954ECD"/>
    <w:rsid w:val="009551D1"/>
    <w:rsid w:val="009552B2"/>
    <w:rsid w:val="0095633B"/>
    <w:rsid w:val="009567FE"/>
    <w:rsid w:val="00960D95"/>
    <w:rsid w:val="00960EC6"/>
    <w:rsid w:val="0096168C"/>
    <w:rsid w:val="00961AA2"/>
    <w:rsid w:val="009632DF"/>
    <w:rsid w:val="0096354D"/>
    <w:rsid w:val="00963A21"/>
    <w:rsid w:val="00963B35"/>
    <w:rsid w:val="00964064"/>
    <w:rsid w:val="00965E4E"/>
    <w:rsid w:val="00967383"/>
    <w:rsid w:val="009705E4"/>
    <w:rsid w:val="009706F0"/>
    <w:rsid w:val="00970DA1"/>
    <w:rsid w:val="009713AA"/>
    <w:rsid w:val="00971831"/>
    <w:rsid w:val="00972B61"/>
    <w:rsid w:val="00972CF2"/>
    <w:rsid w:val="00973562"/>
    <w:rsid w:val="00973733"/>
    <w:rsid w:val="00973E8E"/>
    <w:rsid w:val="00973F0B"/>
    <w:rsid w:val="00974A48"/>
    <w:rsid w:val="00975347"/>
    <w:rsid w:val="00976051"/>
    <w:rsid w:val="00976B83"/>
    <w:rsid w:val="00976BD6"/>
    <w:rsid w:val="0097787C"/>
    <w:rsid w:val="0098178E"/>
    <w:rsid w:val="00981AFB"/>
    <w:rsid w:val="009822FB"/>
    <w:rsid w:val="009829C3"/>
    <w:rsid w:val="009849CB"/>
    <w:rsid w:val="00985548"/>
    <w:rsid w:val="00986633"/>
    <w:rsid w:val="0099115C"/>
    <w:rsid w:val="00992016"/>
    <w:rsid w:val="0099261F"/>
    <w:rsid w:val="009942C9"/>
    <w:rsid w:val="009A040D"/>
    <w:rsid w:val="009A0C95"/>
    <w:rsid w:val="009A1FE3"/>
    <w:rsid w:val="009A2D9D"/>
    <w:rsid w:val="009A409A"/>
    <w:rsid w:val="009A4D9E"/>
    <w:rsid w:val="009A66B6"/>
    <w:rsid w:val="009A7DBD"/>
    <w:rsid w:val="009B148F"/>
    <w:rsid w:val="009B1C2E"/>
    <w:rsid w:val="009B2795"/>
    <w:rsid w:val="009B490B"/>
    <w:rsid w:val="009B4A2C"/>
    <w:rsid w:val="009B4F8B"/>
    <w:rsid w:val="009B50BF"/>
    <w:rsid w:val="009B6146"/>
    <w:rsid w:val="009B685A"/>
    <w:rsid w:val="009B7D81"/>
    <w:rsid w:val="009C0528"/>
    <w:rsid w:val="009C0868"/>
    <w:rsid w:val="009C08ED"/>
    <w:rsid w:val="009C16B8"/>
    <w:rsid w:val="009C1901"/>
    <w:rsid w:val="009C35A3"/>
    <w:rsid w:val="009C37DE"/>
    <w:rsid w:val="009C5412"/>
    <w:rsid w:val="009C704C"/>
    <w:rsid w:val="009C77E3"/>
    <w:rsid w:val="009C7DC2"/>
    <w:rsid w:val="009D0C4D"/>
    <w:rsid w:val="009D11F1"/>
    <w:rsid w:val="009D1896"/>
    <w:rsid w:val="009D1A27"/>
    <w:rsid w:val="009D2604"/>
    <w:rsid w:val="009D2FBC"/>
    <w:rsid w:val="009D439C"/>
    <w:rsid w:val="009D4579"/>
    <w:rsid w:val="009D6464"/>
    <w:rsid w:val="009E0CD1"/>
    <w:rsid w:val="009E1CE6"/>
    <w:rsid w:val="009E2956"/>
    <w:rsid w:val="009E3EA2"/>
    <w:rsid w:val="009E71F9"/>
    <w:rsid w:val="009E7436"/>
    <w:rsid w:val="009E7EF5"/>
    <w:rsid w:val="009F04AF"/>
    <w:rsid w:val="009F1419"/>
    <w:rsid w:val="009F151D"/>
    <w:rsid w:val="009F1756"/>
    <w:rsid w:val="009F2EC1"/>
    <w:rsid w:val="009F3FBA"/>
    <w:rsid w:val="009F4BB2"/>
    <w:rsid w:val="009F6764"/>
    <w:rsid w:val="00A00E24"/>
    <w:rsid w:val="00A01227"/>
    <w:rsid w:val="00A024C2"/>
    <w:rsid w:val="00A034E0"/>
    <w:rsid w:val="00A0375A"/>
    <w:rsid w:val="00A1089C"/>
    <w:rsid w:val="00A10D3B"/>
    <w:rsid w:val="00A125F0"/>
    <w:rsid w:val="00A1274F"/>
    <w:rsid w:val="00A1353B"/>
    <w:rsid w:val="00A13D5F"/>
    <w:rsid w:val="00A141C6"/>
    <w:rsid w:val="00A154CC"/>
    <w:rsid w:val="00A15E5D"/>
    <w:rsid w:val="00A2418E"/>
    <w:rsid w:val="00A24B10"/>
    <w:rsid w:val="00A24B32"/>
    <w:rsid w:val="00A25023"/>
    <w:rsid w:val="00A2747F"/>
    <w:rsid w:val="00A30FB8"/>
    <w:rsid w:val="00A31F9C"/>
    <w:rsid w:val="00A335FE"/>
    <w:rsid w:val="00A34035"/>
    <w:rsid w:val="00A3421E"/>
    <w:rsid w:val="00A35437"/>
    <w:rsid w:val="00A35F0C"/>
    <w:rsid w:val="00A3602E"/>
    <w:rsid w:val="00A36749"/>
    <w:rsid w:val="00A40564"/>
    <w:rsid w:val="00A43EC6"/>
    <w:rsid w:val="00A4472C"/>
    <w:rsid w:val="00A45424"/>
    <w:rsid w:val="00A4586B"/>
    <w:rsid w:val="00A46B63"/>
    <w:rsid w:val="00A4708A"/>
    <w:rsid w:val="00A473D8"/>
    <w:rsid w:val="00A47939"/>
    <w:rsid w:val="00A50568"/>
    <w:rsid w:val="00A50B5F"/>
    <w:rsid w:val="00A515F5"/>
    <w:rsid w:val="00A54B1F"/>
    <w:rsid w:val="00A54B9A"/>
    <w:rsid w:val="00A55071"/>
    <w:rsid w:val="00A56A8A"/>
    <w:rsid w:val="00A5716F"/>
    <w:rsid w:val="00A60514"/>
    <w:rsid w:val="00A61FB9"/>
    <w:rsid w:val="00A620C1"/>
    <w:rsid w:val="00A6472C"/>
    <w:rsid w:val="00A648B4"/>
    <w:rsid w:val="00A64973"/>
    <w:rsid w:val="00A66B05"/>
    <w:rsid w:val="00A704A5"/>
    <w:rsid w:val="00A70FA3"/>
    <w:rsid w:val="00A725CA"/>
    <w:rsid w:val="00A72C98"/>
    <w:rsid w:val="00A73714"/>
    <w:rsid w:val="00A752B4"/>
    <w:rsid w:val="00A7785D"/>
    <w:rsid w:val="00A8077E"/>
    <w:rsid w:val="00A8143F"/>
    <w:rsid w:val="00A81B4F"/>
    <w:rsid w:val="00A81C42"/>
    <w:rsid w:val="00A81E3E"/>
    <w:rsid w:val="00A81E8B"/>
    <w:rsid w:val="00A825A3"/>
    <w:rsid w:val="00A84A45"/>
    <w:rsid w:val="00A868DB"/>
    <w:rsid w:val="00A934C7"/>
    <w:rsid w:val="00A94132"/>
    <w:rsid w:val="00A95D6C"/>
    <w:rsid w:val="00A9617D"/>
    <w:rsid w:val="00A96F3C"/>
    <w:rsid w:val="00AA0702"/>
    <w:rsid w:val="00AA1942"/>
    <w:rsid w:val="00AA1CC3"/>
    <w:rsid w:val="00AA2BBD"/>
    <w:rsid w:val="00AA410E"/>
    <w:rsid w:val="00AA4B12"/>
    <w:rsid w:val="00AA4E12"/>
    <w:rsid w:val="00AA712E"/>
    <w:rsid w:val="00AA73EC"/>
    <w:rsid w:val="00AA770C"/>
    <w:rsid w:val="00AB02DB"/>
    <w:rsid w:val="00AB1ADB"/>
    <w:rsid w:val="00AB2335"/>
    <w:rsid w:val="00AB2474"/>
    <w:rsid w:val="00AB3B0B"/>
    <w:rsid w:val="00AB3E26"/>
    <w:rsid w:val="00AB4798"/>
    <w:rsid w:val="00AB517F"/>
    <w:rsid w:val="00AB51A9"/>
    <w:rsid w:val="00AB595F"/>
    <w:rsid w:val="00AB6060"/>
    <w:rsid w:val="00AB6875"/>
    <w:rsid w:val="00AB6CFB"/>
    <w:rsid w:val="00AB73B5"/>
    <w:rsid w:val="00AB7996"/>
    <w:rsid w:val="00AB7B0A"/>
    <w:rsid w:val="00AC1A0E"/>
    <w:rsid w:val="00AC1F01"/>
    <w:rsid w:val="00AC270A"/>
    <w:rsid w:val="00AC3D51"/>
    <w:rsid w:val="00AC3F30"/>
    <w:rsid w:val="00AC51D3"/>
    <w:rsid w:val="00AC535D"/>
    <w:rsid w:val="00AC59BF"/>
    <w:rsid w:val="00AC6F3E"/>
    <w:rsid w:val="00AC72A9"/>
    <w:rsid w:val="00AC7516"/>
    <w:rsid w:val="00AC7CD9"/>
    <w:rsid w:val="00AC7E33"/>
    <w:rsid w:val="00AD00D2"/>
    <w:rsid w:val="00AD1082"/>
    <w:rsid w:val="00AD16F6"/>
    <w:rsid w:val="00AD474D"/>
    <w:rsid w:val="00AD7126"/>
    <w:rsid w:val="00AD7B34"/>
    <w:rsid w:val="00AD7FD1"/>
    <w:rsid w:val="00AE0398"/>
    <w:rsid w:val="00AE14D2"/>
    <w:rsid w:val="00AE275F"/>
    <w:rsid w:val="00AE3A66"/>
    <w:rsid w:val="00AE4033"/>
    <w:rsid w:val="00AE40FA"/>
    <w:rsid w:val="00AE5816"/>
    <w:rsid w:val="00AE5D1B"/>
    <w:rsid w:val="00AE6BD6"/>
    <w:rsid w:val="00AF242C"/>
    <w:rsid w:val="00AF285D"/>
    <w:rsid w:val="00AF2D90"/>
    <w:rsid w:val="00AF314A"/>
    <w:rsid w:val="00AF37A6"/>
    <w:rsid w:val="00AF41C2"/>
    <w:rsid w:val="00AF43D8"/>
    <w:rsid w:val="00AF4EA8"/>
    <w:rsid w:val="00AF5A04"/>
    <w:rsid w:val="00AF62F2"/>
    <w:rsid w:val="00AF67D3"/>
    <w:rsid w:val="00AF6D31"/>
    <w:rsid w:val="00AF6F5F"/>
    <w:rsid w:val="00AF7024"/>
    <w:rsid w:val="00AF79D7"/>
    <w:rsid w:val="00AF7B64"/>
    <w:rsid w:val="00B01404"/>
    <w:rsid w:val="00B0168E"/>
    <w:rsid w:val="00B029B0"/>
    <w:rsid w:val="00B02C9B"/>
    <w:rsid w:val="00B049A0"/>
    <w:rsid w:val="00B060B3"/>
    <w:rsid w:val="00B06325"/>
    <w:rsid w:val="00B07B11"/>
    <w:rsid w:val="00B12A28"/>
    <w:rsid w:val="00B13961"/>
    <w:rsid w:val="00B145F6"/>
    <w:rsid w:val="00B147CC"/>
    <w:rsid w:val="00B15DD8"/>
    <w:rsid w:val="00B164F8"/>
    <w:rsid w:val="00B16694"/>
    <w:rsid w:val="00B16B9B"/>
    <w:rsid w:val="00B17AAC"/>
    <w:rsid w:val="00B20859"/>
    <w:rsid w:val="00B21698"/>
    <w:rsid w:val="00B2283C"/>
    <w:rsid w:val="00B22A00"/>
    <w:rsid w:val="00B251F1"/>
    <w:rsid w:val="00B2623C"/>
    <w:rsid w:val="00B26780"/>
    <w:rsid w:val="00B27290"/>
    <w:rsid w:val="00B272EB"/>
    <w:rsid w:val="00B2797F"/>
    <w:rsid w:val="00B31033"/>
    <w:rsid w:val="00B31FF4"/>
    <w:rsid w:val="00B343C3"/>
    <w:rsid w:val="00B3464C"/>
    <w:rsid w:val="00B347FE"/>
    <w:rsid w:val="00B34CB4"/>
    <w:rsid w:val="00B3507A"/>
    <w:rsid w:val="00B3538F"/>
    <w:rsid w:val="00B3593D"/>
    <w:rsid w:val="00B35F53"/>
    <w:rsid w:val="00B364F2"/>
    <w:rsid w:val="00B366A2"/>
    <w:rsid w:val="00B36F9D"/>
    <w:rsid w:val="00B373E9"/>
    <w:rsid w:val="00B37ADB"/>
    <w:rsid w:val="00B40085"/>
    <w:rsid w:val="00B409F6"/>
    <w:rsid w:val="00B40E76"/>
    <w:rsid w:val="00B411E6"/>
    <w:rsid w:val="00B42F11"/>
    <w:rsid w:val="00B43200"/>
    <w:rsid w:val="00B438CC"/>
    <w:rsid w:val="00B43C5E"/>
    <w:rsid w:val="00B44B97"/>
    <w:rsid w:val="00B464ED"/>
    <w:rsid w:val="00B4788C"/>
    <w:rsid w:val="00B506DD"/>
    <w:rsid w:val="00B51551"/>
    <w:rsid w:val="00B51DFA"/>
    <w:rsid w:val="00B523DE"/>
    <w:rsid w:val="00B529BC"/>
    <w:rsid w:val="00B52F07"/>
    <w:rsid w:val="00B54A1B"/>
    <w:rsid w:val="00B60540"/>
    <w:rsid w:val="00B62B00"/>
    <w:rsid w:val="00B63337"/>
    <w:rsid w:val="00B6366B"/>
    <w:rsid w:val="00B64056"/>
    <w:rsid w:val="00B650D4"/>
    <w:rsid w:val="00B650F3"/>
    <w:rsid w:val="00B666AD"/>
    <w:rsid w:val="00B66B4D"/>
    <w:rsid w:val="00B67897"/>
    <w:rsid w:val="00B705E4"/>
    <w:rsid w:val="00B71354"/>
    <w:rsid w:val="00B71AEC"/>
    <w:rsid w:val="00B731B2"/>
    <w:rsid w:val="00B733D0"/>
    <w:rsid w:val="00B75F46"/>
    <w:rsid w:val="00B76ABA"/>
    <w:rsid w:val="00B80526"/>
    <w:rsid w:val="00B85C8D"/>
    <w:rsid w:val="00B86454"/>
    <w:rsid w:val="00B87AFE"/>
    <w:rsid w:val="00B87CEE"/>
    <w:rsid w:val="00B90589"/>
    <w:rsid w:val="00B91886"/>
    <w:rsid w:val="00B92A2C"/>
    <w:rsid w:val="00B93AE9"/>
    <w:rsid w:val="00B93E9F"/>
    <w:rsid w:val="00B95046"/>
    <w:rsid w:val="00B95CF6"/>
    <w:rsid w:val="00B95F83"/>
    <w:rsid w:val="00BA218D"/>
    <w:rsid w:val="00BA2473"/>
    <w:rsid w:val="00BA2630"/>
    <w:rsid w:val="00BA2A36"/>
    <w:rsid w:val="00BA3865"/>
    <w:rsid w:val="00BA3B85"/>
    <w:rsid w:val="00BA56C5"/>
    <w:rsid w:val="00BA58EB"/>
    <w:rsid w:val="00BA58FC"/>
    <w:rsid w:val="00BA690C"/>
    <w:rsid w:val="00BA69AE"/>
    <w:rsid w:val="00BA745E"/>
    <w:rsid w:val="00BB0AC8"/>
    <w:rsid w:val="00BB0D89"/>
    <w:rsid w:val="00BB29AD"/>
    <w:rsid w:val="00BB2F49"/>
    <w:rsid w:val="00BB3229"/>
    <w:rsid w:val="00BB3D37"/>
    <w:rsid w:val="00BB466E"/>
    <w:rsid w:val="00BB4BE0"/>
    <w:rsid w:val="00BB7795"/>
    <w:rsid w:val="00BB7920"/>
    <w:rsid w:val="00BB7EB8"/>
    <w:rsid w:val="00BC0394"/>
    <w:rsid w:val="00BC075C"/>
    <w:rsid w:val="00BC0A2E"/>
    <w:rsid w:val="00BC1343"/>
    <w:rsid w:val="00BC21E6"/>
    <w:rsid w:val="00BC2A56"/>
    <w:rsid w:val="00BC5A27"/>
    <w:rsid w:val="00BC6541"/>
    <w:rsid w:val="00BC7899"/>
    <w:rsid w:val="00BD076F"/>
    <w:rsid w:val="00BD2D5D"/>
    <w:rsid w:val="00BD32FD"/>
    <w:rsid w:val="00BD38EB"/>
    <w:rsid w:val="00BD3A53"/>
    <w:rsid w:val="00BD47E5"/>
    <w:rsid w:val="00BD5FBC"/>
    <w:rsid w:val="00BD6AF2"/>
    <w:rsid w:val="00BD713F"/>
    <w:rsid w:val="00BD73C8"/>
    <w:rsid w:val="00BE073F"/>
    <w:rsid w:val="00BE0AB9"/>
    <w:rsid w:val="00BE0DB6"/>
    <w:rsid w:val="00BE20BC"/>
    <w:rsid w:val="00BE32C1"/>
    <w:rsid w:val="00BE3A93"/>
    <w:rsid w:val="00BE3FD4"/>
    <w:rsid w:val="00BE468B"/>
    <w:rsid w:val="00BE6A55"/>
    <w:rsid w:val="00BE6FBE"/>
    <w:rsid w:val="00BE7558"/>
    <w:rsid w:val="00BE7930"/>
    <w:rsid w:val="00BE7A42"/>
    <w:rsid w:val="00BF0CC5"/>
    <w:rsid w:val="00BF15A2"/>
    <w:rsid w:val="00BF2524"/>
    <w:rsid w:val="00BF49E6"/>
    <w:rsid w:val="00BF5897"/>
    <w:rsid w:val="00BF5C0B"/>
    <w:rsid w:val="00BF5E50"/>
    <w:rsid w:val="00BF6006"/>
    <w:rsid w:val="00BF727A"/>
    <w:rsid w:val="00C0082D"/>
    <w:rsid w:val="00C00ED7"/>
    <w:rsid w:val="00C011D4"/>
    <w:rsid w:val="00C01B03"/>
    <w:rsid w:val="00C03955"/>
    <w:rsid w:val="00C03AB5"/>
    <w:rsid w:val="00C041C3"/>
    <w:rsid w:val="00C054ED"/>
    <w:rsid w:val="00C05EF5"/>
    <w:rsid w:val="00C06574"/>
    <w:rsid w:val="00C07D25"/>
    <w:rsid w:val="00C07E2A"/>
    <w:rsid w:val="00C102D3"/>
    <w:rsid w:val="00C1098D"/>
    <w:rsid w:val="00C11ED0"/>
    <w:rsid w:val="00C14A3B"/>
    <w:rsid w:val="00C14C40"/>
    <w:rsid w:val="00C15AE0"/>
    <w:rsid w:val="00C174F4"/>
    <w:rsid w:val="00C1789F"/>
    <w:rsid w:val="00C17C19"/>
    <w:rsid w:val="00C204CF"/>
    <w:rsid w:val="00C2128B"/>
    <w:rsid w:val="00C22AD4"/>
    <w:rsid w:val="00C22C10"/>
    <w:rsid w:val="00C22CB9"/>
    <w:rsid w:val="00C23F5E"/>
    <w:rsid w:val="00C24E4D"/>
    <w:rsid w:val="00C25B43"/>
    <w:rsid w:val="00C26767"/>
    <w:rsid w:val="00C274EB"/>
    <w:rsid w:val="00C2786D"/>
    <w:rsid w:val="00C30108"/>
    <w:rsid w:val="00C30171"/>
    <w:rsid w:val="00C30F38"/>
    <w:rsid w:val="00C311FF"/>
    <w:rsid w:val="00C31446"/>
    <w:rsid w:val="00C3259D"/>
    <w:rsid w:val="00C34A71"/>
    <w:rsid w:val="00C34BA1"/>
    <w:rsid w:val="00C34F18"/>
    <w:rsid w:val="00C34F5F"/>
    <w:rsid w:val="00C35169"/>
    <w:rsid w:val="00C35E85"/>
    <w:rsid w:val="00C36861"/>
    <w:rsid w:val="00C37F05"/>
    <w:rsid w:val="00C4121A"/>
    <w:rsid w:val="00C414DC"/>
    <w:rsid w:val="00C41DD6"/>
    <w:rsid w:val="00C425F5"/>
    <w:rsid w:val="00C42982"/>
    <w:rsid w:val="00C42C13"/>
    <w:rsid w:val="00C45BE3"/>
    <w:rsid w:val="00C4681F"/>
    <w:rsid w:val="00C46C18"/>
    <w:rsid w:val="00C519DD"/>
    <w:rsid w:val="00C52C77"/>
    <w:rsid w:val="00C5308C"/>
    <w:rsid w:val="00C551AB"/>
    <w:rsid w:val="00C55F2C"/>
    <w:rsid w:val="00C569D3"/>
    <w:rsid w:val="00C57206"/>
    <w:rsid w:val="00C574D3"/>
    <w:rsid w:val="00C60FE9"/>
    <w:rsid w:val="00C626B6"/>
    <w:rsid w:val="00C62D3E"/>
    <w:rsid w:val="00C62DD3"/>
    <w:rsid w:val="00C62F83"/>
    <w:rsid w:val="00C656E9"/>
    <w:rsid w:val="00C66BB6"/>
    <w:rsid w:val="00C67014"/>
    <w:rsid w:val="00C67043"/>
    <w:rsid w:val="00C70AD2"/>
    <w:rsid w:val="00C70BB7"/>
    <w:rsid w:val="00C70D6C"/>
    <w:rsid w:val="00C72739"/>
    <w:rsid w:val="00C748F7"/>
    <w:rsid w:val="00C76902"/>
    <w:rsid w:val="00C77E73"/>
    <w:rsid w:val="00C8105F"/>
    <w:rsid w:val="00C811E8"/>
    <w:rsid w:val="00C81544"/>
    <w:rsid w:val="00C83762"/>
    <w:rsid w:val="00C83BAA"/>
    <w:rsid w:val="00C83E06"/>
    <w:rsid w:val="00C87FE6"/>
    <w:rsid w:val="00C90260"/>
    <w:rsid w:val="00C90CE9"/>
    <w:rsid w:val="00C914B9"/>
    <w:rsid w:val="00C9152C"/>
    <w:rsid w:val="00C91D1D"/>
    <w:rsid w:val="00C9275E"/>
    <w:rsid w:val="00C93A70"/>
    <w:rsid w:val="00C93FD1"/>
    <w:rsid w:val="00C94592"/>
    <w:rsid w:val="00C945D5"/>
    <w:rsid w:val="00C94A98"/>
    <w:rsid w:val="00C9580C"/>
    <w:rsid w:val="00C95CEE"/>
    <w:rsid w:val="00C96955"/>
    <w:rsid w:val="00C97723"/>
    <w:rsid w:val="00C9783E"/>
    <w:rsid w:val="00CA0AB0"/>
    <w:rsid w:val="00CA5F8F"/>
    <w:rsid w:val="00CA6EDF"/>
    <w:rsid w:val="00CB0C60"/>
    <w:rsid w:val="00CB15DE"/>
    <w:rsid w:val="00CB221E"/>
    <w:rsid w:val="00CB2E61"/>
    <w:rsid w:val="00CB34BB"/>
    <w:rsid w:val="00CB352E"/>
    <w:rsid w:val="00CB49AA"/>
    <w:rsid w:val="00CB49F0"/>
    <w:rsid w:val="00CB56F9"/>
    <w:rsid w:val="00CB5B7F"/>
    <w:rsid w:val="00CB6307"/>
    <w:rsid w:val="00CB6856"/>
    <w:rsid w:val="00CB6A66"/>
    <w:rsid w:val="00CB6DD0"/>
    <w:rsid w:val="00CB7487"/>
    <w:rsid w:val="00CB7B7F"/>
    <w:rsid w:val="00CB7C44"/>
    <w:rsid w:val="00CB7EFF"/>
    <w:rsid w:val="00CC0D5C"/>
    <w:rsid w:val="00CC1872"/>
    <w:rsid w:val="00CC1F8A"/>
    <w:rsid w:val="00CC36FE"/>
    <w:rsid w:val="00CC45FA"/>
    <w:rsid w:val="00CC5315"/>
    <w:rsid w:val="00CC5A4B"/>
    <w:rsid w:val="00CC6564"/>
    <w:rsid w:val="00CC7B4F"/>
    <w:rsid w:val="00CD0532"/>
    <w:rsid w:val="00CD0A48"/>
    <w:rsid w:val="00CD0D69"/>
    <w:rsid w:val="00CD116F"/>
    <w:rsid w:val="00CD1F38"/>
    <w:rsid w:val="00CD3A9E"/>
    <w:rsid w:val="00CD42B4"/>
    <w:rsid w:val="00CD58EA"/>
    <w:rsid w:val="00CD62FC"/>
    <w:rsid w:val="00CD7149"/>
    <w:rsid w:val="00CD7D46"/>
    <w:rsid w:val="00CE036E"/>
    <w:rsid w:val="00CE0B27"/>
    <w:rsid w:val="00CE14F1"/>
    <w:rsid w:val="00CE449B"/>
    <w:rsid w:val="00CE53C5"/>
    <w:rsid w:val="00CE6C9A"/>
    <w:rsid w:val="00CF02FF"/>
    <w:rsid w:val="00CF4256"/>
    <w:rsid w:val="00CF4DB4"/>
    <w:rsid w:val="00CF4E22"/>
    <w:rsid w:val="00CF513F"/>
    <w:rsid w:val="00CF51D5"/>
    <w:rsid w:val="00CF5683"/>
    <w:rsid w:val="00CF6846"/>
    <w:rsid w:val="00CF6AA0"/>
    <w:rsid w:val="00CF6E6A"/>
    <w:rsid w:val="00CF703F"/>
    <w:rsid w:val="00CF747C"/>
    <w:rsid w:val="00CF79B5"/>
    <w:rsid w:val="00D00C5B"/>
    <w:rsid w:val="00D0163E"/>
    <w:rsid w:val="00D01A1C"/>
    <w:rsid w:val="00D0333C"/>
    <w:rsid w:val="00D039CB"/>
    <w:rsid w:val="00D04133"/>
    <w:rsid w:val="00D04721"/>
    <w:rsid w:val="00D0487E"/>
    <w:rsid w:val="00D055C0"/>
    <w:rsid w:val="00D05B13"/>
    <w:rsid w:val="00D06659"/>
    <w:rsid w:val="00D06918"/>
    <w:rsid w:val="00D06ECC"/>
    <w:rsid w:val="00D06FAE"/>
    <w:rsid w:val="00D07839"/>
    <w:rsid w:val="00D10386"/>
    <w:rsid w:val="00D10500"/>
    <w:rsid w:val="00D109B6"/>
    <w:rsid w:val="00D11BEB"/>
    <w:rsid w:val="00D11F98"/>
    <w:rsid w:val="00D12C06"/>
    <w:rsid w:val="00D12DC2"/>
    <w:rsid w:val="00D133E6"/>
    <w:rsid w:val="00D141D2"/>
    <w:rsid w:val="00D14939"/>
    <w:rsid w:val="00D14C2B"/>
    <w:rsid w:val="00D159FD"/>
    <w:rsid w:val="00D15BBF"/>
    <w:rsid w:val="00D16032"/>
    <w:rsid w:val="00D21D93"/>
    <w:rsid w:val="00D22332"/>
    <w:rsid w:val="00D22701"/>
    <w:rsid w:val="00D24900"/>
    <w:rsid w:val="00D25648"/>
    <w:rsid w:val="00D25A9D"/>
    <w:rsid w:val="00D25EAC"/>
    <w:rsid w:val="00D27263"/>
    <w:rsid w:val="00D273F6"/>
    <w:rsid w:val="00D27887"/>
    <w:rsid w:val="00D27B02"/>
    <w:rsid w:val="00D30B04"/>
    <w:rsid w:val="00D31376"/>
    <w:rsid w:val="00D313EC"/>
    <w:rsid w:val="00D3146D"/>
    <w:rsid w:val="00D31610"/>
    <w:rsid w:val="00D31B41"/>
    <w:rsid w:val="00D323F0"/>
    <w:rsid w:val="00D3345E"/>
    <w:rsid w:val="00D33D47"/>
    <w:rsid w:val="00D350CD"/>
    <w:rsid w:val="00D35985"/>
    <w:rsid w:val="00D35F86"/>
    <w:rsid w:val="00D36BB9"/>
    <w:rsid w:val="00D41BEF"/>
    <w:rsid w:val="00D42870"/>
    <w:rsid w:val="00D429AF"/>
    <w:rsid w:val="00D42EB0"/>
    <w:rsid w:val="00D433E5"/>
    <w:rsid w:val="00D43C41"/>
    <w:rsid w:val="00D43D10"/>
    <w:rsid w:val="00D44585"/>
    <w:rsid w:val="00D45A23"/>
    <w:rsid w:val="00D46511"/>
    <w:rsid w:val="00D46586"/>
    <w:rsid w:val="00D46C61"/>
    <w:rsid w:val="00D47E6F"/>
    <w:rsid w:val="00D50539"/>
    <w:rsid w:val="00D513E5"/>
    <w:rsid w:val="00D5190E"/>
    <w:rsid w:val="00D51B0E"/>
    <w:rsid w:val="00D53480"/>
    <w:rsid w:val="00D53AA3"/>
    <w:rsid w:val="00D53EC6"/>
    <w:rsid w:val="00D57A47"/>
    <w:rsid w:val="00D60E19"/>
    <w:rsid w:val="00D6135C"/>
    <w:rsid w:val="00D61B23"/>
    <w:rsid w:val="00D62ABD"/>
    <w:rsid w:val="00D62B82"/>
    <w:rsid w:val="00D62EEC"/>
    <w:rsid w:val="00D6305E"/>
    <w:rsid w:val="00D63FED"/>
    <w:rsid w:val="00D644B3"/>
    <w:rsid w:val="00D66D3F"/>
    <w:rsid w:val="00D67ADE"/>
    <w:rsid w:val="00D7105C"/>
    <w:rsid w:val="00D715D9"/>
    <w:rsid w:val="00D716CB"/>
    <w:rsid w:val="00D71A0F"/>
    <w:rsid w:val="00D724B4"/>
    <w:rsid w:val="00D731AE"/>
    <w:rsid w:val="00D7382D"/>
    <w:rsid w:val="00D7527F"/>
    <w:rsid w:val="00D755B5"/>
    <w:rsid w:val="00D75643"/>
    <w:rsid w:val="00D7586E"/>
    <w:rsid w:val="00D75C03"/>
    <w:rsid w:val="00D76108"/>
    <w:rsid w:val="00D7621D"/>
    <w:rsid w:val="00D76E56"/>
    <w:rsid w:val="00D808F7"/>
    <w:rsid w:val="00D80D69"/>
    <w:rsid w:val="00D8168C"/>
    <w:rsid w:val="00D82743"/>
    <w:rsid w:val="00D83046"/>
    <w:rsid w:val="00D83116"/>
    <w:rsid w:val="00D84F15"/>
    <w:rsid w:val="00D86B58"/>
    <w:rsid w:val="00D87BD2"/>
    <w:rsid w:val="00D90320"/>
    <w:rsid w:val="00D91C00"/>
    <w:rsid w:val="00D92028"/>
    <w:rsid w:val="00D92A24"/>
    <w:rsid w:val="00D92C91"/>
    <w:rsid w:val="00D94F86"/>
    <w:rsid w:val="00D96DEF"/>
    <w:rsid w:val="00DA19A8"/>
    <w:rsid w:val="00DA1E10"/>
    <w:rsid w:val="00DA2433"/>
    <w:rsid w:val="00DA3029"/>
    <w:rsid w:val="00DA47A7"/>
    <w:rsid w:val="00DA4814"/>
    <w:rsid w:val="00DA51D1"/>
    <w:rsid w:val="00DA52C6"/>
    <w:rsid w:val="00DA591C"/>
    <w:rsid w:val="00DA5F13"/>
    <w:rsid w:val="00DA6E8E"/>
    <w:rsid w:val="00DA742C"/>
    <w:rsid w:val="00DA7F71"/>
    <w:rsid w:val="00DB0A39"/>
    <w:rsid w:val="00DB0B36"/>
    <w:rsid w:val="00DB2ED2"/>
    <w:rsid w:val="00DB2F78"/>
    <w:rsid w:val="00DB442E"/>
    <w:rsid w:val="00DB50AD"/>
    <w:rsid w:val="00DB6BB3"/>
    <w:rsid w:val="00DB6ECE"/>
    <w:rsid w:val="00DB7B5A"/>
    <w:rsid w:val="00DC0E25"/>
    <w:rsid w:val="00DC1557"/>
    <w:rsid w:val="00DC1743"/>
    <w:rsid w:val="00DC1E2F"/>
    <w:rsid w:val="00DC20A8"/>
    <w:rsid w:val="00DC2136"/>
    <w:rsid w:val="00DC26EA"/>
    <w:rsid w:val="00DC3F47"/>
    <w:rsid w:val="00DC5715"/>
    <w:rsid w:val="00DC59E7"/>
    <w:rsid w:val="00DC6A00"/>
    <w:rsid w:val="00DD1E4C"/>
    <w:rsid w:val="00DD1FF6"/>
    <w:rsid w:val="00DD2523"/>
    <w:rsid w:val="00DD3A65"/>
    <w:rsid w:val="00DD46EF"/>
    <w:rsid w:val="00DD4E4B"/>
    <w:rsid w:val="00DD51F3"/>
    <w:rsid w:val="00DD526E"/>
    <w:rsid w:val="00DD6A9A"/>
    <w:rsid w:val="00DD772C"/>
    <w:rsid w:val="00DE1B0B"/>
    <w:rsid w:val="00DE1F5C"/>
    <w:rsid w:val="00DE228B"/>
    <w:rsid w:val="00DE2D00"/>
    <w:rsid w:val="00DE2DB3"/>
    <w:rsid w:val="00DE58FF"/>
    <w:rsid w:val="00DE66F7"/>
    <w:rsid w:val="00DE6C81"/>
    <w:rsid w:val="00DE6E29"/>
    <w:rsid w:val="00DE7C77"/>
    <w:rsid w:val="00DF0162"/>
    <w:rsid w:val="00DF029C"/>
    <w:rsid w:val="00DF03C1"/>
    <w:rsid w:val="00DF0539"/>
    <w:rsid w:val="00DF075C"/>
    <w:rsid w:val="00DF16CD"/>
    <w:rsid w:val="00DF16D6"/>
    <w:rsid w:val="00DF2DF5"/>
    <w:rsid w:val="00DF337D"/>
    <w:rsid w:val="00DF3B15"/>
    <w:rsid w:val="00DF3B67"/>
    <w:rsid w:val="00DF52EF"/>
    <w:rsid w:val="00DF5CA1"/>
    <w:rsid w:val="00DF6900"/>
    <w:rsid w:val="00DF77BB"/>
    <w:rsid w:val="00E00D22"/>
    <w:rsid w:val="00E00E86"/>
    <w:rsid w:val="00E017A2"/>
    <w:rsid w:val="00E027E8"/>
    <w:rsid w:val="00E02878"/>
    <w:rsid w:val="00E02920"/>
    <w:rsid w:val="00E02A95"/>
    <w:rsid w:val="00E02D96"/>
    <w:rsid w:val="00E03520"/>
    <w:rsid w:val="00E037B7"/>
    <w:rsid w:val="00E04019"/>
    <w:rsid w:val="00E04202"/>
    <w:rsid w:val="00E043F7"/>
    <w:rsid w:val="00E05515"/>
    <w:rsid w:val="00E05E2A"/>
    <w:rsid w:val="00E07280"/>
    <w:rsid w:val="00E07664"/>
    <w:rsid w:val="00E10055"/>
    <w:rsid w:val="00E1200A"/>
    <w:rsid w:val="00E125C0"/>
    <w:rsid w:val="00E135C7"/>
    <w:rsid w:val="00E13732"/>
    <w:rsid w:val="00E13B96"/>
    <w:rsid w:val="00E13E78"/>
    <w:rsid w:val="00E14A46"/>
    <w:rsid w:val="00E14C76"/>
    <w:rsid w:val="00E14CCE"/>
    <w:rsid w:val="00E15495"/>
    <w:rsid w:val="00E159D9"/>
    <w:rsid w:val="00E15DFF"/>
    <w:rsid w:val="00E164D8"/>
    <w:rsid w:val="00E20C0A"/>
    <w:rsid w:val="00E216E5"/>
    <w:rsid w:val="00E21997"/>
    <w:rsid w:val="00E2228A"/>
    <w:rsid w:val="00E22E79"/>
    <w:rsid w:val="00E23630"/>
    <w:rsid w:val="00E2433B"/>
    <w:rsid w:val="00E24B10"/>
    <w:rsid w:val="00E255B0"/>
    <w:rsid w:val="00E25DE1"/>
    <w:rsid w:val="00E26F30"/>
    <w:rsid w:val="00E310BC"/>
    <w:rsid w:val="00E3172E"/>
    <w:rsid w:val="00E3181A"/>
    <w:rsid w:val="00E324D6"/>
    <w:rsid w:val="00E32C8F"/>
    <w:rsid w:val="00E32DCD"/>
    <w:rsid w:val="00E32FF1"/>
    <w:rsid w:val="00E33A0F"/>
    <w:rsid w:val="00E35268"/>
    <w:rsid w:val="00E359E5"/>
    <w:rsid w:val="00E35AF5"/>
    <w:rsid w:val="00E36079"/>
    <w:rsid w:val="00E37090"/>
    <w:rsid w:val="00E418E9"/>
    <w:rsid w:val="00E41B0F"/>
    <w:rsid w:val="00E42A48"/>
    <w:rsid w:val="00E434CB"/>
    <w:rsid w:val="00E43E17"/>
    <w:rsid w:val="00E45406"/>
    <w:rsid w:val="00E45745"/>
    <w:rsid w:val="00E45837"/>
    <w:rsid w:val="00E463DC"/>
    <w:rsid w:val="00E4707D"/>
    <w:rsid w:val="00E478C1"/>
    <w:rsid w:val="00E47A31"/>
    <w:rsid w:val="00E47CF2"/>
    <w:rsid w:val="00E50090"/>
    <w:rsid w:val="00E50698"/>
    <w:rsid w:val="00E509C6"/>
    <w:rsid w:val="00E51023"/>
    <w:rsid w:val="00E5159E"/>
    <w:rsid w:val="00E517F3"/>
    <w:rsid w:val="00E51CC2"/>
    <w:rsid w:val="00E530EF"/>
    <w:rsid w:val="00E53AF0"/>
    <w:rsid w:val="00E54C3B"/>
    <w:rsid w:val="00E568AA"/>
    <w:rsid w:val="00E572A8"/>
    <w:rsid w:val="00E575A3"/>
    <w:rsid w:val="00E57F04"/>
    <w:rsid w:val="00E603D7"/>
    <w:rsid w:val="00E609D4"/>
    <w:rsid w:val="00E60EAC"/>
    <w:rsid w:val="00E621C6"/>
    <w:rsid w:val="00E62325"/>
    <w:rsid w:val="00E62B17"/>
    <w:rsid w:val="00E62B85"/>
    <w:rsid w:val="00E62EBF"/>
    <w:rsid w:val="00E63EE2"/>
    <w:rsid w:val="00E63F8E"/>
    <w:rsid w:val="00E64C5C"/>
    <w:rsid w:val="00E6600E"/>
    <w:rsid w:val="00E67F52"/>
    <w:rsid w:val="00E70793"/>
    <w:rsid w:val="00E714F3"/>
    <w:rsid w:val="00E72CDA"/>
    <w:rsid w:val="00E73F76"/>
    <w:rsid w:val="00E8027B"/>
    <w:rsid w:val="00E80A2B"/>
    <w:rsid w:val="00E82E88"/>
    <w:rsid w:val="00E82EDF"/>
    <w:rsid w:val="00E8321B"/>
    <w:rsid w:val="00E83532"/>
    <w:rsid w:val="00E8410B"/>
    <w:rsid w:val="00E863D2"/>
    <w:rsid w:val="00E86F17"/>
    <w:rsid w:val="00E87813"/>
    <w:rsid w:val="00E91086"/>
    <w:rsid w:val="00E91A69"/>
    <w:rsid w:val="00E927FA"/>
    <w:rsid w:val="00E927FD"/>
    <w:rsid w:val="00E93119"/>
    <w:rsid w:val="00E932B9"/>
    <w:rsid w:val="00E93593"/>
    <w:rsid w:val="00E93745"/>
    <w:rsid w:val="00E95F36"/>
    <w:rsid w:val="00E96E78"/>
    <w:rsid w:val="00E9705D"/>
    <w:rsid w:val="00E972DA"/>
    <w:rsid w:val="00E978A3"/>
    <w:rsid w:val="00EA0741"/>
    <w:rsid w:val="00EA0B4D"/>
    <w:rsid w:val="00EA124A"/>
    <w:rsid w:val="00EA13FE"/>
    <w:rsid w:val="00EA182B"/>
    <w:rsid w:val="00EA1C77"/>
    <w:rsid w:val="00EA328B"/>
    <w:rsid w:val="00EA38E4"/>
    <w:rsid w:val="00EA3EA4"/>
    <w:rsid w:val="00EA5CFE"/>
    <w:rsid w:val="00EA6149"/>
    <w:rsid w:val="00EA6FEC"/>
    <w:rsid w:val="00EA7F70"/>
    <w:rsid w:val="00EB1CDD"/>
    <w:rsid w:val="00EB7440"/>
    <w:rsid w:val="00EB7795"/>
    <w:rsid w:val="00EB7851"/>
    <w:rsid w:val="00EB7893"/>
    <w:rsid w:val="00EB7FC3"/>
    <w:rsid w:val="00EC1130"/>
    <w:rsid w:val="00EC2CF3"/>
    <w:rsid w:val="00EC3411"/>
    <w:rsid w:val="00EC38F6"/>
    <w:rsid w:val="00EC3B87"/>
    <w:rsid w:val="00EC3D44"/>
    <w:rsid w:val="00EC47B5"/>
    <w:rsid w:val="00EC4F4D"/>
    <w:rsid w:val="00EC7D1F"/>
    <w:rsid w:val="00ED0BC6"/>
    <w:rsid w:val="00ED1A73"/>
    <w:rsid w:val="00ED2FF8"/>
    <w:rsid w:val="00ED50C2"/>
    <w:rsid w:val="00ED6481"/>
    <w:rsid w:val="00ED652A"/>
    <w:rsid w:val="00EE14F0"/>
    <w:rsid w:val="00EE2485"/>
    <w:rsid w:val="00EE2ED1"/>
    <w:rsid w:val="00EE378A"/>
    <w:rsid w:val="00EE3D9D"/>
    <w:rsid w:val="00EE429A"/>
    <w:rsid w:val="00EE4A54"/>
    <w:rsid w:val="00EE4D2F"/>
    <w:rsid w:val="00EE5451"/>
    <w:rsid w:val="00EE63AF"/>
    <w:rsid w:val="00EE7CB7"/>
    <w:rsid w:val="00EF0FA0"/>
    <w:rsid w:val="00EF21C8"/>
    <w:rsid w:val="00EF290E"/>
    <w:rsid w:val="00EF416E"/>
    <w:rsid w:val="00EF4FB2"/>
    <w:rsid w:val="00EF5334"/>
    <w:rsid w:val="00EF617C"/>
    <w:rsid w:val="00EF6A0A"/>
    <w:rsid w:val="00F00320"/>
    <w:rsid w:val="00F00AF3"/>
    <w:rsid w:val="00F022F6"/>
    <w:rsid w:val="00F0234D"/>
    <w:rsid w:val="00F04729"/>
    <w:rsid w:val="00F06E8D"/>
    <w:rsid w:val="00F07726"/>
    <w:rsid w:val="00F077EE"/>
    <w:rsid w:val="00F11586"/>
    <w:rsid w:val="00F11C50"/>
    <w:rsid w:val="00F1208F"/>
    <w:rsid w:val="00F12492"/>
    <w:rsid w:val="00F128B6"/>
    <w:rsid w:val="00F12F03"/>
    <w:rsid w:val="00F14912"/>
    <w:rsid w:val="00F14B76"/>
    <w:rsid w:val="00F14C45"/>
    <w:rsid w:val="00F160E6"/>
    <w:rsid w:val="00F17760"/>
    <w:rsid w:val="00F17B72"/>
    <w:rsid w:val="00F20745"/>
    <w:rsid w:val="00F20B08"/>
    <w:rsid w:val="00F20EE8"/>
    <w:rsid w:val="00F2118C"/>
    <w:rsid w:val="00F22080"/>
    <w:rsid w:val="00F2263E"/>
    <w:rsid w:val="00F22684"/>
    <w:rsid w:val="00F22702"/>
    <w:rsid w:val="00F22F5D"/>
    <w:rsid w:val="00F236C1"/>
    <w:rsid w:val="00F24798"/>
    <w:rsid w:val="00F24B90"/>
    <w:rsid w:val="00F24C79"/>
    <w:rsid w:val="00F26BA4"/>
    <w:rsid w:val="00F30566"/>
    <w:rsid w:val="00F30C81"/>
    <w:rsid w:val="00F3167E"/>
    <w:rsid w:val="00F31A7C"/>
    <w:rsid w:val="00F3211A"/>
    <w:rsid w:val="00F344F2"/>
    <w:rsid w:val="00F34783"/>
    <w:rsid w:val="00F35D02"/>
    <w:rsid w:val="00F36E45"/>
    <w:rsid w:val="00F370C9"/>
    <w:rsid w:val="00F37F41"/>
    <w:rsid w:val="00F40078"/>
    <w:rsid w:val="00F40FCA"/>
    <w:rsid w:val="00F411F3"/>
    <w:rsid w:val="00F41278"/>
    <w:rsid w:val="00F41497"/>
    <w:rsid w:val="00F4152E"/>
    <w:rsid w:val="00F41604"/>
    <w:rsid w:val="00F41D87"/>
    <w:rsid w:val="00F41F01"/>
    <w:rsid w:val="00F42A15"/>
    <w:rsid w:val="00F431AA"/>
    <w:rsid w:val="00F43A1A"/>
    <w:rsid w:val="00F44C20"/>
    <w:rsid w:val="00F45C53"/>
    <w:rsid w:val="00F4679E"/>
    <w:rsid w:val="00F467D6"/>
    <w:rsid w:val="00F46D1D"/>
    <w:rsid w:val="00F507F5"/>
    <w:rsid w:val="00F51A05"/>
    <w:rsid w:val="00F5416B"/>
    <w:rsid w:val="00F548F9"/>
    <w:rsid w:val="00F5511B"/>
    <w:rsid w:val="00F55C87"/>
    <w:rsid w:val="00F56F9C"/>
    <w:rsid w:val="00F601A1"/>
    <w:rsid w:val="00F609A6"/>
    <w:rsid w:val="00F60B36"/>
    <w:rsid w:val="00F63092"/>
    <w:rsid w:val="00F632CE"/>
    <w:rsid w:val="00F642EB"/>
    <w:rsid w:val="00F64852"/>
    <w:rsid w:val="00F64CE5"/>
    <w:rsid w:val="00F661CE"/>
    <w:rsid w:val="00F66468"/>
    <w:rsid w:val="00F6755E"/>
    <w:rsid w:val="00F71BC4"/>
    <w:rsid w:val="00F7251F"/>
    <w:rsid w:val="00F730CA"/>
    <w:rsid w:val="00F731E5"/>
    <w:rsid w:val="00F73C9E"/>
    <w:rsid w:val="00F7478F"/>
    <w:rsid w:val="00F74809"/>
    <w:rsid w:val="00F762D2"/>
    <w:rsid w:val="00F76ADD"/>
    <w:rsid w:val="00F76D3E"/>
    <w:rsid w:val="00F7764B"/>
    <w:rsid w:val="00F77DD5"/>
    <w:rsid w:val="00F803EB"/>
    <w:rsid w:val="00F80668"/>
    <w:rsid w:val="00F812AB"/>
    <w:rsid w:val="00F8269F"/>
    <w:rsid w:val="00F836E8"/>
    <w:rsid w:val="00F844E9"/>
    <w:rsid w:val="00F85544"/>
    <w:rsid w:val="00F871B9"/>
    <w:rsid w:val="00F87947"/>
    <w:rsid w:val="00F902D7"/>
    <w:rsid w:val="00F90834"/>
    <w:rsid w:val="00F90CEA"/>
    <w:rsid w:val="00F9184C"/>
    <w:rsid w:val="00F91FB6"/>
    <w:rsid w:val="00F9251F"/>
    <w:rsid w:val="00F926B5"/>
    <w:rsid w:val="00F930B6"/>
    <w:rsid w:val="00F933AE"/>
    <w:rsid w:val="00F949BD"/>
    <w:rsid w:val="00F94B11"/>
    <w:rsid w:val="00F950EA"/>
    <w:rsid w:val="00F95B0A"/>
    <w:rsid w:val="00F96FE7"/>
    <w:rsid w:val="00FA06F7"/>
    <w:rsid w:val="00FA140C"/>
    <w:rsid w:val="00FA1AE5"/>
    <w:rsid w:val="00FA1B9E"/>
    <w:rsid w:val="00FA2CAE"/>
    <w:rsid w:val="00FA322A"/>
    <w:rsid w:val="00FA3E5A"/>
    <w:rsid w:val="00FA4355"/>
    <w:rsid w:val="00FA5B5E"/>
    <w:rsid w:val="00FA6BA7"/>
    <w:rsid w:val="00FA6C05"/>
    <w:rsid w:val="00FA6FE2"/>
    <w:rsid w:val="00FA7F19"/>
    <w:rsid w:val="00FB06A2"/>
    <w:rsid w:val="00FB1C55"/>
    <w:rsid w:val="00FB1DC6"/>
    <w:rsid w:val="00FB2BFE"/>
    <w:rsid w:val="00FB3090"/>
    <w:rsid w:val="00FB31AD"/>
    <w:rsid w:val="00FB3400"/>
    <w:rsid w:val="00FB353B"/>
    <w:rsid w:val="00FB3567"/>
    <w:rsid w:val="00FB3E51"/>
    <w:rsid w:val="00FB3F62"/>
    <w:rsid w:val="00FB4777"/>
    <w:rsid w:val="00FB576A"/>
    <w:rsid w:val="00FB58B5"/>
    <w:rsid w:val="00FB6685"/>
    <w:rsid w:val="00FB75A0"/>
    <w:rsid w:val="00FC0A8C"/>
    <w:rsid w:val="00FC0D23"/>
    <w:rsid w:val="00FC1C58"/>
    <w:rsid w:val="00FC1F05"/>
    <w:rsid w:val="00FC2549"/>
    <w:rsid w:val="00FC30E2"/>
    <w:rsid w:val="00FC35CD"/>
    <w:rsid w:val="00FC39C1"/>
    <w:rsid w:val="00FC4FBD"/>
    <w:rsid w:val="00FC5507"/>
    <w:rsid w:val="00FC653C"/>
    <w:rsid w:val="00FC7177"/>
    <w:rsid w:val="00FC728B"/>
    <w:rsid w:val="00FC7BAB"/>
    <w:rsid w:val="00FD01F1"/>
    <w:rsid w:val="00FD02A8"/>
    <w:rsid w:val="00FD0B37"/>
    <w:rsid w:val="00FD0DB0"/>
    <w:rsid w:val="00FD10F1"/>
    <w:rsid w:val="00FD1213"/>
    <w:rsid w:val="00FD196F"/>
    <w:rsid w:val="00FD2019"/>
    <w:rsid w:val="00FD2B56"/>
    <w:rsid w:val="00FD3EA0"/>
    <w:rsid w:val="00FD42D3"/>
    <w:rsid w:val="00FD4623"/>
    <w:rsid w:val="00FD4860"/>
    <w:rsid w:val="00FD5DFA"/>
    <w:rsid w:val="00FD66C1"/>
    <w:rsid w:val="00FD739F"/>
    <w:rsid w:val="00FD7704"/>
    <w:rsid w:val="00FE17EB"/>
    <w:rsid w:val="00FE2010"/>
    <w:rsid w:val="00FE259B"/>
    <w:rsid w:val="00FE2609"/>
    <w:rsid w:val="00FE27A4"/>
    <w:rsid w:val="00FE27AE"/>
    <w:rsid w:val="00FE4313"/>
    <w:rsid w:val="00FE60F2"/>
    <w:rsid w:val="00FE6286"/>
    <w:rsid w:val="00FE629B"/>
    <w:rsid w:val="00FE6AAF"/>
    <w:rsid w:val="00FE7613"/>
    <w:rsid w:val="00FF07AF"/>
    <w:rsid w:val="00FF09FD"/>
    <w:rsid w:val="00FF15B9"/>
    <w:rsid w:val="00FF23D4"/>
    <w:rsid w:val="00FF59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d5d2ca"/>
    </o:shapedefaults>
    <o:shapelayout v:ext="edit">
      <o:idmap v:ext="edit" data="1"/>
    </o:shapelayout>
  </w:shapeDefaults>
  <w:decimalSymbol w:val="."/>
  <w:listSeparator w:val=","/>
  <w15:docId w15:val="{6CF2E027-BF47-4660-A56E-7A86A7231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libri" w:hAnsi="Cambria"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locked="1"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qFormat="1"/>
    <w:lsdException w:name="caption" w:semiHidden="1" w:uiPriority="35" w:unhideWhenUsed="1" w:qFormat="1"/>
    <w:lsdException w:name="table of figures" w:semiHidden="1" w:unhideWhenUsed="1" w:qFormat="1"/>
    <w:lsdException w:name="envelope address" w:semiHidden="1" w:unhideWhenUsed="1" w:qFormat="1"/>
    <w:lsdException w:name="envelope return" w:semiHidden="1" w:unhideWhenUsed="1" w:qFormat="1"/>
    <w:lsdException w:name="footnote reference" w:semiHidden="1" w:unhideWhenUsed="1" w:qFormat="1"/>
    <w:lsdException w:name="annotation reference" w:semiHidden="1" w:unhideWhenUsed="1" w:qFormat="1"/>
    <w:lsdException w:name="line number" w:semiHidden="1" w:unhideWhenUsed="1" w:qFormat="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qFormat="1"/>
    <w:lsdException w:name="macro" w:semiHidden="1" w:unhideWhenUsed="1" w:qFormat="1"/>
    <w:lsdException w:name="toa heading" w:semiHidden="1" w:unhideWhenUsed="1" w:qFormat="1"/>
    <w:lsdException w:name="List" w:semiHidden="1" w:unhideWhenUsed="1" w:qFormat="1"/>
    <w:lsdException w:name="List Bullet" w:semiHidden="1" w:uiPriority="7" w:unhideWhenUsed="1" w:qFormat="1"/>
    <w:lsdException w:name="List Number" w:semiHidden="1" w:unhideWhenUsed="1" w:qFormat="1"/>
    <w:lsdException w:name="List 2" w:semiHidden="1" w:unhideWhenUsed="1" w:qFormat="1"/>
    <w:lsdException w:name="List 3" w:semiHidden="1" w:unhideWhenUsed="1" w:qFormat="1"/>
    <w:lsdException w:name="List 4" w:semiHidden="1" w:unhideWhenUsed="1" w:qFormat="1"/>
    <w:lsdException w:name="List 5" w:semiHidden="1" w:unhideWhenUsed="1" w:qFormat="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uiPriority="10" w:qFormat="1"/>
    <w:lsdException w:name="Closing" w:semiHidden="1" w:unhideWhenUsed="1" w:qFormat="1"/>
    <w:lsdException w:name="Signature" w:semiHidden="1" w:unhideWhenUsed="1" w:qFormat="1"/>
    <w:lsdException w:name="Default Paragraph Font" w:semiHidden="1" w:uiPriority="1" w:unhideWhenUsed="1" w:qFormat="1"/>
    <w:lsdException w:name="Body Text" w:semiHidden="1" w:unhideWhenUsed="1" w:qFormat="1"/>
    <w:lsdException w:name="Body Text Indent" w:semiHidden="1" w:unhideWhenUsed="1" w:qFormat="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qFormat="1"/>
    <w:lsdException w:name="List Continue 5" w:semiHidden="1" w:unhideWhenUsed="1" w:qFormat="1"/>
    <w:lsdException w:name="Message Header" w:semiHidden="1" w:unhideWhenUsed="1" w:qFormat="1"/>
    <w:lsdException w:name="Subtitle" w:uiPriority="11" w:qFormat="1"/>
    <w:lsdException w:name="Salutation" w:semiHidden="1" w:unhideWhenUsed="1" w:qFormat="1"/>
    <w:lsdException w:name="Date" w:semiHidden="1" w:unhideWhenUsed="1" w:qFormat="1"/>
    <w:lsdException w:name="Body Text First Indent" w:semiHidden="1" w:unhideWhenUsed="1" w:qFormat="1"/>
    <w:lsdException w:name="Body Text First Indent 2" w:semiHidden="1" w:unhideWhenUsed="1" w:qFormat="1"/>
    <w:lsdException w:name="Note Heading" w:semiHidden="1" w:unhideWhenUsed="1" w:qFormat="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semiHidden="1" w:unhideWhenUsed="1" w:qFormat="1"/>
    <w:lsdException w:name="FollowedHyperlink" w:semiHidden="1" w:unhideWhenUsed="1" w:qFormat="1"/>
    <w:lsdException w:name="Strong" w:qFormat="1"/>
    <w:lsdException w:name="Emphasis" w:uiPriority="20" w:qFormat="1"/>
    <w:lsdException w:name="Document Map" w:semiHidden="1" w:unhideWhenUsed="1" w:qFormat="1"/>
    <w:lsdException w:name="Plain Text" w:semiHidden="1" w:unhideWhenUsed="1" w:qFormat="1"/>
    <w:lsdException w:name="E-mail Signature" w:semiHidden="1" w:unhideWhenUsed="1" w:qFormat="1"/>
    <w:lsdException w:name="HTML Top of Form" w:semiHidden="1" w:unhideWhenUsed="1"/>
    <w:lsdException w:name="HTML Bottom of Form" w:semiHidden="1" w:unhideWhenUsed="1"/>
    <w:lsdException w:name="Normal (Web)" w:semiHidden="1" w:unhideWhenUsed="1" w:qFormat="1"/>
    <w:lsdException w:name="HTML Acronym" w:semiHidden="1" w:unhideWhenUsed="1" w:qFormat="1"/>
    <w:lsdException w:name="HTML Address" w:semiHidden="1" w:unhideWhenUsed="1" w:qFormat="1"/>
    <w:lsdException w:name="HTML Cite" w:semiHidden="1" w:unhideWhenUsed="1" w:qFormat="1"/>
    <w:lsdException w:name="HTML Code" w:semiHidden="1" w:unhideWhenUsed="1" w:qFormat="1"/>
    <w:lsdException w:name="HTML Definition" w:semiHidden="1" w:unhideWhenUsed="1" w:qFormat="1"/>
    <w:lsdException w:name="HTML Keyboard" w:semiHidden="1" w:unhideWhenUsed="1" w:qFormat="1"/>
    <w:lsdException w:name="HTML Preformatted" w:semiHidden="1" w:unhideWhenUsed="1" w:qFormat="1"/>
    <w:lsdException w:name="HTML Sample" w:semiHidden="1" w:unhideWhenUsed="1" w:qFormat="1"/>
    <w:lsdException w:name="HTML Typewriter" w:semiHidden="1" w:unhideWhenUsed="1" w:qFormat="1"/>
    <w:lsdException w:name="HTML Variable" w:semiHidden="1" w:unhideWhenUsed="1" w:qFormat="1"/>
    <w:lsdException w:name="Normal Table" w:semiHidden="1" w:unhideWhenUsed="1"/>
    <w:lsdException w:name="annotation subject" w:semiHidden="1" w:unhideWhenUsed="1" w:qFormat="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qFormat="1"/>
    <w:lsdException w:name="Table Grid" w:uiPriority="59"/>
    <w:lsdException w:name="Table Theme" w:locked="1" w:semiHidden="1" w:unhideWhenUsed="1"/>
    <w:lsdException w:name="Placeholder Text" w:semiHidden="1" w:qFormat="1"/>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1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locked="1" w:uiPriority="31" w:qFormat="1"/>
    <w:lsdException w:name="Intense Reference" w:locked="1"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1B64B3"/>
    <w:pPr>
      <w:spacing w:after="200" w:line="280" w:lineRule="atLeast"/>
    </w:pPr>
    <w:rPr>
      <w:color w:val="000000" w:themeColor="text1"/>
      <w:sz w:val="22"/>
      <w:szCs w:val="22"/>
      <w:lang w:eastAsia="en-US"/>
    </w:rPr>
  </w:style>
  <w:style w:type="paragraph" w:styleId="Heading1">
    <w:name w:val="heading 1"/>
    <w:next w:val="BodyText1"/>
    <w:link w:val="Heading1Char"/>
    <w:uiPriority w:val="10"/>
    <w:qFormat/>
    <w:rsid w:val="00AE275F"/>
    <w:pPr>
      <w:keepNext/>
      <w:keepLines/>
      <w:pageBreakBefore/>
      <w:numPr>
        <w:numId w:val="1"/>
      </w:numPr>
      <w:spacing w:after="284" w:line="180" w:lineRule="auto"/>
      <w:ind w:left="709" w:hanging="709"/>
      <w:outlineLvl w:val="0"/>
    </w:pPr>
    <w:rPr>
      <w:rFonts w:ascii="Calibri" w:eastAsiaTheme="majorEastAsia" w:hAnsi="Calibri" w:cstheme="majorBidi"/>
      <w:bCs/>
      <w:color w:val="000000" w:themeColor="text1"/>
      <w:sz w:val="56"/>
      <w:szCs w:val="28"/>
      <w:lang w:eastAsia="en-US"/>
    </w:rPr>
  </w:style>
  <w:style w:type="paragraph" w:styleId="Heading2">
    <w:name w:val="heading 2"/>
    <w:next w:val="BodyText1"/>
    <w:link w:val="Heading2Char"/>
    <w:uiPriority w:val="11"/>
    <w:qFormat/>
    <w:rsid w:val="00250A35"/>
    <w:pPr>
      <w:keepNext/>
      <w:keepLines/>
      <w:spacing w:before="170" w:after="170"/>
      <w:outlineLvl w:val="1"/>
    </w:pPr>
    <w:rPr>
      <w:rFonts w:eastAsiaTheme="majorEastAsia" w:cstheme="majorBidi"/>
      <w:b/>
      <w:bCs/>
      <w:color w:val="FF7900"/>
      <w:sz w:val="34"/>
      <w:szCs w:val="26"/>
      <w:lang w:eastAsia="en-US"/>
    </w:rPr>
  </w:style>
  <w:style w:type="paragraph" w:styleId="Heading3">
    <w:name w:val="heading 3"/>
    <w:next w:val="Normal"/>
    <w:link w:val="Heading3Char"/>
    <w:uiPriority w:val="12"/>
    <w:qFormat/>
    <w:rsid w:val="00AE275F"/>
    <w:pPr>
      <w:keepNext/>
      <w:keepLines/>
      <w:spacing w:before="147" w:after="79"/>
      <w:outlineLvl w:val="2"/>
    </w:pPr>
    <w:rPr>
      <w:rFonts w:eastAsiaTheme="majorEastAsia" w:cstheme="majorBidi"/>
      <w:b/>
      <w:bCs/>
      <w:color w:val="DE3831"/>
      <w:sz w:val="28"/>
      <w:szCs w:val="22"/>
      <w:lang w:eastAsia="en-US"/>
    </w:rPr>
  </w:style>
  <w:style w:type="paragraph" w:styleId="Heading4">
    <w:name w:val="heading 4"/>
    <w:next w:val="BodyText1"/>
    <w:link w:val="Heading4Char"/>
    <w:uiPriority w:val="13"/>
    <w:qFormat/>
    <w:rsid w:val="00AE275F"/>
    <w:pPr>
      <w:keepNext/>
      <w:keepLines/>
      <w:spacing w:before="57" w:after="57"/>
      <w:ind w:right="200"/>
      <w:outlineLvl w:val="3"/>
    </w:pPr>
    <w:rPr>
      <w:rFonts w:eastAsiaTheme="majorEastAsia" w:cstheme="majorBidi"/>
      <w:b/>
      <w:bCs/>
      <w:iCs/>
      <w:color w:val="000000" w:themeColor="text1"/>
      <w:sz w:val="24"/>
      <w:szCs w:val="22"/>
      <w:lang w:eastAsia="en-US"/>
    </w:rPr>
  </w:style>
  <w:style w:type="paragraph" w:styleId="Heading5">
    <w:name w:val="heading 5"/>
    <w:basedOn w:val="Heading4"/>
    <w:next w:val="Normal"/>
    <w:link w:val="Heading5Char"/>
    <w:uiPriority w:val="9"/>
    <w:semiHidden/>
    <w:qFormat/>
    <w:locked/>
    <w:rsid w:val="00080E8B"/>
    <w:pPr>
      <w:outlineLvl w:val="4"/>
    </w:pPr>
  </w:style>
  <w:style w:type="paragraph" w:styleId="Heading6">
    <w:name w:val="heading 6"/>
    <w:basedOn w:val="Heading5"/>
    <w:next w:val="Normal"/>
    <w:link w:val="Heading6Char"/>
    <w:uiPriority w:val="9"/>
    <w:semiHidden/>
    <w:qFormat/>
    <w:locked/>
    <w:rsid w:val="00080E8B"/>
    <w:pPr>
      <w:outlineLvl w:val="5"/>
    </w:pPr>
  </w:style>
  <w:style w:type="paragraph" w:styleId="Heading7">
    <w:name w:val="heading 7"/>
    <w:basedOn w:val="Normal"/>
    <w:next w:val="Normal"/>
    <w:link w:val="Heading7Char"/>
    <w:uiPriority w:val="9"/>
    <w:semiHidden/>
    <w:qFormat/>
    <w:locked/>
    <w:rsid w:val="00080E8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locked/>
    <w:rsid w:val="00080E8B"/>
    <w:pPr>
      <w:keepNext/>
      <w:keepLines/>
      <w:spacing w:before="200" w:after="0"/>
      <w:outlineLvl w:val="7"/>
    </w:pPr>
    <w:rPr>
      <w:rFonts w:asciiTheme="majorHAnsi" w:eastAsiaTheme="majorEastAsia" w:hAnsiTheme="majorHAnsi" w:cstheme="majorBidi"/>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semiHidden/>
    <w:rsid w:val="002E215F"/>
    <w:rPr>
      <w:rFonts w:asciiTheme="minorHAnsi" w:eastAsiaTheme="majorEastAsia" w:hAnsiTheme="minorHAnsi" w:cstheme="majorBidi"/>
      <w:b/>
      <w:bCs/>
      <w:iCs/>
      <w:color w:val="000000" w:themeColor="text1"/>
      <w:sz w:val="24"/>
      <w:szCs w:val="22"/>
      <w:lang w:eastAsia="en-US"/>
    </w:rPr>
  </w:style>
  <w:style w:type="paragraph" w:customStyle="1" w:styleId="Referenceheading">
    <w:name w:val="Reference heading"/>
    <w:semiHidden/>
    <w:qFormat/>
    <w:rsid w:val="007A1F47"/>
    <w:pPr>
      <w:spacing w:after="284"/>
    </w:pPr>
    <w:rPr>
      <w:rFonts w:asciiTheme="minorHAnsi" w:eastAsiaTheme="majorEastAsia" w:hAnsiTheme="minorHAnsi" w:cstheme="majorBidi"/>
      <w:b/>
      <w:color w:val="000000" w:themeColor="text1"/>
      <w:sz w:val="44"/>
      <w:szCs w:val="28"/>
      <w:lang w:eastAsia="en-US"/>
    </w:rPr>
  </w:style>
  <w:style w:type="paragraph" w:styleId="Subtitle">
    <w:name w:val="Subtitle"/>
    <w:aliases w:val="Supplementary document title"/>
    <w:next w:val="Normal"/>
    <w:link w:val="SubtitleChar"/>
    <w:uiPriority w:val="99"/>
    <w:qFormat/>
    <w:rsid w:val="004B2707"/>
    <w:pPr>
      <w:numPr>
        <w:ilvl w:val="1"/>
      </w:numPr>
    </w:pPr>
    <w:rPr>
      <w:rFonts w:eastAsiaTheme="majorEastAsia" w:cstheme="majorBidi"/>
      <w:iCs/>
      <w:color w:val="000000" w:themeColor="text1"/>
      <w:spacing w:val="15"/>
      <w:sz w:val="44"/>
      <w:szCs w:val="24"/>
      <w:lang w:eastAsia="en-US"/>
    </w:rPr>
  </w:style>
  <w:style w:type="paragraph" w:customStyle="1" w:styleId="Notesourcetext">
    <w:name w:val="Note/source text"/>
    <w:next w:val="BodyText1"/>
    <w:link w:val="NotesourcetextChar"/>
    <w:autoRedefine/>
    <w:uiPriority w:val="25"/>
    <w:qFormat/>
    <w:rsid w:val="006915B8"/>
    <w:pPr>
      <w:keepLines/>
      <w:spacing w:after="240"/>
      <w:contextualSpacing/>
    </w:pPr>
    <w:rPr>
      <w:rFonts w:ascii="Calibri" w:hAnsi="Calibri"/>
      <w:color w:val="000000" w:themeColor="text1"/>
      <w:sz w:val="18"/>
      <w:szCs w:val="22"/>
      <w:lang w:eastAsia="en-US"/>
    </w:rPr>
  </w:style>
  <w:style w:type="paragraph" w:styleId="Title">
    <w:name w:val="Title"/>
    <w:aliases w:val="Document title"/>
    <w:next w:val="Normal"/>
    <w:link w:val="TitleChar"/>
    <w:uiPriority w:val="49"/>
    <w:semiHidden/>
    <w:qFormat/>
    <w:rsid w:val="008C6165"/>
    <w:pPr>
      <w:spacing w:after="240"/>
      <w:ind w:right="397"/>
      <w:contextualSpacing/>
    </w:pPr>
    <w:rPr>
      <w:rFonts w:eastAsiaTheme="majorEastAsia" w:cstheme="majorBidi"/>
      <w:b/>
      <w:color w:val="000000" w:themeColor="text1"/>
      <w:spacing w:val="5"/>
      <w:kern w:val="28"/>
      <w:sz w:val="48"/>
      <w:szCs w:val="52"/>
      <w:lang w:eastAsia="en-US"/>
    </w:rPr>
  </w:style>
  <w:style w:type="character" w:customStyle="1" w:styleId="SubtitleChar">
    <w:name w:val="Subtitle Char"/>
    <w:aliases w:val="Supplementary document title Char"/>
    <w:basedOn w:val="DefaultParagraphFont"/>
    <w:link w:val="Subtitle"/>
    <w:uiPriority w:val="99"/>
    <w:rsid w:val="00607B5C"/>
    <w:rPr>
      <w:rFonts w:eastAsiaTheme="majorEastAsia" w:cstheme="majorBidi"/>
      <w:iCs/>
      <w:color w:val="000000" w:themeColor="text1"/>
      <w:spacing w:val="15"/>
      <w:sz w:val="44"/>
      <w:szCs w:val="24"/>
      <w:lang w:eastAsia="en-US"/>
    </w:rPr>
  </w:style>
  <w:style w:type="character" w:customStyle="1" w:styleId="TitleChar">
    <w:name w:val="Title Char"/>
    <w:aliases w:val="Document title Char"/>
    <w:basedOn w:val="DefaultParagraphFont"/>
    <w:link w:val="Title"/>
    <w:uiPriority w:val="49"/>
    <w:semiHidden/>
    <w:rsid w:val="008C6165"/>
    <w:rPr>
      <w:rFonts w:eastAsiaTheme="majorEastAsia" w:cstheme="majorBidi"/>
      <w:b/>
      <w:color w:val="000000" w:themeColor="text1"/>
      <w:spacing w:val="5"/>
      <w:kern w:val="28"/>
      <w:sz w:val="48"/>
      <w:szCs w:val="52"/>
      <w:lang w:eastAsia="en-US"/>
    </w:rPr>
  </w:style>
  <w:style w:type="character" w:customStyle="1" w:styleId="Heading1Char">
    <w:name w:val="Heading 1 Char"/>
    <w:basedOn w:val="DefaultParagraphFont"/>
    <w:link w:val="Heading1"/>
    <w:uiPriority w:val="10"/>
    <w:rsid w:val="00AE275F"/>
    <w:rPr>
      <w:rFonts w:ascii="Calibri" w:eastAsiaTheme="majorEastAsia" w:hAnsi="Calibri" w:cstheme="majorBidi"/>
      <w:bCs/>
      <w:color w:val="000000" w:themeColor="text1"/>
      <w:sz w:val="56"/>
      <w:szCs w:val="28"/>
      <w:lang w:eastAsia="en-US"/>
    </w:rPr>
  </w:style>
  <w:style w:type="character" w:customStyle="1" w:styleId="Heading2Char">
    <w:name w:val="Heading 2 Char"/>
    <w:basedOn w:val="DefaultParagraphFont"/>
    <w:link w:val="Heading2"/>
    <w:uiPriority w:val="11"/>
    <w:rsid w:val="00250A35"/>
    <w:rPr>
      <w:rFonts w:eastAsiaTheme="majorEastAsia" w:cstheme="majorBidi"/>
      <w:b/>
      <w:bCs/>
      <w:color w:val="FF7900"/>
      <w:sz w:val="34"/>
      <w:szCs w:val="26"/>
      <w:lang w:eastAsia="en-US"/>
    </w:rPr>
  </w:style>
  <w:style w:type="character" w:customStyle="1" w:styleId="Heading3Char">
    <w:name w:val="Heading 3 Char"/>
    <w:basedOn w:val="DefaultParagraphFont"/>
    <w:link w:val="Heading3"/>
    <w:uiPriority w:val="12"/>
    <w:rsid w:val="00AE275F"/>
    <w:rPr>
      <w:rFonts w:eastAsiaTheme="majorEastAsia" w:cstheme="majorBidi"/>
      <w:b/>
      <w:bCs/>
      <w:color w:val="DE3831"/>
      <w:sz w:val="28"/>
      <w:szCs w:val="22"/>
      <w:lang w:eastAsia="en-US"/>
    </w:rPr>
  </w:style>
  <w:style w:type="character" w:customStyle="1" w:styleId="Heading4Char">
    <w:name w:val="Heading 4 Char"/>
    <w:basedOn w:val="DefaultParagraphFont"/>
    <w:link w:val="Heading4"/>
    <w:uiPriority w:val="13"/>
    <w:rsid w:val="00AE275F"/>
    <w:rPr>
      <w:rFonts w:eastAsiaTheme="majorEastAsia" w:cstheme="majorBidi"/>
      <w:b/>
      <w:bCs/>
      <w:iCs/>
      <w:color w:val="000000" w:themeColor="text1"/>
      <w:sz w:val="24"/>
      <w:szCs w:val="22"/>
      <w:lang w:eastAsia="en-US"/>
    </w:rPr>
  </w:style>
  <w:style w:type="character" w:customStyle="1" w:styleId="Heading5Char">
    <w:name w:val="Heading 5 Char"/>
    <w:basedOn w:val="DefaultParagraphFont"/>
    <w:link w:val="Heading5"/>
    <w:uiPriority w:val="9"/>
    <w:semiHidden/>
    <w:rsid w:val="002E215F"/>
    <w:rPr>
      <w:rFonts w:asciiTheme="minorHAnsi" w:eastAsiaTheme="majorEastAsia" w:hAnsiTheme="minorHAnsi" w:cstheme="majorBidi"/>
      <w:b/>
      <w:bCs/>
      <w:iCs/>
      <w:color w:val="000000" w:themeColor="text1"/>
      <w:sz w:val="24"/>
      <w:szCs w:val="22"/>
      <w:lang w:eastAsia="en-US"/>
    </w:rPr>
  </w:style>
  <w:style w:type="paragraph" w:customStyle="1" w:styleId="Titlepageheading">
    <w:name w:val="Title page heading"/>
    <w:link w:val="TitlepageheadingChar"/>
    <w:uiPriority w:val="29"/>
    <w:qFormat/>
    <w:rsid w:val="004A6B39"/>
    <w:pPr>
      <w:tabs>
        <w:tab w:val="left" w:pos="1418"/>
      </w:tabs>
      <w:ind w:left="1418"/>
    </w:pPr>
    <w:rPr>
      <w:rFonts w:eastAsiaTheme="majorEastAsia" w:cstheme="majorBidi"/>
      <w:b/>
      <w:color w:val="000000" w:themeColor="text1"/>
      <w:spacing w:val="5"/>
      <w:kern w:val="28"/>
      <w:sz w:val="48"/>
      <w:szCs w:val="52"/>
      <w:lang w:eastAsia="en-US"/>
    </w:rPr>
  </w:style>
  <w:style w:type="paragraph" w:styleId="TOCHeading">
    <w:name w:val="TOC Heading"/>
    <w:next w:val="Normal"/>
    <w:uiPriority w:val="39"/>
    <w:qFormat/>
    <w:rsid w:val="00C05EF5"/>
    <w:pPr>
      <w:spacing w:before="600" w:after="284"/>
    </w:pPr>
    <w:rPr>
      <w:rFonts w:asciiTheme="minorHAnsi" w:eastAsiaTheme="majorEastAsia" w:hAnsiTheme="minorHAnsi" w:cstheme="minorHAnsi"/>
      <w:bCs/>
      <w:sz w:val="44"/>
      <w:szCs w:val="44"/>
      <w:lang w:val="en-US" w:eastAsia="ja-JP"/>
    </w:rPr>
  </w:style>
  <w:style w:type="character" w:customStyle="1" w:styleId="TitlepageheadingChar">
    <w:name w:val="Title page heading Char"/>
    <w:basedOn w:val="TitleChar"/>
    <w:link w:val="Titlepageheading"/>
    <w:uiPriority w:val="29"/>
    <w:rsid w:val="004A6B39"/>
    <w:rPr>
      <w:rFonts w:eastAsiaTheme="majorEastAsia" w:cstheme="majorBidi"/>
      <w:b/>
      <w:color w:val="000000" w:themeColor="text1"/>
      <w:spacing w:val="5"/>
      <w:kern w:val="28"/>
      <w:sz w:val="48"/>
      <w:szCs w:val="52"/>
      <w:lang w:eastAsia="en-US"/>
    </w:rPr>
  </w:style>
  <w:style w:type="paragraph" w:styleId="TOC1">
    <w:name w:val="toc 1"/>
    <w:basedOn w:val="TOC4"/>
    <w:next w:val="Normal"/>
    <w:autoRedefine/>
    <w:uiPriority w:val="39"/>
    <w:unhideWhenUsed/>
    <w:qFormat/>
    <w:rsid w:val="00286A96"/>
    <w:rPr>
      <w:b w:val="0"/>
      <w:noProof/>
    </w:rPr>
  </w:style>
  <w:style w:type="paragraph" w:styleId="TOC2">
    <w:name w:val="toc 2"/>
    <w:basedOn w:val="Normal"/>
    <w:next w:val="Normal"/>
    <w:autoRedefine/>
    <w:uiPriority w:val="39"/>
    <w:unhideWhenUsed/>
    <w:qFormat/>
    <w:rsid w:val="000B5D75"/>
    <w:pPr>
      <w:tabs>
        <w:tab w:val="right" w:pos="426"/>
        <w:tab w:val="right" w:pos="9072"/>
      </w:tabs>
      <w:spacing w:after="100" w:line="240" w:lineRule="atLeast"/>
      <w:ind w:left="425"/>
    </w:pPr>
    <w:rPr>
      <w:noProof/>
      <w:szCs w:val="24"/>
    </w:rPr>
  </w:style>
  <w:style w:type="paragraph" w:styleId="TOC3">
    <w:name w:val="toc 3"/>
    <w:basedOn w:val="Normal"/>
    <w:next w:val="Normal"/>
    <w:autoRedefine/>
    <w:uiPriority w:val="39"/>
    <w:unhideWhenUsed/>
    <w:qFormat/>
    <w:rsid w:val="00286A96"/>
    <w:pPr>
      <w:tabs>
        <w:tab w:val="right" w:pos="9072"/>
      </w:tabs>
      <w:spacing w:after="100"/>
      <w:ind w:left="567" w:hanging="567"/>
    </w:pPr>
    <w:rPr>
      <w:noProof/>
      <w:sz w:val="24"/>
    </w:rPr>
  </w:style>
  <w:style w:type="character" w:styleId="Hyperlink">
    <w:name w:val="Hyperlink"/>
    <w:uiPriority w:val="99"/>
    <w:qFormat/>
    <w:rsid w:val="009706F0"/>
    <w:rPr>
      <w:color w:val="0000FF" w:themeColor="hyperlink"/>
      <w:u w:val="single"/>
    </w:rPr>
  </w:style>
  <w:style w:type="paragraph" w:styleId="BalloonText">
    <w:name w:val="Balloon Text"/>
    <w:basedOn w:val="Normal"/>
    <w:link w:val="BalloonTextChar"/>
    <w:uiPriority w:val="99"/>
    <w:semiHidden/>
    <w:unhideWhenUsed/>
    <w:qFormat/>
    <w:rsid w:val="00970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6F0"/>
    <w:rPr>
      <w:rFonts w:ascii="Tahoma" w:hAnsi="Tahoma" w:cs="Tahoma"/>
      <w:color w:val="000000" w:themeColor="text1"/>
      <w:sz w:val="16"/>
      <w:szCs w:val="16"/>
      <w:lang w:eastAsia="en-US"/>
    </w:rPr>
  </w:style>
  <w:style w:type="table" w:styleId="TableGrid">
    <w:name w:val="Table Grid"/>
    <w:basedOn w:val="TableNormal"/>
    <w:uiPriority w:val="59"/>
    <w:locked/>
    <w:rsid w:val="00134B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Figure text or caption"/>
    <w:basedOn w:val="Normal"/>
    <w:next w:val="Normal"/>
    <w:autoRedefine/>
    <w:uiPriority w:val="99"/>
    <w:unhideWhenUsed/>
    <w:qFormat/>
    <w:rsid w:val="00D0333C"/>
    <w:pPr>
      <w:keepNext/>
      <w:spacing w:after="120" w:line="240" w:lineRule="auto"/>
    </w:pPr>
    <w:rPr>
      <w:rFonts w:asciiTheme="minorHAnsi" w:hAnsiTheme="minorHAnsi"/>
      <w:b/>
      <w:bCs/>
      <w:color w:val="808080" w:themeColor="background1" w:themeShade="80"/>
      <w:sz w:val="24"/>
      <w:szCs w:val="18"/>
    </w:rPr>
  </w:style>
  <w:style w:type="paragraph" w:styleId="Header">
    <w:name w:val="header"/>
    <w:basedOn w:val="Normal"/>
    <w:link w:val="HeaderChar"/>
    <w:uiPriority w:val="99"/>
    <w:semiHidden/>
    <w:qFormat/>
    <w:rsid w:val="0094414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E215F"/>
    <w:rPr>
      <w:color w:val="000000" w:themeColor="text1"/>
      <w:sz w:val="22"/>
      <w:szCs w:val="22"/>
      <w:lang w:eastAsia="en-US"/>
    </w:rPr>
  </w:style>
  <w:style w:type="paragraph" w:styleId="Footer">
    <w:name w:val="footer"/>
    <w:basedOn w:val="Normal"/>
    <w:link w:val="FooterChar"/>
    <w:uiPriority w:val="99"/>
    <w:qFormat/>
    <w:rsid w:val="009441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215F"/>
    <w:rPr>
      <w:color w:val="000000" w:themeColor="text1"/>
      <w:sz w:val="22"/>
      <w:szCs w:val="22"/>
      <w:lang w:eastAsia="en-US"/>
    </w:rPr>
  </w:style>
  <w:style w:type="paragraph" w:styleId="TableofFigures">
    <w:name w:val="table of figures"/>
    <w:basedOn w:val="TOC1"/>
    <w:next w:val="Normal"/>
    <w:uiPriority w:val="99"/>
    <w:qFormat/>
    <w:rsid w:val="00826756"/>
    <w:pPr>
      <w:tabs>
        <w:tab w:val="clear" w:pos="425"/>
        <w:tab w:val="left" w:pos="851"/>
      </w:tabs>
      <w:ind w:left="1021" w:right="1276" w:hanging="1021"/>
    </w:pPr>
  </w:style>
  <w:style w:type="paragraph" w:styleId="Revision">
    <w:name w:val="Revision"/>
    <w:hidden/>
    <w:uiPriority w:val="99"/>
    <w:semiHidden/>
    <w:rsid w:val="0087380E"/>
    <w:rPr>
      <w:color w:val="000000" w:themeColor="text1"/>
      <w:szCs w:val="22"/>
      <w:lang w:eastAsia="en-US"/>
    </w:rPr>
  </w:style>
  <w:style w:type="character" w:styleId="IntenseEmphasis">
    <w:name w:val="Intense Emphasis"/>
    <w:aliases w:val="Bold Italics"/>
    <w:basedOn w:val="DefaultParagraphFont"/>
    <w:uiPriority w:val="99"/>
    <w:qFormat/>
    <w:rsid w:val="001519F0"/>
    <w:rPr>
      <w:rFonts w:ascii="Cambria" w:hAnsi="Cambria"/>
      <w:b/>
      <w:bCs/>
      <w:i/>
      <w:iCs/>
      <w:color w:val="auto"/>
    </w:rPr>
  </w:style>
  <w:style w:type="character" w:customStyle="1" w:styleId="Heading7Char">
    <w:name w:val="Heading 7 Char"/>
    <w:basedOn w:val="DefaultParagraphFont"/>
    <w:link w:val="Heading7"/>
    <w:uiPriority w:val="9"/>
    <w:semiHidden/>
    <w:rsid w:val="002E215F"/>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2E215F"/>
    <w:rPr>
      <w:rFonts w:asciiTheme="majorHAnsi" w:eastAsiaTheme="majorEastAsia" w:hAnsiTheme="majorHAnsi" w:cstheme="majorBidi"/>
      <w:color w:val="404040" w:themeColor="text1" w:themeTint="BF"/>
      <w:sz w:val="22"/>
      <w:lang w:eastAsia="en-US"/>
    </w:rPr>
  </w:style>
  <w:style w:type="character" w:styleId="SubtleEmphasis">
    <w:name w:val="Subtle Emphasis"/>
    <w:basedOn w:val="DefaultParagraphFont"/>
    <w:uiPriority w:val="19"/>
    <w:semiHidden/>
    <w:qFormat/>
    <w:locked/>
    <w:rsid w:val="00F77DD5"/>
    <w:rPr>
      <w:i/>
      <w:iCs/>
      <w:color w:val="808080" w:themeColor="text1" w:themeTint="7F"/>
    </w:rPr>
  </w:style>
  <w:style w:type="character" w:styleId="Emphasis">
    <w:name w:val="Emphasis"/>
    <w:basedOn w:val="DefaultParagraphFont"/>
    <w:uiPriority w:val="20"/>
    <w:qFormat/>
    <w:rsid w:val="00F77DD5"/>
    <w:rPr>
      <w:i/>
      <w:iCs/>
    </w:rPr>
  </w:style>
  <w:style w:type="character" w:styleId="Strong">
    <w:name w:val="Strong"/>
    <w:basedOn w:val="DefaultParagraphFont"/>
    <w:uiPriority w:val="99"/>
    <w:qFormat/>
    <w:rsid w:val="00FA2CAE"/>
    <w:rPr>
      <w:b/>
      <w:bCs/>
      <w:color w:val="auto"/>
    </w:rPr>
  </w:style>
  <w:style w:type="paragraph" w:styleId="Quote">
    <w:name w:val="Quote"/>
    <w:basedOn w:val="Normal"/>
    <w:next w:val="Normal"/>
    <w:link w:val="QuoteChar"/>
    <w:uiPriority w:val="99"/>
    <w:qFormat/>
    <w:rsid w:val="004C17A0"/>
    <w:pPr>
      <w:spacing w:before="120" w:after="120" w:line="240" w:lineRule="atLeast"/>
      <w:ind w:left="567" w:right="567"/>
    </w:pPr>
    <w:rPr>
      <w:rFonts w:ascii="Calibri" w:hAnsi="Calibri"/>
      <w:iCs/>
      <w:sz w:val="20"/>
    </w:rPr>
  </w:style>
  <w:style w:type="character" w:customStyle="1" w:styleId="QuoteChar">
    <w:name w:val="Quote Char"/>
    <w:basedOn w:val="DefaultParagraphFont"/>
    <w:link w:val="Quote"/>
    <w:uiPriority w:val="99"/>
    <w:rsid w:val="00607B5C"/>
    <w:rPr>
      <w:rFonts w:ascii="Calibri" w:hAnsi="Calibri"/>
      <w:iCs/>
      <w:color w:val="000000" w:themeColor="text1"/>
      <w:szCs w:val="22"/>
      <w:lang w:eastAsia="en-US"/>
    </w:rPr>
  </w:style>
  <w:style w:type="character" w:styleId="BookTitle">
    <w:name w:val="Book Title"/>
    <w:basedOn w:val="DefaultParagraphFont"/>
    <w:uiPriority w:val="33"/>
    <w:semiHidden/>
    <w:qFormat/>
    <w:rsid w:val="005277D9"/>
    <w:rPr>
      <w:b/>
      <w:bCs/>
      <w:smallCaps/>
      <w:spacing w:val="5"/>
    </w:rPr>
  </w:style>
  <w:style w:type="paragraph" w:customStyle="1" w:styleId="Figuretablesubtitle">
    <w:name w:val="Figure/table subtitle"/>
    <w:next w:val="BodyText1"/>
    <w:link w:val="FiguretablesubtitleChar"/>
    <w:uiPriority w:val="26"/>
    <w:qFormat/>
    <w:rsid w:val="00C30F38"/>
    <w:rPr>
      <w:rFonts w:ascii="Calibri" w:hAnsi="Calibri"/>
      <w:color w:val="000000" w:themeColor="text1"/>
      <w:sz w:val="21"/>
      <w:szCs w:val="21"/>
      <w:lang w:eastAsia="en-US"/>
    </w:rPr>
  </w:style>
  <w:style w:type="paragraph" w:styleId="NormalWeb">
    <w:name w:val="Normal (Web)"/>
    <w:basedOn w:val="Normal"/>
    <w:uiPriority w:val="99"/>
    <w:semiHidden/>
    <w:unhideWhenUsed/>
    <w:qFormat/>
    <w:rsid w:val="002E4825"/>
    <w:pPr>
      <w:spacing w:before="100" w:beforeAutospacing="1" w:after="100" w:afterAutospacing="1" w:line="240" w:lineRule="auto"/>
    </w:pPr>
    <w:rPr>
      <w:rFonts w:ascii="Times New Roman" w:eastAsia="Times New Roman" w:hAnsi="Times New Roman"/>
      <w:color w:val="auto"/>
      <w:sz w:val="24"/>
      <w:szCs w:val="24"/>
      <w:lang w:eastAsia="en-AU"/>
    </w:rPr>
  </w:style>
  <w:style w:type="character" w:styleId="PlaceholderText">
    <w:name w:val="Placeholder Text"/>
    <w:basedOn w:val="DefaultParagraphFont"/>
    <w:uiPriority w:val="99"/>
    <w:semiHidden/>
    <w:qFormat/>
    <w:rsid w:val="002B0A63"/>
    <w:rPr>
      <w:color w:val="808080"/>
    </w:rPr>
  </w:style>
  <w:style w:type="paragraph" w:customStyle="1" w:styleId="Titlepageauthor">
    <w:name w:val="Title page author"/>
    <w:uiPriority w:val="29"/>
    <w:qFormat/>
    <w:rsid w:val="005B3D53"/>
    <w:pPr>
      <w:spacing w:before="120"/>
    </w:pPr>
    <w:rPr>
      <w:sz w:val="26"/>
      <w:szCs w:val="26"/>
      <w:lang w:eastAsia="en-US"/>
    </w:rPr>
  </w:style>
  <w:style w:type="paragraph" w:customStyle="1" w:styleId="Titlepagedate">
    <w:name w:val="Title page date"/>
    <w:uiPriority w:val="29"/>
    <w:qFormat/>
    <w:rsid w:val="004A0AF0"/>
    <w:pPr>
      <w:jc w:val="right"/>
    </w:pPr>
    <w:rPr>
      <w:rFonts w:ascii="Calibri" w:hAnsi="Calibri"/>
      <w:color w:val="000000" w:themeColor="text1"/>
      <w:sz w:val="22"/>
      <w:szCs w:val="22"/>
      <w:lang w:eastAsia="en-US"/>
    </w:rPr>
  </w:style>
  <w:style w:type="paragraph" w:customStyle="1" w:styleId="Titlepageversion">
    <w:name w:val="Title page version"/>
    <w:semiHidden/>
    <w:qFormat/>
    <w:rsid w:val="007A1F47"/>
    <w:pPr>
      <w:spacing w:line="600" w:lineRule="exact"/>
      <w:jc w:val="right"/>
    </w:pPr>
    <w:rPr>
      <w:color w:val="000000" w:themeColor="text1"/>
      <w:sz w:val="22"/>
      <w:szCs w:val="22"/>
      <w:lang w:eastAsia="en-US"/>
    </w:rPr>
  </w:style>
  <w:style w:type="table" w:customStyle="1" w:styleId="ABAREStable">
    <w:name w:val="ABARES table"/>
    <w:basedOn w:val="TableNormal"/>
    <w:uiPriority w:val="99"/>
    <w:rsid w:val="00651D88"/>
    <w:pPr>
      <w:spacing w:before="60" w:after="60"/>
      <w:jc w:val="right"/>
    </w:pPr>
    <w:rPr>
      <w:sz w:val="19"/>
    </w:rPr>
    <w:tblPr>
      <w:tblBorders>
        <w:top w:val="single" w:sz="4" w:space="0" w:color="auto"/>
        <w:bottom w:val="single" w:sz="4" w:space="0" w:color="auto"/>
      </w:tblBorders>
    </w:tblPr>
    <w:tblStylePr w:type="firstRow">
      <w:rPr>
        <w:b/>
      </w:rPr>
    </w:tblStylePr>
    <w:tblStylePr w:type="firstCol">
      <w:pPr>
        <w:wordWrap/>
        <w:jc w:val="left"/>
      </w:pPr>
    </w:tblStylePr>
  </w:style>
  <w:style w:type="paragraph" w:customStyle="1" w:styleId="Glossary">
    <w:name w:val="Glossary"/>
    <w:basedOn w:val="BodyText1"/>
    <w:link w:val="GlossaryChar"/>
    <w:uiPriority w:val="31"/>
    <w:qFormat/>
    <w:rsid w:val="00497BC2"/>
    <w:pPr>
      <w:tabs>
        <w:tab w:val="left" w:pos="1418"/>
      </w:tabs>
    </w:pPr>
  </w:style>
  <w:style w:type="character" w:customStyle="1" w:styleId="Dummytext">
    <w:name w:val="Dummy text"/>
    <w:uiPriority w:val="64"/>
    <w:qFormat/>
    <w:rsid w:val="004153BA"/>
    <w:rPr>
      <w:color w:val="auto"/>
      <w:u w:val="none"/>
      <w:bdr w:val="none" w:sz="0" w:space="0" w:color="auto"/>
      <w:shd w:val="clear" w:color="auto" w:fill="FFFF00"/>
    </w:rPr>
  </w:style>
  <w:style w:type="character" w:customStyle="1" w:styleId="GlossaryChar">
    <w:name w:val="Glossary Char"/>
    <w:basedOn w:val="DefaultParagraphFont"/>
    <w:link w:val="Glossary"/>
    <w:uiPriority w:val="31"/>
    <w:rsid w:val="00497BC2"/>
    <w:rPr>
      <w:color w:val="000000" w:themeColor="text1"/>
      <w:sz w:val="22"/>
      <w:szCs w:val="22"/>
      <w:lang w:eastAsia="en-US"/>
    </w:rPr>
  </w:style>
  <w:style w:type="character" w:customStyle="1" w:styleId="NotesourcetextChar">
    <w:name w:val="Note/source text Char"/>
    <w:basedOn w:val="DefaultParagraphFont"/>
    <w:link w:val="Notesourcetext"/>
    <w:uiPriority w:val="25"/>
    <w:rsid w:val="006915B8"/>
    <w:rPr>
      <w:rFonts w:ascii="Calibri" w:hAnsi="Calibri"/>
      <w:color w:val="000000" w:themeColor="text1"/>
      <w:sz w:val="18"/>
      <w:szCs w:val="22"/>
      <w:lang w:eastAsia="en-US"/>
    </w:rPr>
  </w:style>
  <w:style w:type="character" w:customStyle="1" w:styleId="FiguretablesubtitleChar">
    <w:name w:val="Figure/table subtitle Char"/>
    <w:basedOn w:val="DefaultParagraphFont"/>
    <w:link w:val="Figuretablesubtitle"/>
    <w:uiPriority w:val="26"/>
    <w:rsid w:val="00C30F38"/>
    <w:rPr>
      <w:rFonts w:ascii="Calibri" w:hAnsi="Calibri"/>
      <w:color w:val="000000" w:themeColor="text1"/>
      <w:sz w:val="21"/>
      <w:szCs w:val="21"/>
      <w:lang w:eastAsia="en-US"/>
    </w:rPr>
  </w:style>
  <w:style w:type="paragraph" w:styleId="NoSpacing">
    <w:name w:val="No Spacing"/>
    <w:uiPriority w:val="99"/>
    <w:qFormat/>
    <w:rsid w:val="00A1089C"/>
    <w:pPr>
      <w:keepNext/>
    </w:pPr>
    <w:rPr>
      <w:color w:val="000000" w:themeColor="text1"/>
      <w:szCs w:val="22"/>
      <w:lang w:eastAsia="en-US"/>
    </w:rPr>
  </w:style>
  <w:style w:type="paragraph" w:styleId="ListParagraph">
    <w:name w:val="List Paragraph"/>
    <w:basedOn w:val="Normal"/>
    <w:link w:val="ListParagraphChar"/>
    <w:uiPriority w:val="99"/>
    <w:qFormat/>
    <w:rsid w:val="008C688F"/>
    <w:pPr>
      <w:spacing w:line="240" w:lineRule="auto"/>
      <w:ind w:left="720"/>
    </w:pPr>
  </w:style>
  <w:style w:type="numbering" w:customStyle="1" w:styleId="ABARESbulletedlist">
    <w:name w:val="ABARES bulleted list"/>
    <w:uiPriority w:val="99"/>
    <w:rsid w:val="00567A81"/>
    <w:pPr>
      <w:numPr>
        <w:numId w:val="3"/>
      </w:numPr>
    </w:pPr>
  </w:style>
  <w:style w:type="paragraph" w:styleId="FootnoteText">
    <w:name w:val="footnote text"/>
    <w:basedOn w:val="Normal"/>
    <w:link w:val="FootnoteTextChar"/>
    <w:uiPriority w:val="99"/>
    <w:semiHidden/>
    <w:unhideWhenUsed/>
    <w:qFormat/>
    <w:rsid w:val="00F933AE"/>
    <w:pPr>
      <w:spacing w:after="0" w:line="240" w:lineRule="auto"/>
    </w:pPr>
    <w:rPr>
      <w:szCs w:val="20"/>
    </w:rPr>
  </w:style>
  <w:style w:type="character" w:customStyle="1" w:styleId="FootnoteTextChar">
    <w:name w:val="Footnote Text Char"/>
    <w:basedOn w:val="DefaultParagraphFont"/>
    <w:link w:val="FootnoteText"/>
    <w:uiPriority w:val="99"/>
    <w:semiHidden/>
    <w:rsid w:val="00F933AE"/>
    <w:rPr>
      <w:color w:val="000000" w:themeColor="text1"/>
      <w:lang w:eastAsia="en-US"/>
    </w:rPr>
  </w:style>
  <w:style w:type="character" w:styleId="FootnoteReference">
    <w:name w:val="footnote reference"/>
    <w:basedOn w:val="DefaultParagraphFont"/>
    <w:uiPriority w:val="99"/>
    <w:semiHidden/>
    <w:unhideWhenUsed/>
    <w:qFormat/>
    <w:rsid w:val="00F933AE"/>
    <w:rPr>
      <w:vertAlign w:val="superscript"/>
    </w:rPr>
  </w:style>
  <w:style w:type="character" w:customStyle="1" w:styleId="InlineQuote">
    <w:name w:val="Inline Quote"/>
    <w:basedOn w:val="QuoteChar"/>
    <w:uiPriority w:val="1"/>
    <w:semiHidden/>
    <w:qFormat/>
    <w:rsid w:val="008F3B08"/>
    <w:rPr>
      <w:rFonts w:ascii="Calibri" w:hAnsi="Calibri"/>
      <w:i/>
      <w:iCs/>
      <w:color w:val="auto"/>
      <w:szCs w:val="22"/>
      <w:lang w:eastAsia="en-US"/>
    </w:rPr>
  </w:style>
  <w:style w:type="numbering" w:customStyle="1" w:styleId="ABARESnumberedlist">
    <w:name w:val="ABARES numbered list"/>
    <w:basedOn w:val="NoList"/>
    <w:uiPriority w:val="99"/>
    <w:rsid w:val="00567A81"/>
    <w:pPr>
      <w:numPr>
        <w:numId w:val="4"/>
      </w:numPr>
    </w:pPr>
  </w:style>
  <w:style w:type="table" w:customStyle="1" w:styleId="ABAREStableleftalign">
    <w:name w:val="ABARES table (left align)"/>
    <w:basedOn w:val="ABAREStable"/>
    <w:uiPriority w:val="99"/>
    <w:rsid w:val="000F575B"/>
    <w:pPr>
      <w:jc w:val="left"/>
    </w:pPr>
    <w:tblPr/>
    <w:tblStylePr w:type="firstRow">
      <w:rPr>
        <w:b/>
      </w:rPr>
    </w:tblStylePr>
    <w:tblStylePr w:type="firstCol">
      <w:pPr>
        <w:wordWrap/>
        <w:jc w:val="left"/>
      </w:pPr>
    </w:tblStylePr>
  </w:style>
  <w:style w:type="table" w:customStyle="1" w:styleId="ABAREStablecenteralign">
    <w:name w:val="ABARES table (center align)"/>
    <w:basedOn w:val="ABAREStable"/>
    <w:rsid w:val="001C0F85"/>
    <w:pPr>
      <w:jc w:val="center"/>
    </w:pPr>
    <w:tblPr/>
    <w:tblStylePr w:type="firstRow">
      <w:rPr>
        <w:b/>
      </w:rPr>
    </w:tblStylePr>
    <w:tblStylePr w:type="firstCol">
      <w:pPr>
        <w:wordWrap/>
        <w:jc w:val="left"/>
      </w:pPr>
      <w:rPr>
        <w:rFonts w:ascii="Cambria" w:hAnsi="Cambria"/>
        <w:sz w:val="19"/>
      </w:rPr>
      <w:tblPr/>
      <w:tcPr>
        <w:noWrap/>
      </w:tcPr>
    </w:tblStylePr>
  </w:style>
  <w:style w:type="character" w:customStyle="1" w:styleId="Superscript">
    <w:name w:val="Superscript"/>
    <w:uiPriority w:val="19"/>
    <w:qFormat/>
    <w:rsid w:val="00251D1C"/>
    <w:rPr>
      <w:vertAlign w:val="superscript"/>
    </w:rPr>
  </w:style>
  <w:style w:type="character" w:customStyle="1" w:styleId="Subscript">
    <w:name w:val="Subscript"/>
    <w:uiPriority w:val="19"/>
    <w:qFormat/>
    <w:rsid w:val="00251D1C"/>
    <w:rPr>
      <w:vertAlign w:val="subscript"/>
    </w:rPr>
  </w:style>
  <w:style w:type="paragraph" w:customStyle="1" w:styleId="Heading1unnumberedchapter">
    <w:name w:val="Heading 1  (unnumbered chapter)"/>
    <w:next w:val="BodyText1"/>
    <w:link w:val="Heading1unnumberedchapterChar"/>
    <w:uiPriority w:val="10"/>
    <w:qFormat/>
    <w:rsid w:val="000921E6"/>
    <w:pPr>
      <w:keepNext/>
      <w:keepLines/>
      <w:pageBreakBefore/>
      <w:spacing w:after="284" w:line="180" w:lineRule="auto"/>
      <w:outlineLvl w:val="0"/>
    </w:pPr>
    <w:rPr>
      <w:rFonts w:asciiTheme="minorHAnsi" w:hAnsiTheme="minorHAnsi"/>
      <w:color w:val="000000" w:themeColor="text1"/>
      <w:sz w:val="56"/>
      <w:szCs w:val="22"/>
      <w:lang w:eastAsia="en-US"/>
    </w:rPr>
  </w:style>
  <w:style w:type="character" w:customStyle="1" w:styleId="Heading1unnumberedchapterChar">
    <w:name w:val="Heading 1  (unnumbered chapter) Char"/>
    <w:basedOn w:val="DefaultParagraphFont"/>
    <w:link w:val="Heading1unnumberedchapter"/>
    <w:uiPriority w:val="10"/>
    <w:rsid w:val="000921E6"/>
    <w:rPr>
      <w:rFonts w:asciiTheme="minorHAnsi" w:hAnsiTheme="minorHAnsi"/>
      <w:color w:val="000000" w:themeColor="text1"/>
      <w:sz w:val="56"/>
      <w:szCs w:val="22"/>
      <w:lang w:eastAsia="en-US"/>
    </w:rPr>
  </w:style>
  <w:style w:type="character" w:customStyle="1" w:styleId="Intextreference">
    <w:name w:val="Intext reference"/>
    <w:basedOn w:val="DefaultParagraphFont"/>
    <w:uiPriority w:val="27"/>
    <w:qFormat/>
    <w:rsid w:val="001519F0"/>
    <w:rPr>
      <w:rFonts w:ascii="Cambria" w:hAnsi="Cambria"/>
      <w:color w:val="7F7F7F" w:themeColor="text1" w:themeTint="80"/>
    </w:rPr>
  </w:style>
  <w:style w:type="paragraph" w:styleId="ListBullet">
    <w:name w:val="List Bullet"/>
    <w:basedOn w:val="ListParagraph"/>
    <w:next w:val="ListParagraph"/>
    <w:link w:val="ListBulletChar"/>
    <w:uiPriority w:val="99"/>
    <w:qFormat/>
    <w:rsid w:val="0023676C"/>
    <w:pPr>
      <w:numPr>
        <w:numId w:val="6"/>
      </w:numPr>
      <w:spacing w:before="240" w:after="240"/>
    </w:pPr>
    <w:rPr>
      <w:color w:val="000000"/>
    </w:rPr>
  </w:style>
  <w:style w:type="character" w:customStyle="1" w:styleId="ListBulletChar">
    <w:name w:val="List Bullet Char"/>
    <w:basedOn w:val="DefaultParagraphFont"/>
    <w:link w:val="ListBullet"/>
    <w:uiPriority w:val="99"/>
    <w:rsid w:val="00607B5C"/>
    <w:rPr>
      <w:color w:val="000000"/>
      <w:sz w:val="22"/>
      <w:szCs w:val="22"/>
      <w:lang w:eastAsia="en-US"/>
    </w:rPr>
  </w:style>
  <w:style w:type="paragraph" w:styleId="List">
    <w:name w:val="List"/>
    <w:basedOn w:val="Normal"/>
    <w:uiPriority w:val="99"/>
    <w:unhideWhenUsed/>
    <w:qFormat/>
    <w:rsid w:val="002E215F"/>
    <w:pPr>
      <w:ind w:left="283" w:hanging="283"/>
      <w:contextualSpacing/>
    </w:pPr>
  </w:style>
  <w:style w:type="paragraph" w:styleId="ListNumber">
    <w:name w:val="List Number"/>
    <w:basedOn w:val="Normal"/>
    <w:uiPriority w:val="99"/>
    <w:unhideWhenUsed/>
    <w:qFormat/>
    <w:rsid w:val="002E215F"/>
    <w:pPr>
      <w:contextualSpacing/>
    </w:pPr>
  </w:style>
  <w:style w:type="paragraph" w:customStyle="1" w:styleId="Numberedlist-level1">
    <w:name w:val="Numbered list - level 1"/>
    <w:uiPriority w:val="20"/>
    <w:qFormat/>
    <w:rsid w:val="00567A81"/>
    <w:pPr>
      <w:numPr>
        <w:numId w:val="27"/>
      </w:numPr>
      <w:spacing w:before="200" w:after="200"/>
    </w:pPr>
    <w:rPr>
      <w:bCs/>
      <w:sz w:val="22"/>
      <w:szCs w:val="18"/>
      <w:lang w:eastAsia="en-US"/>
    </w:rPr>
  </w:style>
  <w:style w:type="paragraph" w:customStyle="1" w:styleId="Tabletext">
    <w:name w:val="Table text"/>
    <w:link w:val="TabletextChar"/>
    <w:uiPriority w:val="27"/>
    <w:qFormat/>
    <w:rsid w:val="00D141D2"/>
    <w:pPr>
      <w:spacing w:before="60" w:after="60"/>
    </w:pPr>
    <w:rPr>
      <w:color w:val="000000" w:themeColor="text1"/>
      <w:sz w:val="19"/>
      <w:szCs w:val="22"/>
      <w:lang w:eastAsia="en-US"/>
    </w:rPr>
  </w:style>
  <w:style w:type="table" w:customStyle="1" w:styleId="ABARESTableleftrightalign">
    <w:name w:val="ABARES Table (left/right align)"/>
    <w:basedOn w:val="ABAREStable"/>
    <w:uiPriority w:val="99"/>
    <w:rsid w:val="004325D5"/>
    <w:tblPr/>
    <w:tblStylePr w:type="firstRow">
      <w:rPr>
        <w:b/>
      </w:rPr>
    </w:tblStylePr>
    <w:tblStylePr w:type="firstCol">
      <w:pPr>
        <w:wordWrap/>
        <w:jc w:val="left"/>
      </w:pPr>
    </w:tblStylePr>
  </w:style>
  <w:style w:type="character" w:customStyle="1" w:styleId="ListParagraphChar">
    <w:name w:val="List Paragraph Char"/>
    <w:basedOn w:val="DefaultParagraphFont"/>
    <w:link w:val="ListParagraph"/>
    <w:uiPriority w:val="99"/>
    <w:rsid w:val="00607B5C"/>
    <w:rPr>
      <w:color w:val="000000" w:themeColor="text1"/>
      <w:sz w:val="22"/>
      <w:szCs w:val="22"/>
      <w:lang w:eastAsia="en-US"/>
    </w:rPr>
  </w:style>
  <w:style w:type="numbering" w:customStyle="1" w:styleId="bulletlist">
    <w:name w:val="bullet list"/>
    <w:basedOn w:val="NoList"/>
    <w:uiPriority w:val="99"/>
    <w:rsid w:val="00567A81"/>
    <w:pPr>
      <w:numPr>
        <w:numId w:val="5"/>
      </w:numPr>
    </w:pPr>
  </w:style>
  <w:style w:type="paragraph" w:customStyle="1" w:styleId="Bulletlist-level2">
    <w:name w:val="Bullet list - level 2"/>
    <w:uiPriority w:val="25"/>
    <w:qFormat/>
    <w:rsid w:val="00567A81"/>
    <w:pPr>
      <w:numPr>
        <w:ilvl w:val="1"/>
        <w:numId w:val="21"/>
      </w:numPr>
      <w:spacing w:before="120" w:after="120"/>
    </w:pPr>
    <w:rPr>
      <w:color w:val="000000" w:themeColor="text1"/>
      <w:sz w:val="22"/>
      <w:szCs w:val="22"/>
      <w:lang w:eastAsia="en-US"/>
    </w:rPr>
  </w:style>
  <w:style w:type="character" w:customStyle="1" w:styleId="Superscript-bold">
    <w:name w:val="Superscript - bold"/>
    <w:uiPriority w:val="19"/>
    <w:qFormat/>
    <w:rsid w:val="004E655B"/>
    <w:rPr>
      <w:b/>
      <w:bCs w:val="0"/>
      <w:color w:val="auto"/>
      <w:szCs w:val="36"/>
      <w:vertAlign w:val="superscript"/>
    </w:rPr>
  </w:style>
  <w:style w:type="character" w:customStyle="1" w:styleId="Subscript-bold">
    <w:name w:val="Subscript - bold"/>
    <w:uiPriority w:val="19"/>
    <w:qFormat/>
    <w:rsid w:val="00001B36"/>
    <w:rPr>
      <w:b/>
      <w:vertAlign w:val="subscript"/>
    </w:rPr>
  </w:style>
  <w:style w:type="paragraph" w:styleId="DocumentMap">
    <w:name w:val="Document Map"/>
    <w:basedOn w:val="Normal"/>
    <w:link w:val="DocumentMapChar"/>
    <w:uiPriority w:val="99"/>
    <w:unhideWhenUsed/>
    <w:qFormat/>
    <w:rsid w:val="00CC45F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CC45FA"/>
    <w:rPr>
      <w:rFonts w:ascii="Tahoma" w:hAnsi="Tahoma" w:cs="Tahoma"/>
      <w:color w:val="000000" w:themeColor="text1"/>
      <w:sz w:val="16"/>
      <w:szCs w:val="16"/>
      <w:lang w:eastAsia="en-US"/>
    </w:rPr>
  </w:style>
  <w:style w:type="table" w:customStyle="1" w:styleId="Textboxtable">
    <w:name w:val="Text box table"/>
    <w:basedOn w:val="ABAREStable"/>
    <w:rsid w:val="000269D5"/>
    <w:pPr>
      <w:jc w:val="left"/>
    </w:pPr>
    <w:tblPr>
      <w:tblBorders>
        <w:top w:val="none" w:sz="0" w:space="0" w:color="auto"/>
        <w:left w:val="single" w:sz="4" w:space="0" w:color="auto"/>
        <w:bottom w:val="none" w:sz="0" w:space="0" w:color="auto"/>
        <w:right w:val="single" w:sz="4" w:space="0" w:color="auto"/>
      </w:tblBorders>
    </w:tblPr>
    <w:tblStylePr w:type="firstRow">
      <w:rPr>
        <w:b w:val="0"/>
      </w:rPr>
    </w:tblStylePr>
    <w:tblStylePr w:type="firstCol">
      <w:pPr>
        <w:wordWrap/>
        <w:jc w:val="left"/>
      </w:pPr>
    </w:tblStylePr>
  </w:style>
  <w:style w:type="character" w:styleId="FollowedHyperlink">
    <w:name w:val="FollowedHyperlink"/>
    <w:basedOn w:val="DefaultParagraphFont"/>
    <w:uiPriority w:val="99"/>
    <w:semiHidden/>
    <w:unhideWhenUsed/>
    <w:qFormat/>
    <w:rsid w:val="003570B1"/>
    <w:rPr>
      <w:color w:val="800080" w:themeColor="followedHyperlink"/>
      <w:u w:val="single"/>
    </w:rPr>
  </w:style>
  <w:style w:type="paragraph" w:styleId="CommentText">
    <w:name w:val="annotation text"/>
    <w:basedOn w:val="Normal"/>
    <w:link w:val="CommentTextChar"/>
    <w:uiPriority w:val="99"/>
    <w:unhideWhenUsed/>
    <w:qFormat/>
    <w:rsid w:val="00DB2ED2"/>
    <w:pPr>
      <w:spacing w:line="240" w:lineRule="auto"/>
    </w:pPr>
    <w:rPr>
      <w:sz w:val="20"/>
      <w:szCs w:val="20"/>
    </w:rPr>
  </w:style>
  <w:style w:type="character" w:customStyle="1" w:styleId="CommentTextChar">
    <w:name w:val="Comment Text Char"/>
    <w:basedOn w:val="DefaultParagraphFont"/>
    <w:link w:val="CommentText"/>
    <w:uiPriority w:val="99"/>
    <w:rsid w:val="00DB2ED2"/>
    <w:rPr>
      <w:color w:val="000000" w:themeColor="text1"/>
      <w:lang w:eastAsia="en-US"/>
    </w:rPr>
  </w:style>
  <w:style w:type="character" w:styleId="CommentReference">
    <w:name w:val="annotation reference"/>
    <w:basedOn w:val="DefaultParagraphFont"/>
    <w:uiPriority w:val="99"/>
    <w:semiHidden/>
    <w:unhideWhenUsed/>
    <w:qFormat/>
    <w:rsid w:val="00DB2ED2"/>
    <w:rPr>
      <w:sz w:val="16"/>
      <w:szCs w:val="16"/>
    </w:rPr>
  </w:style>
  <w:style w:type="character" w:customStyle="1" w:styleId="Italic">
    <w:name w:val="Italic"/>
    <w:uiPriority w:val="19"/>
    <w:qFormat/>
    <w:rsid w:val="000921E6"/>
    <w:rPr>
      <w:i/>
      <w:color w:val="auto"/>
    </w:rPr>
  </w:style>
  <w:style w:type="character" w:customStyle="1" w:styleId="Italicbold">
    <w:name w:val="Italic bold"/>
    <w:uiPriority w:val="19"/>
    <w:qFormat/>
    <w:rsid w:val="000921E6"/>
    <w:rPr>
      <w:b/>
      <w:i/>
      <w:color w:val="auto"/>
    </w:rPr>
  </w:style>
  <w:style w:type="paragraph" w:customStyle="1" w:styleId="Bulletlist-level1">
    <w:name w:val="Bullet list - level 1"/>
    <w:uiPriority w:val="24"/>
    <w:qFormat/>
    <w:rsid w:val="00567A81"/>
    <w:pPr>
      <w:numPr>
        <w:numId w:val="21"/>
      </w:numPr>
      <w:spacing w:before="120" w:after="120"/>
    </w:pPr>
    <w:rPr>
      <w:color w:val="000000"/>
      <w:sz w:val="22"/>
      <w:szCs w:val="22"/>
      <w:lang w:eastAsia="en-US"/>
    </w:rPr>
  </w:style>
  <w:style w:type="paragraph" w:customStyle="1" w:styleId="BodyText1">
    <w:name w:val="Body Text1"/>
    <w:uiPriority w:val="9"/>
    <w:qFormat/>
    <w:rsid w:val="00D3146D"/>
    <w:pPr>
      <w:spacing w:after="200" w:line="280" w:lineRule="atLeast"/>
    </w:pPr>
    <w:rPr>
      <w:color w:val="000000" w:themeColor="text1"/>
      <w:sz w:val="22"/>
      <w:szCs w:val="22"/>
      <w:lang w:eastAsia="en-US"/>
    </w:rPr>
  </w:style>
  <w:style w:type="paragraph" w:customStyle="1" w:styleId="Numberedlist-level2">
    <w:name w:val="Numbered list - level 2"/>
    <w:link w:val="Numberedlist-level2Char"/>
    <w:uiPriority w:val="21"/>
    <w:qFormat/>
    <w:rsid w:val="00567A81"/>
    <w:pPr>
      <w:numPr>
        <w:ilvl w:val="1"/>
        <w:numId w:val="27"/>
      </w:numPr>
      <w:spacing w:after="120" w:line="276" w:lineRule="auto"/>
      <w:contextualSpacing/>
    </w:pPr>
    <w:rPr>
      <w:rFonts w:asciiTheme="majorHAnsi" w:hAnsiTheme="majorHAnsi"/>
      <w:color w:val="000000" w:themeColor="text1"/>
      <w:sz w:val="22"/>
      <w:szCs w:val="22"/>
      <w:lang w:eastAsia="en-US"/>
    </w:rPr>
  </w:style>
  <w:style w:type="paragraph" w:customStyle="1" w:styleId="Numberedlist-level3">
    <w:name w:val="Numbered list - level 3"/>
    <w:link w:val="Numberedlist-level3Char"/>
    <w:uiPriority w:val="22"/>
    <w:qFormat/>
    <w:rsid w:val="00567A81"/>
    <w:pPr>
      <w:numPr>
        <w:ilvl w:val="2"/>
        <w:numId w:val="27"/>
      </w:numPr>
      <w:spacing w:after="120" w:line="276" w:lineRule="auto"/>
      <w:contextualSpacing/>
    </w:pPr>
    <w:rPr>
      <w:color w:val="000000" w:themeColor="text1"/>
      <w:sz w:val="22"/>
      <w:szCs w:val="22"/>
      <w:lang w:eastAsia="en-US"/>
    </w:rPr>
  </w:style>
  <w:style w:type="character" w:customStyle="1" w:styleId="Numberedlist-level2Char">
    <w:name w:val="Numbered list - level 2 Char"/>
    <w:basedOn w:val="ListParagraphChar"/>
    <w:link w:val="Numberedlist-level2"/>
    <w:uiPriority w:val="21"/>
    <w:rsid w:val="00567A81"/>
    <w:rPr>
      <w:rFonts w:asciiTheme="majorHAnsi" w:hAnsiTheme="majorHAnsi"/>
      <w:color w:val="000000" w:themeColor="text1"/>
      <w:sz w:val="22"/>
      <w:szCs w:val="22"/>
      <w:lang w:eastAsia="en-US"/>
    </w:rPr>
  </w:style>
  <w:style w:type="paragraph" w:customStyle="1" w:styleId="Quote-block">
    <w:name w:val="Quote - block"/>
    <w:next w:val="BodyText1"/>
    <w:uiPriority w:val="28"/>
    <w:qFormat/>
    <w:rsid w:val="00C05EF5"/>
    <w:pPr>
      <w:spacing w:before="120" w:after="120" w:line="240" w:lineRule="atLeast"/>
      <w:ind w:left="567" w:right="567"/>
    </w:pPr>
    <w:rPr>
      <w:iCs/>
      <w:color w:val="000000" w:themeColor="text1"/>
      <w:szCs w:val="22"/>
      <w:lang w:eastAsia="en-US"/>
    </w:rPr>
  </w:style>
  <w:style w:type="character" w:customStyle="1" w:styleId="Numberedlist-level3Char">
    <w:name w:val="Numbered list - level 3 Char"/>
    <w:basedOn w:val="ListParagraphChar"/>
    <w:link w:val="Numberedlist-level3"/>
    <w:uiPriority w:val="22"/>
    <w:rsid w:val="00567A81"/>
    <w:rPr>
      <w:color w:val="000000" w:themeColor="text1"/>
      <w:sz w:val="22"/>
      <w:szCs w:val="22"/>
      <w:lang w:eastAsia="en-US"/>
    </w:rPr>
  </w:style>
  <w:style w:type="character" w:customStyle="1" w:styleId="Bold">
    <w:name w:val="Bold"/>
    <w:uiPriority w:val="19"/>
    <w:qFormat/>
    <w:rsid w:val="004A0AF0"/>
    <w:rPr>
      <w:b/>
    </w:rPr>
  </w:style>
  <w:style w:type="paragraph" w:customStyle="1" w:styleId="Subtitlesupplementarydocumenttitle">
    <w:name w:val="Subtitle/supplementary document title"/>
    <w:next w:val="BodyText1"/>
    <w:uiPriority w:val="29"/>
    <w:qFormat/>
    <w:rsid w:val="00F91FB6"/>
    <w:pPr>
      <w:tabs>
        <w:tab w:val="left" w:pos="1418"/>
      </w:tabs>
      <w:ind w:left="1418"/>
    </w:pPr>
    <w:rPr>
      <w:rFonts w:ascii="Calibri" w:eastAsiaTheme="majorEastAsia" w:hAnsi="Calibri" w:cstheme="majorBidi"/>
      <w:iCs/>
      <w:color w:val="000000" w:themeColor="text1"/>
      <w:spacing w:val="15"/>
      <w:sz w:val="44"/>
      <w:szCs w:val="24"/>
      <w:lang w:eastAsia="en-US"/>
    </w:rPr>
  </w:style>
  <w:style w:type="paragraph" w:customStyle="1" w:styleId="Boxtext">
    <w:name w:val="Box text"/>
    <w:uiPriority w:val="99"/>
    <w:qFormat/>
    <w:rsid w:val="00D141D2"/>
    <w:pPr>
      <w:keepLines/>
      <w:spacing w:before="120" w:after="120"/>
    </w:pPr>
    <w:rPr>
      <w:color w:val="000000" w:themeColor="text1"/>
      <w:sz w:val="19"/>
      <w:szCs w:val="22"/>
      <w:lang w:eastAsia="en-US"/>
    </w:rPr>
  </w:style>
  <w:style w:type="paragraph" w:customStyle="1" w:styleId="Copyrightpageheading">
    <w:name w:val="Copyright page heading"/>
    <w:next w:val="BodyText"/>
    <w:link w:val="CopyrightpageheadingChar"/>
    <w:uiPriority w:val="99"/>
    <w:qFormat/>
    <w:rsid w:val="00C41DD6"/>
    <w:pPr>
      <w:spacing w:after="60"/>
    </w:pPr>
    <w:rPr>
      <w:b/>
      <w:color w:val="000000" w:themeColor="text1"/>
      <w:sz w:val="19"/>
      <w:szCs w:val="22"/>
      <w:lang w:eastAsia="en-US"/>
    </w:rPr>
  </w:style>
  <w:style w:type="character" w:customStyle="1" w:styleId="TabletextChar">
    <w:name w:val="Table text Char"/>
    <w:basedOn w:val="DefaultParagraphFont"/>
    <w:link w:val="Tabletext"/>
    <w:uiPriority w:val="27"/>
    <w:rsid w:val="00D141D2"/>
    <w:rPr>
      <w:color w:val="000000" w:themeColor="text1"/>
      <w:sz w:val="19"/>
      <w:szCs w:val="22"/>
      <w:lang w:eastAsia="en-US"/>
    </w:rPr>
  </w:style>
  <w:style w:type="character" w:customStyle="1" w:styleId="CopyrightpageheadingChar">
    <w:name w:val="Copyright page heading Char"/>
    <w:basedOn w:val="TabletextChar"/>
    <w:link w:val="Copyrightpageheading"/>
    <w:uiPriority w:val="99"/>
    <w:rsid w:val="00C41DD6"/>
    <w:rPr>
      <w:b/>
      <w:color w:val="000000" w:themeColor="text1"/>
      <w:sz w:val="19"/>
      <w:szCs w:val="22"/>
      <w:lang w:eastAsia="en-US"/>
    </w:rPr>
  </w:style>
  <w:style w:type="paragraph" w:styleId="BodyText">
    <w:name w:val="Body Text"/>
    <w:basedOn w:val="Normal"/>
    <w:link w:val="BodyTextChar"/>
    <w:uiPriority w:val="99"/>
    <w:semiHidden/>
    <w:unhideWhenUsed/>
    <w:qFormat/>
    <w:rsid w:val="00C41DD6"/>
    <w:pPr>
      <w:spacing w:after="120"/>
    </w:pPr>
  </w:style>
  <w:style w:type="character" w:customStyle="1" w:styleId="BodyTextChar">
    <w:name w:val="Body Text Char"/>
    <w:basedOn w:val="DefaultParagraphFont"/>
    <w:link w:val="BodyText"/>
    <w:uiPriority w:val="99"/>
    <w:semiHidden/>
    <w:rsid w:val="00C41DD6"/>
    <w:rPr>
      <w:color w:val="000000" w:themeColor="text1"/>
      <w:sz w:val="22"/>
      <w:szCs w:val="22"/>
      <w:lang w:eastAsia="en-US"/>
    </w:rPr>
  </w:style>
  <w:style w:type="paragraph" w:styleId="CommentSubject">
    <w:name w:val="annotation subject"/>
    <w:basedOn w:val="CommentText"/>
    <w:next w:val="CommentText"/>
    <w:link w:val="CommentSubjectChar"/>
    <w:uiPriority w:val="99"/>
    <w:semiHidden/>
    <w:unhideWhenUsed/>
    <w:qFormat/>
    <w:rsid w:val="00A1089C"/>
    <w:rPr>
      <w:b/>
      <w:bCs/>
    </w:rPr>
  </w:style>
  <w:style w:type="character" w:customStyle="1" w:styleId="CommentSubjectChar">
    <w:name w:val="Comment Subject Char"/>
    <w:basedOn w:val="CommentTextChar"/>
    <w:link w:val="CommentSubject"/>
    <w:uiPriority w:val="99"/>
    <w:semiHidden/>
    <w:rsid w:val="00A1089C"/>
    <w:rPr>
      <w:b/>
      <w:bCs/>
      <w:color w:val="000000" w:themeColor="text1"/>
      <w:lang w:eastAsia="en-US"/>
    </w:rPr>
  </w:style>
  <w:style w:type="numbering" w:customStyle="1" w:styleId="ABARESnumberedlist2">
    <w:name w:val="ABARES numbered list 2"/>
    <w:uiPriority w:val="99"/>
    <w:rsid w:val="00567A81"/>
    <w:pPr>
      <w:numPr>
        <w:numId w:val="7"/>
      </w:numPr>
    </w:pPr>
  </w:style>
  <w:style w:type="paragraph" w:customStyle="1" w:styleId="Tablebulletpoint">
    <w:name w:val="Table bullet point"/>
    <w:next w:val="Tabletext"/>
    <w:uiPriority w:val="99"/>
    <w:qFormat/>
    <w:rsid w:val="00C574D3"/>
    <w:pPr>
      <w:numPr>
        <w:numId w:val="8"/>
      </w:numPr>
      <w:spacing w:before="60" w:after="60"/>
      <w:ind w:left="142" w:hanging="142"/>
    </w:pPr>
    <w:rPr>
      <w:color w:val="000000" w:themeColor="text1"/>
      <w:sz w:val="19"/>
      <w:szCs w:val="19"/>
      <w:lang w:eastAsia="en-US"/>
    </w:rPr>
  </w:style>
  <w:style w:type="paragraph" w:customStyle="1" w:styleId="TableBoxtext">
    <w:name w:val="Table/Box text"/>
    <w:next w:val="Normal"/>
    <w:uiPriority w:val="27"/>
    <w:qFormat/>
    <w:rsid w:val="00C574D3"/>
    <w:pPr>
      <w:spacing w:before="40" w:after="40"/>
    </w:pPr>
    <w:rPr>
      <w:rFonts w:asciiTheme="minorHAnsi" w:hAnsiTheme="minorHAnsi"/>
      <w:color w:val="000000" w:themeColor="text1"/>
      <w:sz w:val="18"/>
      <w:szCs w:val="22"/>
      <w:lang w:eastAsia="en-US"/>
    </w:rPr>
  </w:style>
  <w:style w:type="paragraph" w:customStyle="1" w:styleId="numberedbulletintable">
    <w:name w:val="numbered bullet in table"/>
    <w:basedOn w:val="TableBoxtext"/>
    <w:qFormat/>
    <w:rsid w:val="00C574D3"/>
    <w:pPr>
      <w:ind w:left="227" w:hanging="227"/>
    </w:pPr>
    <w:rPr>
      <w:rFonts w:ascii="Cambria" w:hAnsi="Cambria"/>
      <w:szCs w:val="20"/>
      <w:lang w:eastAsia="en-AU"/>
    </w:rPr>
  </w:style>
  <w:style w:type="paragraph" w:customStyle="1" w:styleId="Tablenumberedlist">
    <w:name w:val="Table numbered list"/>
    <w:uiPriority w:val="99"/>
    <w:qFormat/>
    <w:rsid w:val="00902730"/>
    <w:pPr>
      <w:numPr>
        <w:numId w:val="9"/>
      </w:numPr>
      <w:contextualSpacing/>
    </w:pPr>
    <w:rPr>
      <w:color w:val="000000" w:themeColor="text1"/>
      <w:sz w:val="19"/>
      <w:szCs w:val="22"/>
      <w:lang w:eastAsia="en-US"/>
    </w:rPr>
  </w:style>
  <w:style w:type="paragraph" w:customStyle="1" w:styleId="Appendixheading">
    <w:name w:val="Appendix heading"/>
    <w:next w:val="BodyText1"/>
    <w:link w:val="AppendixheadingChar"/>
    <w:uiPriority w:val="99"/>
    <w:qFormat/>
    <w:rsid w:val="001B62DE"/>
    <w:pPr>
      <w:keepNext/>
      <w:keepLines/>
      <w:pageBreakBefore/>
      <w:numPr>
        <w:numId w:val="10"/>
      </w:numPr>
      <w:spacing w:after="284" w:line="180" w:lineRule="auto"/>
      <w:ind w:left="0" w:firstLine="0"/>
      <w:outlineLvl w:val="0"/>
    </w:pPr>
    <w:rPr>
      <w:rFonts w:asciiTheme="minorHAnsi" w:hAnsiTheme="minorHAnsi"/>
      <w:color w:val="000000" w:themeColor="text1"/>
      <w:sz w:val="56"/>
      <w:szCs w:val="22"/>
      <w:lang w:eastAsia="en-US"/>
    </w:rPr>
  </w:style>
  <w:style w:type="character" w:customStyle="1" w:styleId="AppendixheadingChar">
    <w:name w:val="Appendix heading Char"/>
    <w:basedOn w:val="Heading1unnumberedchapterChar"/>
    <w:link w:val="Appendixheading"/>
    <w:uiPriority w:val="99"/>
    <w:rsid w:val="001B62DE"/>
    <w:rPr>
      <w:rFonts w:asciiTheme="minorHAnsi" w:hAnsiTheme="minorHAnsi"/>
      <w:color w:val="000000" w:themeColor="text1"/>
      <w:sz w:val="56"/>
      <w:szCs w:val="22"/>
      <w:lang w:eastAsia="en-US"/>
    </w:rPr>
  </w:style>
  <w:style w:type="paragraph" w:styleId="TOC4">
    <w:name w:val="toc 4"/>
    <w:basedOn w:val="Normal"/>
    <w:next w:val="Normal"/>
    <w:autoRedefine/>
    <w:uiPriority w:val="39"/>
    <w:unhideWhenUsed/>
    <w:qFormat/>
    <w:rsid w:val="00286A96"/>
    <w:pPr>
      <w:tabs>
        <w:tab w:val="left" w:pos="425"/>
        <w:tab w:val="right" w:pos="9060"/>
      </w:tabs>
      <w:spacing w:after="100"/>
    </w:pPr>
    <w:rPr>
      <w:b/>
    </w:rPr>
  </w:style>
  <w:style w:type="character" w:styleId="PageNumber">
    <w:name w:val="page number"/>
    <w:basedOn w:val="DefaultParagraphFont"/>
    <w:uiPriority w:val="99"/>
    <w:semiHidden/>
    <w:unhideWhenUsed/>
    <w:qFormat/>
    <w:rsid w:val="00F46D1D"/>
  </w:style>
  <w:style w:type="paragraph" w:styleId="IntenseQuote">
    <w:name w:val="Intense Quote"/>
    <w:basedOn w:val="Normal"/>
    <w:next w:val="Normal"/>
    <w:link w:val="IntenseQuoteChar"/>
    <w:uiPriority w:val="30"/>
    <w:semiHidden/>
    <w:qFormat/>
    <w:locked/>
    <w:rsid w:val="00B52F0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B52F07"/>
    <w:rPr>
      <w:b/>
      <w:bCs/>
      <w:i/>
      <w:iCs/>
      <w:color w:val="4F81BD" w:themeColor="accent1"/>
      <w:sz w:val="22"/>
      <w:szCs w:val="22"/>
      <w:lang w:eastAsia="en-US"/>
    </w:rPr>
  </w:style>
  <w:style w:type="paragraph" w:styleId="Date">
    <w:name w:val="Date"/>
    <w:basedOn w:val="Normal"/>
    <w:next w:val="Normal"/>
    <w:link w:val="DateChar"/>
    <w:uiPriority w:val="99"/>
    <w:unhideWhenUsed/>
    <w:qFormat/>
    <w:rsid w:val="008A363D"/>
  </w:style>
  <w:style w:type="character" w:customStyle="1" w:styleId="DateChar">
    <w:name w:val="Date Char"/>
    <w:basedOn w:val="DefaultParagraphFont"/>
    <w:link w:val="Date"/>
    <w:uiPriority w:val="99"/>
    <w:rsid w:val="008A363D"/>
    <w:rPr>
      <w:color w:val="000000" w:themeColor="text1"/>
      <w:sz w:val="22"/>
      <w:szCs w:val="22"/>
      <w:lang w:eastAsia="en-US"/>
    </w:rPr>
  </w:style>
  <w:style w:type="character" w:styleId="EndnoteReference">
    <w:name w:val="endnote reference"/>
    <w:basedOn w:val="DefaultParagraphFont"/>
    <w:uiPriority w:val="99"/>
    <w:unhideWhenUsed/>
    <w:qFormat/>
    <w:rsid w:val="008A363D"/>
    <w:rPr>
      <w:vertAlign w:val="superscript"/>
    </w:rPr>
  </w:style>
  <w:style w:type="character" w:styleId="HTMLVariable">
    <w:name w:val="HTML Variable"/>
    <w:basedOn w:val="DefaultParagraphFont"/>
    <w:uiPriority w:val="99"/>
    <w:unhideWhenUsed/>
    <w:qFormat/>
    <w:rsid w:val="008A363D"/>
    <w:rPr>
      <w:i/>
      <w:iCs/>
    </w:rPr>
  </w:style>
  <w:style w:type="paragraph" w:styleId="ListContinue">
    <w:name w:val="List Continue"/>
    <w:basedOn w:val="Normal"/>
    <w:uiPriority w:val="99"/>
    <w:unhideWhenUsed/>
    <w:qFormat/>
    <w:rsid w:val="008A363D"/>
    <w:pPr>
      <w:spacing w:after="120"/>
      <w:ind w:left="283"/>
      <w:contextualSpacing/>
    </w:pPr>
  </w:style>
  <w:style w:type="paragraph" w:styleId="BodyTextFirstIndent">
    <w:name w:val="Body Text First Indent"/>
    <w:basedOn w:val="BodyText"/>
    <w:link w:val="BodyTextFirstIndentChar"/>
    <w:uiPriority w:val="99"/>
    <w:unhideWhenUsed/>
    <w:qFormat/>
    <w:rsid w:val="008A363D"/>
    <w:pPr>
      <w:spacing w:after="200"/>
      <w:ind w:firstLine="360"/>
    </w:pPr>
  </w:style>
  <w:style w:type="character" w:customStyle="1" w:styleId="BodyTextFirstIndentChar">
    <w:name w:val="Body Text First Indent Char"/>
    <w:basedOn w:val="BodyTextChar"/>
    <w:link w:val="BodyTextFirstIndent"/>
    <w:uiPriority w:val="99"/>
    <w:rsid w:val="008A363D"/>
    <w:rPr>
      <w:color w:val="000000" w:themeColor="text1"/>
      <w:sz w:val="22"/>
      <w:szCs w:val="22"/>
      <w:lang w:eastAsia="en-US"/>
    </w:rPr>
  </w:style>
  <w:style w:type="paragraph" w:styleId="List2">
    <w:name w:val="List 2"/>
    <w:basedOn w:val="Normal"/>
    <w:uiPriority w:val="99"/>
    <w:unhideWhenUsed/>
    <w:qFormat/>
    <w:rsid w:val="00D76108"/>
    <w:pPr>
      <w:ind w:left="566" w:hanging="283"/>
      <w:contextualSpacing/>
    </w:pPr>
  </w:style>
  <w:style w:type="paragraph" w:styleId="ListContinue2">
    <w:name w:val="List Continue 2"/>
    <w:basedOn w:val="Normal"/>
    <w:uiPriority w:val="99"/>
    <w:unhideWhenUsed/>
    <w:qFormat/>
    <w:rsid w:val="00D76108"/>
    <w:pPr>
      <w:spacing w:after="120"/>
      <w:ind w:left="566"/>
      <w:contextualSpacing/>
    </w:pPr>
  </w:style>
  <w:style w:type="paragraph" w:styleId="ListContinue3">
    <w:name w:val="List Continue 3"/>
    <w:basedOn w:val="Normal"/>
    <w:uiPriority w:val="99"/>
    <w:unhideWhenUsed/>
    <w:qFormat/>
    <w:rsid w:val="00D76108"/>
    <w:pPr>
      <w:spacing w:after="120"/>
      <w:ind w:left="849"/>
      <w:contextualSpacing/>
    </w:pPr>
  </w:style>
  <w:style w:type="paragraph" w:styleId="ListNumber2">
    <w:name w:val="List Number 2"/>
    <w:basedOn w:val="Normal"/>
    <w:uiPriority w:val="99"/>
    <w:unhideWhenUsed/>
    <w:qFormat/>
    <w:rsid w:val="00D76108"/>
    <w:pPr>
      <w:numPr>
        <w:numId w:val="16"/>
      </w:numPr>
      <w:contextualSpacing/>
    </w:pPr>
  </w:style>
  <w:style w:type="paragraph" w:styleId="ListNumber3">
    <w:name w:val="List Number 3"/>
    <w:basedOn w:val="Normal"/>
    <w:uiPriority w:val="99"/>
    <w:unhideWhenUsed/>
    <w:qFormat/>
    <w:rsid w:val="00D76108"/>
    <w:pPr>
      <w:numPr>
        <w:numId w:val="17"/>
      </w:numPr>
      <w:contextualSpacing/>
    </w:pPr>
  </w:style>
  <w:style w:type="paragraph" w:styleId="ListNumber4">
    <w:name w:val="List Number 4"/>
    <w:basedOn w:val="Normal"/>
    <w:uiPriority w:val="99"/>
    <w:unhideWhenUsed/>
    <w:qFormat/>
    <w:rsid w:val="00D76108"/>
    <w:pPr>
      <w:numPr>
        <w:numId w:val="18"/>
      </w:numPr>
      <w:contextualSpacing/>
    </w:pPr>
  </w:style>
  <w:style w:type="paragraph" w:styleId="ListNumber5">
    <w:name w:val="List Number 5"/>
    <w:basedOn w:val="Normal"/>
    <w:uiPriority w:val="99"/>
    <w:unhideWhenUsed/>
    <w:qFormat/>
    <w:rsid w:val="00D76108"/>
    <w:pPr>
      <w:numPr>
        <w:numId w:val="1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6749">
      <w:bodyDiv w:val="1"/>
      <w:marLeft w:val="0"/>
      <w:marRight w:val="0"/>
      <w:marTop w:val="0"/>
      <w:marBottom w:val="0"/>
      <w:divBdr>
        <w:top w:val="none" w:sz="0" w:space="0" w:color="auto"/>
        <w:left w:val="none" w:sz="0" w:space="0" w:color="auto"/>
        <w:bottom w:val="none" w:sz="0" w:space="0" w:color="auto"/>
        <w:right w:val="none" w:sz="0" w:space="0" w:color="auto"/>
      </w:divBdr>
    </w:div>
    <w:div w:id="63651492">
      <w:bodyDiv w:val="1"/>
      <w:marLeft w:val="0"/>
      <w:marRight w:val="0"/>
      <w:marTop w:val="0"/>
      <w:marBottom w:val="0"/>
      <w:divBdr>
        <w:top w:val="none" w:sz="0" w:space="0" w:color="auto"/>
        <w:left w:val="none" w:sz="0" w:space="0" w:color="auto"/>
        <w:bottom w:val="none" w:sz="0" w:space="0" w:color="auto"/>
        <w:right w:val="none" w:sz="0" w:space="0" w:color="auto"/>
      </w:divBdr>
    </w:div>
    <w:div w:id="205218312">
      <w:bodyDiv w:val="1"/>
      <w:marLeft w:val="0"/>
      <w:marRight w:val="0"/>
      <w:marTop w:val="0"/>
      <w:marBottom w:val="0"/>
      <w:divBdr>
        <w:top w:val="none" w:sz="0" w:space="0" w:color="auto"/>
        <w:left w:val="none" w:sz="0" w:space="0" w:color="auto"/>
        <w:bottom w:val="none" w:sz="0" w:space="0" w:color="auto"/>
        <w:right w:val="none" w:sz="0" w:space="0" w:color="auto"/>
      </w:divBdr>
    </w:div>
    <w:div w:id="316735939">
      <w:bodyDiv w:val="1"/>
      <w:marLeft w:val="0"/>
      <w:marRight w:val="0"/>
      <w:marTop w:val="0"/>
      <w:marBottom w:val="0"/>
      <w:divBdr>
        <w:top w:val="none" w:sz="0" w:space="0" w:color="auto"/>
        <w:left w:val="none" w:sz="0" w:space="0" w:color="auto"/>
        <w:bottom w:val="none" w:sz="0" w:space="0" w:color="auto"/>
        <w:right w:val="none" w:sz="0" w:space="0" w:color="auto"/>
      </w:divBdr>
    </w:div>
    <w:div w:id="542524327">
      <w:bodyDiv w:val="1"/>
      <w:marLeft w:val="0"/>
      <w:marRight w:val="0"/>
      <w:marTop w:val="0"/>
      <w:marBottom w:val="0"/>
      <w:divBdr>
        <w:top w:val="none" w:sz="0" w:space="0" w:color="auto"/>
        <w:left w:val="none" w:sz="0" w:space="0" w:color="auto"/>
        <w:bottom w:val="none" w:sz="0" w:space="0" w:color="auto"/>
        <w:right w:val="none" w:sz="0" w:space="0" w:color="auto"/>
      </w:divBdr>
    </w:div>
    <w:div w:id="621495162">
      <w:bodyDiv w:val="1"/>
      <w:marLeft w:val="0"/>
      <w:marRight w:val="0"/>
      <w:marTop w:val="0"/>
      <w:marBottom w:val="0"/>
      <w:divBdr>
        <w:top w:val="none" w:sz="0" w:space="0" w:color="auto"/>
        <w:left w:val="none" w:sz="0" w:space="0" w:color="auto"/>
        <w:bottom w:val="none" w:sz="0" w:space="0" w:color="auto"/>
        <w:right w:val="none" w:sz="0" w:space="0" w:color="auto"/>
      </w:divBdr>
    </w:div>
    <w:div w:id="642127842">
      <w:bodyDiv w:val="1"/>
      <w:marLeft w:val="0"/>
      <w:marRight w:val="0"/>
      <w:marTop w:val="0"/>
      <w:marBottom w:val="0"/>
      <w:divBdr>
        <w:top w:val="none" w:sz="0" w:space="0" w:color="auto"/>
        <w:left w:val="none" w:sz="0" w:space="0" w:color="auto"/>
        <w:bottom w:val="none" w:sz="0" w:space="0" w:color="auto"/>
        <w:right w:val="none" w:sz="0" w:space="0" w:color="auto"/>
      </w:divBdr>
    </w:div>
    <w:div w:id="771434278">
      <w:bodyDiv w:val="1"/>
      <w:marLeft w:val="0"/>
      <w:marRight w:val="0"/>
      <w:marTop w:val="0"/>
      <w:marBottom w:val="0"/>
      <w:divBdr>
        <w:top w:val="none" w:sz="0" w:space="0" w:color="auto"/>
        <w:left w:val="none" w:sz="0" w:space="0" w:color="auto"/>
        <w:bottom w:val="none" w:sz="0" w:space="0" w:color="auto"/>
        <w:right w:val="none" w:sz="0" w:space="0" w:color="auto"/>
      </w:divBdr>
    </w:div>
    <w:div w:id="782648239">
      <w:bodyDiv w:val="1"/>
      <w:marLeft w:val="0"/>
      <w:marRight w:val="0"/>
      <w:marTop w:val="0"/>
      <w:marBottom w:val="0"/>
      <w:divBdr>
        <w:top w:val="none" w:sz="0" w:space="0" w:color="auto"/>
        <w:left w:val="none" w:sz="0" w:space="0" w:color="auto"/>
        <w:bottom w:val="none" w:sz="0" w:space="0" w:color="auto"/>
        <w:right w:val="none" w:sz="0" w:space="0" w:color="auto"/>
      </w:divBdr>
    </w:div>
    <w:div w:id="1031036207">
      <w:bodyDiv w:val="1"/>
      <w:marLeft w:val="0"/>
      <w:marRight w:val="0"/>
      <w:marTop w:val="0"/>
      <w:marBottom w:val="0"/>
      <w:divBdr>
        <w:top w:val="none" w:sz="0" w:space="0" w:color="auto"/>
        <w:left w:val="none" w:sz="0" w:space="0" w:color="auto"/>
        <w:bottom w:val="none" w:sz="0" w:space="0" w:color="auto"/>
        <w:right w:val="none" w:sz="0" w:space="0" w:color="auto"/>
      </w:divBdr>
    </w:div>
    <w:div w:id="1039627153">
      <w:bodyDiv w:val="1"/>
      <w:marLeft w:val="0"/>
      <w:marRight w:val="0"/>
      <w:marTop w:val="0"/>
      <w:marBottom w:val="0"/>
      <w:divBdr>
        <w:top w:val="none" w:sz="0" w:space="0" w:color="auto"/>
        <w:left w:val="none" w:sz="0" w:space="0" w:color="auto"/>
        <w:bottom w:val="none" w:sz="0" w:space="0" w:color="auto"/>
        <w:right w:val="none" w:sz="0" w:space="0" w:color="auto"/>
      </w:divBdr>
    </w:div>
    <w:div w:id="1047876170">
      <w:bodyDiv w:val="1"/>
      <w:marLeft w:val="0"/>
      <w:marRight w:val="0"/>
      <w:marTop w:val="0"/>
      <w:marBottom w:val="0"/>
      <w:divBdr>
        <w:top w:val="none" w:sz="0" w:space="0" w:color="auto"/>
        <w:left w:val="none" w:sz="0" w:space="0" w:color="auto"/>
        <w:bottom w:val="none" w:sz="0" w:space="0" w:color="auto"/>
        <w:right w:val="none" w:sz="0" w:space="0" w:color="auto"/>
      </w:divBdr>
    </w:div>
    <w:div w:id="1188831649">
      <w:bodyDiv w:val="1"/>
      <w:marLeft w:val="0"/>
      <w:marRight w:val="0"/>
      <w:marTop w:val="0"/>
      <w:marBottom w:val="0"/>
      <w:divBdr>
        <w:top w:val="none" w:sz="0" w:space="0" w:color="auto"/>
        <w:left w:val="none" w:sz="0" w:space="0" w:color="auto"/>
        <w:bottom w:val="none" w:sz="0" w:space="0" w:color="auto"/>
        <w:right w:val="none" w:sz="0" w:space="0" w:color="auto"/>
      </w:divBdr>
    </w:div>
    <w:div w:id="1203320866">
      <w:bodyDiv w:val="1"/>
      <w:marLeft w:val="0"/>
      <w:marRight w:val="0"/>
      <w:marTop w:val="0"/>
      <w:marBottom w:val="0"/>
      <w:divBdr>
        <w:top w:val="none" w:sz="0" w:space="0" w:color="auto"/>
        <w:left w:val="none" w:sz="0" w:space="0" w:color="auto"/>
        <w:bottom w:val="none" w:sz="0" w:space="0" w:color="auto"/>
        <w:right w:val="none" w:sz="0" w:space="0" w:color="auto"/>
      </w:divBdr>
    </w:div>
    <w:div w:id="1265923795">
      <w:bodyDiv w:val="1"/>
      <w:marLeft w:val="0"/>
      <w:marRight w:val="0"/>
      <w:marTop w:val="0"/>
      <w:marBottom w:val="0"/>
      <w:divBdr>
        <w:top w:val="none" w:sz="0" w:space="0" w:color="auto"/>
        <w:left w:val="none" w:sz="0" w:space="0" w:color="auto"/>
        <w:bottom w:val="none" w:sz="0" w:space="0" w:color="auto"/>
        <w:right w:val="none" w:sz="0" w:space="0" w:color="auto"/>
      </w:divBdr>
    </w:div>
    <w:div w:id="1289555631">
      <w:bodyDiv w:val="1"/>
      <w:marLeft w:val="0"/>
      <w:marRight w:val="0"/>
      <w:marTop w:val="0"/>
      <w:marBottom w:val="0"/>
      <w:divBdr>
        <w:top w:val="none" w:sz="0" w:space="0" w:color="auto"/>
        <w:left w:val="none" w:sz="0" w:space="0" w:color="auto"/>
        <w:bottom w:val="none" w:sz="0" w:space="0" w:color="auto"/>
        <w:right w:val="none" w:sz="0" w:space="0" w:color="auto"/>
      </w:divBdr>
    </w:div>
    <w:div w:id="1462461892">
      <w:bodyDiv w:val="1"/>
      <w:marLeft w:val="0"/>
      <w:marRight w:val="0"/>
      <w:marTop w:val="0"/>
      <w:marBottom w:val="0"/>
      <w:divBdr>
        <w:top w:val="none" w:sz="0" w:space="0" w:color="auto"/>
        <w:left w:val="none" w:sz="0" w:space="0" w:color="auto"/>
        <w:bottom w:val="none" w:sz="0" w:space="0" w:color="auto"/>
        <w:right w:val="none" w:sz="0" w:space="0" w:color="auto"/>
      </w:divBdr>
    </w:div>
    <w:div w:id="1654094329">
      <w:bodyDiv w:val="1"/>
      <w:marLeft w:val="0"/>
      <w:marRight w:val="0"/>
      <w:marTop w:val="0"/>
      <w:marBottom w:val="0"/>
      <w:divBdr>
        <w:top w:val="none" w:sz="0" w:space="0" w:color="auto"/>
        <w:left w:val="none" w:sz="0" w:space="0" w:color="auto"/>
        <w:bottom w:val="none" w:sz="0" w:space="0" w:color="auto"/>
        <w:right w:val="none" w:sz="0" w:space="0" w:color="auto"/>
      </w:divBdr>
    </w:div>
    <w:div w:id="1761637961">
      <w:bodyDiv w:val="1"/>
      <w:marLeft w:val="0"/>
      <w:marRight w:val="0"/>
      <w:marTop w:val="0"/>
      <w:marBottom w:val="0"/>
      <w:divBdr>
        <w:top w:val="none" w:sz="0" w:space="0" w:color="auto"/>
        <w:left w:val="none" w:sz="0" w:space="0" w:color="auto"/>
        <w:bottom w:val="none" w:sz="0" w:space="0" w:color="auto"/>
        <w:right w:val="none" w:sz="0" w:space="0" w:color="auto"/>
      </w:divBdr>
    </w:div>
    <w:div w:id="1898858178">
      <w:bodyDiv w:val="1"/>
      <w:marLeft w:val="0"/>
      <w:marRight w:val="0"/>
      <w:marTop w:val="0"/>
      <w:marBottom w:val="0"/>
      <w:divBdr>
        <w:top w:val="none" w:sz="0" w:space="0" w:color="auto"/>
        <w:left w:val="none" w:sz="0" w:space="0" w:color="auto"/>
        <w:bottom w:val="none" w:sz="0" w:space="0" w:color="auto"/>
        <w:right w:val="none" w:sz="0" w:space="0" w:color="auto"/>
      </w:divBdr>
    </w:div>
    <w:div w:id="1909150398">
      <w:bodyDiv w:val="1"/>
      <w:marLeft w:val="0"/>
      <w:marRight w:val="0"/>
      <w:marTop w:val="0"/>
      <w:marBottom w:val="0"/>
      <w:divBdr>
        <w:top w:val="none" w:sz="0" w:space="0" w:color="auto"/>
        <w:left w:val="none" w:sz="0" w:space="0" w:color="auto"/>
        <w:bottom w:val="none" w:sz="0" w:space="0" w:color="auto"/>
        <w:right w:val="none" w:sz="0" w:space="0" w:color="auto"/>
      </w:divBdr>
    </w:div>
    <w:div w:id="1948386047">
      <w:bodyDiv w:val="1"/>
      <w:marLeft w:val="0"/>
      <w:marRight w:val="0"/>
      <w:marTop w:val="0"/>
      <w:marBottom w:val="0"/>
      <w:divBdr>
        <w:top w:val="none" w:sz="0" w:space="0" w:color="auto"/>
        <w:left w:val="none" w:sz="0" w:space="0" w:color="auto"/>
        <w:bottom w:val="none" w:sz="0" w:space="0" w:color="auto"/>
        <w:right w:val="none" w:sz="0" w:space="0" w:color="auto"/>
      </w:divBdr>
    </w:div>
    <w:div w:id="1954897750">
      <w:bodyDiv w:val="1"/>
      <w:marLeft w:val="0"/>
      <w:marRight w:val="0"/>
      <w:marTop w:val="0"/>
      <w:marBottom w:val="0"/>
      <w:divBdr>
        <w:top w:val="none" w:sz="0" w:space="0" w:color="auto"/>
        <w:left w:val="none" w:sz="0" w:space="0" w:color="auto"/>
        <w:bottom w:val="none" w:sz="0" w:space="0" w:color="auto"/>
        <w:right w:val="none" w:sz="0" w:space="0" w:color="auto"/>
      </w:divBdr>
    </w:div>
    <w:div w:id="198169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agriculture.gov.au/abares/publications" TargetMode="External"/><Relationship Id="rId18" Type="http://schemas.openxmlformats.org/officeDocument/2006/relationships/footer" Target="footer1.xm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4.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creativecommons.org/licenses/by/3.0/au/legalcode" TargetMode="External"/><Relationship Id="rId17" Type="http://schemas.openxmlformats.org/officeDocument/2006/relationships/header" Target="header1.xml"/><Relationship Id="rId25" Type="http://schemas.openxmlformats.org/officeDocument/2006/relationships/footer" Target="footer3.xml"/><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mailto:copyright@agriculture.gov.au" TargetMode="External"/><Relationship Id="rId20" Type="http://schemas.openxmlformats.org/officeDocument/2006/relationships/hyperlink" Target="http://www.ala.org.au/" TargetMode="External"/><Relationship Id="rId29" Type="http://schemas.openxmlformats.org/officeDocument/2006/relationships/hyperlink" Target="http://adl.brs.gov.au/data/warehouse/9aabf004/abfpf/abfpfd9aabf00420120629/AustBeef_2012_v1.0.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3.0/au/deed.en" TargetMode="External"/><Relationship Id="rId24" Type="http://schemas.openxmlformats.org/officeDocument/2006/relationships/header" Target="header2.xml"/><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http://agriculture.gov.au/abares/" TargetMode="External"/><Relationship Id="rId23" Type="http://schemas.openxmlformats.org/officeDocument/2006/relationships/footer" Target="footer2.xml"/><Relationship Id="rId28" Type="http://schemas.openxmlformats.org/officeDocument/2006/relationships/hyperlink" Target="http://agriculture.gov.au/abares/publications" TargetMode="External"/><Relationship Id="rId10" Type="http://schemas.openxmlformats.org/officeDocument/2006/relationships/image" Target="media/image2.png"/><Relationship Id="rId19" Type="http://schemas.openxmlformats.org/officeDocument/2006/relationships/image" Target="media/image3.jpeg"/><Relationship Id="rId31" Type="http://schemas.openxmlformats.org/officeDocument/2006/relationships/hyperlink" Target="http://www.ala.org.au/" TargetMode="External"/><Relationship Id="rId4" Type="http://schemas.openxmlformats.org/officeDocument/2006/relationships/settings" Target="settings.xml"/><Relationship Id="rId9" Type="http://schemas.openxmlformats.org/officeDocument/2006/relationships/hyperlink" Target="http://mylink.agdaff.gov.au/team/abares/PublishingImages/Forms/AllItems.aspx?RootFolder=/team/abares/PublishingImages/New%20ABARES%20Biospheres&amp;FolderCTID=&amp;View=%7bEB907063-4A2F-47EA-9720-EBD3B0525CB7%7d" TargetMode="External"/><Relationship Id="rId14" Type="http://schemas.openxmlformats.org/officeDocument/2006/relationships/hyperlink" Target="mailto:info.abares@agriculture.gov.au" TargetMode="External"/><Relationship Id="rId22" Type="http://schemas.openxmlformats.org/officeDocument/2006/relationships/image" Target="media/image5.png"/><Relationship Id="rId27" Type="http://schemas.openxmlformats.org/officeDocument/2006/relationships/footer" Target="footer4.xml"/><Relationship Id="rId30" Type="http://schemas.openxmlformats.org/officeDocument/2006/relationships/hyperlink" Target="http://adl.brs.gov.au/data/warehouse/agcomd9abcc004/agcomd9abcc004201209/AgCommodities2012.Vol2.No3_Ver1.1.0.pdf"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L:\Templates\ABARES\ABARES-report-template-May-2016.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2BEC9E-EB97-427D-BFCF-57B28B83C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ABARES-report-template-May-2016</Template>
  <TotalTime>0</TotalTime>
  <Pages>14</Pages>
  <Words>3137</Words>
  <Characters>17885</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ABARES report template</vt:lpstr>
    </vt:vector>
  </TitlesOfParts>
  <Company>Reading Room Australia</Company>
  <LinksUpToDate>false</LinksUpToDate>
  <CharactersWithSpaces>20981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ABARES report template</dc:title>
  <dc:creator>Hughes, Neal</dc:creator>
  <cp:lastModifiedBy>DAUser</cp:lastModifiedBy>
  <cp:revision>2</cp:revision>
  <cp:lastPrinted>2015-04-02T03:46:00Z</cp:lastPrinted>
  <dcterms:created xsi:type="dcterms:W3CDTF">2016-09-07T04:44:00Z</dcterms:created>
  <dcterms:modified xsi:type="dcterms:W3CDTF">2016-09-07T04:44:00Z</dcterms:modified>
  <cp:contentStatus>May 2016</cp:contentStatus>
</cp:coreProperties>
</file>