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75B" w:rsidRDefault="00A73A83" w:rsidP="00A73A83">
      <w:pPr>
        <w:pStyle w:val="Title"/>
      </w:pPr>
      <w:r>
        <w:t>Revamped MTS Visualizations</w:t>
      </w:r>
    </w:p>
    <w:p w:rsidR="00FA484C" w:rsidRDefault="005822E0" w:rsidP="00FA484C">
      <w:pPr>
        <w:rPr>
          <w:rStyle w:val="SubtleEmphasis"/>
        </w:rPr>
      </w:pPr>
      <w:r>
        <w:rPr>
          <w:rStyle w:val="SubtleEmphasis"/>
        </w:rPr>
        <w:t>Instructions</w:t>
      </w:r>
      <w:r w:rsidR="00FA484C">
        <w:rPr>
          <w:rStyle w:val="SubtleEmphasis"/>
        </w:rPr>
        <w:t xml:space="preserve"> for </w:t>
      </w:r>
      <w:r>
        <w:rPr>
          <w:rStyle w:val="SubtleEmphasis"/>
        </w:rPr>
        <w:t xml:space="preserve">Creating </w:t>
      </w:r>
      <w:r w:rsidR="00FA484C" w:rsidRPr="00FA484C">
        <w:rPr>
          <w:rStyle w:val="SubtleEmphasis"/>
        </w:rPr>
        <w:t>Figures</w:t>
      </w:r>
      <w:r w:rsidR="00FA484C">
        <w:rPr>
          <w:rStyle w:val="SubtleEmphasis"/>
        </w:rPr>
        <w:t xml:space="preserve"> 1, 3, and 4</w:t>
      </w:r>
      <w:r>
        <w:rPr>
          <w:rStyle w:val="SubtleEmphasis"/>
        </w:rPr>
        <w:t xml:space="preserve"> in Tableau.</w:t>
      </w:r>
    </w:p>
    <w:p w:rsidR="00094C2A" w:rsidRDefault="00094C2A" w:rsidP="00094C2A">
      <w:pPr>
        <w:pStyle w:val="Heading1"/>
        <w:rPr>
          <w:rStyle w:val="SubtleEmphasis"/>
          <w:i w:val="0"/>
          <w:iCs w:val="0"/>
          <w:color w:val="2F5496" w:themeColor="accent1" w:themeShade="BF"/>
        </w:rPr>
      </w:pPr>
      <w:r w:rsidRPr="00094C2A">
        <w:rPr>
          <w:rStyle w:val="SubtleEmphasis"/>
          <w:i w:val="0"/>
          <w:iCs w:val="0"/>
          <w:color w:val="2F5496" w:themeColor="accent1" w:themeShade="BF"/>
        </w:rPr>
        <w:t>Documents &amp; Directories</w:t>
      </w:r>
    </w:p>
    <w:p w:rsidR="00094C2A" w:rsidRDefault="00094C2A" w:rsidP="00094C2A">
      <w:r>
        <w:t xml:space="preserve">The main MTS folder comes with several folders/files. The names of the folders and the organizational structure is baked into the scripts </w:t>
      </w:r>
      <w:r w:rsidR="005822E0">
        <w:t>to</w:t>
      </w:r>
      <w:r>
        <w:t xml:space="preserve"> </w:t>
      </w:r>
      <w:r w:rsidR="005822E0">
        <w:t xml:space="preserve">take the raw MTS data and transform it into the various datasets to create the figures in Tableau. Be aware that renaming folders or rearranging this directory structure will require updating the code. </w:t>
      </w:r>
    </w:p>
    <w:p w:rsidR="005822E0" w:rsidRDefault="005822E0" w:rsidP="00094C2A">
      <w:r>
        <w:t>The raw dat</w:t>
      </w:r>
      <w:r w:rsidR="00F55EA7">
        <w:t>a folder currently contains MTS</w:t>
      </w:r>
      <w:r>
        <w:t xml:space="preserve"> from Jan. 2016 through Aug. 2017. This folder will</w:t>
      </w:r>
      <w:r w:rsidR="00F55EA7">
        <w:t xml:space="preserve"> always need to contain all MTS</w:t>
      </w:r>
      <w:r>
        <w:t xml:space="preserve"> YTD from the current year and all MTSs from the previous year. This is the fold</w:t>
      </w:r>
      <w:r w:rsidR="00F55EA7">
        <w:t>er where you will store new MTS</w:t>
      </w:r>
      <w:r>
        <w:t xml:space="preserve"> as they are released. </w:t>
      </w:r>
    </w:p>
    <w:p w:rsidR="0093575B" w:rsidRDefault="0093575B" w:rsidP="0093575B">
      <w:pPr>
        <w:pStyle w:val="Heading1"/>
      </w:pPr>
      <w:r>
        <w:t>Steps</w:t>
      </w:r>
    </w:p>
    <w:p w:rsidR="00FA484C" w:rsidRPr="00FA484C" w:rsidRDefault="00FA484C" w:rsidP="00FA484C">
      <w:r>
        <w:t xml:space="preserve">Please note that multiple paths or solutions exist, both in the python scripts and Tableau step-by-step instructions. These instructions aim to be detailed, but are </w:t>
      </w:r>
      <w:r w:rsidR="00597434">
        <w:t xml:space="preserve">certainly </w:t>
      </w:r>
      <w:r>
        <w:t xml:space="preserve">not the only way to achieve the desired end result. </w:t>
      </w:r>
      <w:r w:rsidR="00597434">
        <w:t xml:space="preserve">Unless otherwise noted, the steps apply to all three figures. </w:t>
      </w:r>
    </w:p>
    <w:p w:rsidR="00C2731E" w:rsidRDefault="00CC2EB5" w:rsidP="00CC2EB5">
      <w:pPr>
        <w:pStyle w:val="Heading2"/>
      </w:pPr>
      <w:r>
        <w:t>Prep the data</w:t>
      </w:r>
    </w:p>
    <w:p w:rsidR="00060EE7" w:rsidRPr="00060EE7" w:rsidRDefault="00060EE7" w:rsidP="00060EE7">
      <w:r>
        <w:t>To go from the downloaded MTS data to “figure datasets” that are Tableau-ready, we will need to run a script to wrangle the data into the format we want.</w:t>
      </w:r>
    </w:p>
    <w:p w:rsidR="00CC2EB5" w:rsidRDefault="00CC2EB5" w:rsidP="00060EE7">
      <w:pPr>
        <w:pStyle w:val="Heading3"/>
      </w:pPr>
      <w:r>
        <w:t>Run</w:t>
      </w:r>
      <w:r w:rsidR="000A7A6A">
        <w:t>ning the Python script: “</w:t>
      </w:r>
      <w:proofErr w:type="spellStart"/>
      <w:r w:rsidR="000A7A6A">
        <w:t>MTS_Create_Viz_Datasets_for_Tableau</w:t>
      </w:r>
      <w:proofErr w:type="spellEnd"/>
      <w:r w:rsidR="000A7A6A">
        <w:t>”</w:t>
      </w:r>
    </w:p>
    <w:p w:rsidR="001D081B" w:rsidRPr="001D081B" w:rsidRDefault="000A7A6A" w:rsidP="000A7A6A">
      <w:r>
        <w:t xml:space="preserve">This script can be found in the scripts folder. Several items will need to be </w:t>
      </w:r>
      <w:r w:rsidR="00C0305A">
        <w:t xml:space="preserve">edited once to get started and others, </w:t>
      </w:r>
      <w:r>
        <w:t xml:space="preserve">every time a new MTS is being read in. To help facilitate the </w:t>
      </w:r>
      <w:r w:rsidR="001D081B">
        <w:t xml:space="preserve">process of finding these spots in the code, there will be areas marked with </w:t>
      </w:r>
      <w:r w:rsidR="001D081B" w:rsidRPr="001D081B">
        <w:rPr>
          <w:i/>
        </w:rPr>
        <w:t>“””CHANGE ME!”””</w:t>
      </w:r>
      <w:r w:rsidR="001D081B">
        <w:t xml:space="preserve"> </w:t>
      </w:r>
      <w:r w:rsidR="001D081B">
        <w:rPr>
          <w:i/>
        </w:rPr>
        <w:t xml:space="preserve"> </w:t>
      </w:r>
      <w:r w:rsidR="001D081B">
        <w:t>so that you can search through the script.</w:t>
      </w:r>
    </w:p>
    <w:p w:rsidR="00060EE7" w:rsidRDefault="00060EE7" w:rsidP="00060EE7">
      <w:pPr>
        <w:pStyle w:val="ListParagraph"/>
        <w:numPr>
          <w:ilvl w:val="0"/>
          <w:numId w:val="3"/>
        </w:numPr>
      </w:pPr>
      <w:r>
        <w:t xml:space="preserve">Change directories variables to match the local machine and the </w:t>
      </w:r>
      <w:r w:rsidR="00702C6B">
        <w:t xml:space="preserve">local </w:t>
      </w:r>
      <w:r>
        <w:t>directory structure</w:t>
      </w:r>
    </w:p>
    <w:p w:rsidR="00702C6B" w:rsidRPr="00702C6B" w:rsidRDefault="00702C6B" w:rsidP="00702C6B">
      <w:pPr>
        <w:pStyle w:val="ListParagraph"/>
        <w:numPr>
          <w:ilvl w:val="1"/>
          <w:numId w:val="3"/>
        </w:numPr>
        <w:rPr>
          <w:rFonts w:ascii="Courier New" w:hAnsi="Courier New" w:cs="Courier New"/>
        </w:rPr>
      </w:pPr>
      <w:r>
        <w:t xml:space="preserve">Replace this with your own path to the MTS folder: </w:t>
      </w:r>
    </w:p>
    <w:p w:rsidR="00702C6B" w:rsidRDefault="00702C6B" w:rsidP="00702C6B">
      <w:pPr>
        <w:pStyle w:val="ListParagraph"/>
        <w:numPr>
          <w:ilvl w:val="1"/>
          <w:numId w:val="3"/>
        </w:numPr>
        <w:rPr>
          <w:rFonts w:ascii="Courier New" w:hAnsi="Courier New" w:cs="Courier New"/>
          <w:sz w:val="20"/>
          <w:szCs w:val="20"/>
        </w:rPr>
      </w:pPr>
      <w:r w:rsidRPr="00702C6B">
        <w:rPr>
          <w:sz w:val="20"/>
          <w:szCs w:val="20"/>
        </w:rPr>
        <w:t xml:space="preserve"> </w:t>
      </w:r>
      <w:proofErr w:type="spellStart"/>
      <w:r w:rsidRPr="00702C6B">
        <w:rPr>
          <w:rFonts w:ascii="Courier New" w:hAnsi="Courier New" w:cs="Courier New"/>
          <w:sz w:val="20"/>
          <w:szCs w:val="20"/>
        </w:rPr>
        <w:t>main_dir</w:t>
      </w:r>
      <w:proofErr w:type="spellEnd"/>
      <w:r w:rsidRPr="00702C6B">
        <w:rPr>
          <w:rFonts w:ascii="Courier New" w:hAnsi="Courier New" w:cs="Courier New"/>
          <w:sz w:val="20"/>
          <w:szCs w:val="20"/>
        </w:rPr>
        <w:t xml:space="preserve"> ="C:/Users/583902/Desktop/BAH1/_Treasury_DATA_Act"</w:t>
      </w:r>
    </w:p>
    <w:p w:rsidR="00CA331D" w:rsidRPr="00CA331D" w:rsidRDefault="00CA331D" w:rsidP="00702C6B">
      <w:pPr>
        <w:pStyle w:val="ListParagraph"/>
        <w:numPr>
          <w:ilvl w:val="1"/>
          <w:numId w:val="3"/>
        </w:numPr>
      </w:pPr>
      <w:r w:rsidRPr="00CA331D">
        <w:t>This will only need to be changed once.</w:t>
      </w:r>
    </w:p>
    <w:p w:rsidR="00060EE7" w:rsidRDefault="00060EE7" w:rsidP="00060EE7">
      <w:pPr>
        <w:pStyle w:val="ListParagraph"/>
        <w:numPr>
          <w:ilvl w:val="0"/>
          <w:numId w:val="3"/>
        </w:numPr>
      </w:pPr>
      <w:r>
        <w:t xml:space="preserve">Change the current/previous month and FY variables at the top of the script. </w:t>
      </w:r>
    </w:p>
    <w:p w:rsidR="00CA331D" w:rsidRDefault="00CA331D" w:rsidP="00CA331D">
      <w:pPr>
        <w:pStyle w:val="ListParagraph"/>
        <w:numPr>
          <w:ilvl w:val="1"/>
          <w:numId w:val="3"/>
        </w:numPr>
      </w:pPr>
      <w:r>
        <w:t>This will need to be changed monthly.</w:t>
      </w:r>
    </w:p>
    <w:p w:rsidR="00620D6A" w:rsidRDefault="00620D6A" w:rsidP="00620D6A">
      <w:pPr>
        <w:pStyle w:val="ListParagraph"/>
        <w:numPr>
          <w:ilvl w:val="0"/>
          <w:numId w:val="3"/>
        </w:numPr>
      </w:pPr>
      <w:r>
        <w:t xml:space="preserve">Change the file name: </w:t>
      </w:r>
      <w:r w:rsidRPr="00620D6A">
        <w:t>"/mts0517.xls"</w:t>
      </w:r>
      <w:r>
        <w:t xml:space="preserve"> to match the month you’re interested in. </w:t>
      </w:r>
    </w:p>
    <w:p w:rsidR="00CA331D" w:rsidRDefault="00CA331D" w:rsidP="00CA331D">
      <w:pPr>
        <w:pStyle w:val="ListParagraph"/>
        <w:numPr>
          <w:ilvl w:val="1"/>
          <w:numId w:val="3"/>
        </w:numPr>
      </w:pPr>
      <w:r>
        <w:t>This will need to be changed monthly.</w:t>
      </w:r>
    </w:p>
    <w:p w:rsidR="00702C6B" w:rsidRDefault="00702C6B" w:rsidP="00702C6B">
      <w:pPr>
        <w:pStyle w:val="ListParagraph"/>
        <w:numPr>
          <w:ilvl w:val="0"/>
          <w:numId w:val="3"/>
        </w:numPr>
      </w:pPr>
      <w:r>
        <w:t>Clear table9 output folder by moving any files in there to archived</w:t>
      </w:r>
    </w:p>
    <w:p w:rsidR="00702C6B" w:rsidRDefault="00CA331D" w:rsidP="00702C6B">
      <w:pPr>
        <w:pStyle w:val="ListParagraph"/>
        <w:numPr>
          <w:ilvl w:val="1"/>
          <w:numId w:val="3"/>
        </w:numPr>
      </w:pPr>
      <w:r>
        <w:t xml:space="preserve">The directory structure for this is: </w:t>
      </w:r>
      <w:r w:rsidR="00702C6B">
        <w:t xml:space="preserve">MTS &gt; data &gt; output &gt; </w:t>
      </w:r>
      <w:r w:rsidR="00702C6B" w:rsidRPr="00702C6B">
        <w:t>table9</w:t>
      </w:r>
    </w:p>
    <w:p w:rsidR="00D90DA4" w:rsidRDefault="00CA331D" w:rsidP="00D90DA4">
      <w:pPr>
        <w:pStyle w:val="ListParagraph"/>
        <w:numPr>
          <w:ilvl w:val="1"/>
          <w:numId w:val="3"/>
        </w:numPr>
      </w:pPr>
      <w:r>
        <w:t>This will need to be changed monthly.</w:t>
      </w:r>
    </w:p>
    <w:p w:rsidR="00F11696" w:rsidRDefault="00C0305A" w:rsidP="00F11696">
      <w:pPr>
        <w:pStyle w:val="ListParagraph"/>
        <w:numPr>
          <w:ilvl w:val="0"/>
          <w:numId w:val="3"/>
        </w:numPr>
      </w:pPr>
      <w:r>
        <w:t>Check the output folder to ensure the Tableau-ready datasets are there and the process work</w:t>
      </w:r>
      <w:r w:rsidR="00F11696">
        <w:t>ed. Note that t</w:t>
      </w:r>
      <w:r>
        <w:t xml:space="preserve">he current code has python create a CSV with a filename indicating the date it was created. Thus, if you </w:t>
      </w:r>
      <w:r w:rsidR="00F11696">
        <w:t xml:space="preserve">could end up with multiple files representing </w:t>
      </w:r>
      <w:r w:rsidR="00D05A95">
        <w:t xml:space="preserve">the same July 2017 MTS, e.g.: </w:t>
      </w:r>
    </w:p>
    <w:p w:rsidR="00F11696" w:rsidRPr="00F11696" w:rsidRDefault="00F11696" w:rsidP="00F11696">
      <w:pPr>
        <w:pStyle w:val="ListParagraph"/>
        <w:numPr>
          <w:ilvl w:val="1"/>
          <w:numId w:val="3"/>
        </w:numPr>
        <w:rPr>
          <w:rFonts w:ascii="Courier New" w:hAnsi="Courier New" w:cs="Courier New"/>
          <w:sz w:val="20"/>
          <w:szCs w:val="20"/>
        </w:rPr>
      </w:pPr>
      <w:r w:rsidRPr="00F11696">
        <w:rPr>
          <w:rFonts w:ascii="Courier New" w:hAnsi="Courier New" w:cs="Courier New"/>
          <w:sz w:val="20"/>
          <w:szCs w:val="20"/>
        </w:rPr>
        <w:t>fig1_0717_made_170915</w:t>
      </w:r>
    </w:p>
    <w:p w:rsidR="00F11696" w:rsidRPr="00F11696" w:rsidRDefault="00F11696" w:rsidP="00F11696">
      <w:pPr>
        <w:pStyle w:val="ListParagraph"/>
        <w:numPr>
          <w:ilvl w:val="1"/>
          <w:numId w:val="3"/>
        </w:numPr>
        <w:rPr>
          <w:rFonts w:ascii="Courier New" w:hAnsi="Courier New" w:cs="Courier New"/>
          <w:sz w:val="20"/>
          <w:szCs w:val="20"/>
        </w:rPr>
      </w:pPr>
      <w:r w:rsidRPr="00F11696">
        <w:rPr>
          <w:rFonts w:ascii="Courier New" w:hAnsi="Courier New" w:cs="Courier New"/>
          <w:sz w:val="20"/>
          <w:szCs w:val="20"/>
        </w:rPr>
        <w:t>fig1_0717_made_170918</w:t>
      </w:r>
    </w:p>
    <w:p w:rsidR="00BF0CDA" w:rsidRDefault="00BF0CDA" w:rsidP="00A73A83">
      <w:pPr>
        <w:pStyle w:val="Heading2"/>
        <w:sectPr w:rsidR="00BF0CDA">
          <w:pgSz w:w="12240" w:h="15840"/>
          <w:pgMar w:top="1440" w:right="1440" w:bottom="1440" w:left="1440" w:header="720" w:footer="720" w:gutter="0"/>
          <w:cols w:space="720"/>
          <w:docGrid w:linePitch="360"/>
        </w:sectPr>
      </w:pPr>
    </w:p>
    <w:p w:rsidR="00A73A83" w:rsidRDefault="00A73A83" w:rsidP="00A73A83">
      <w:pPr>
        <w:pStyle w:val="Heading2"/>
      </w:pPr>
      <w:r>
        <w:lastRenderedPageBreak/>
        <w:t>In Tableau</w:t>
      </w:r>
    </w:p>
    <w:p w:rsidR="00FA484C" w:rsidRDefault="00FA484C" w:rsidP="00FA484C">
      <w:pPr>
        <w:pStyle w:val="Heading3"/>
      </w:pPr>
      <w:r>
        <w:t>Action required: swapping in a new MTS into last month’s workbook</w:t>
      </w:r>
    </w:p>
    <w:p w:rsidR="00D90DA4" w:rsidRPr="00597434" w:rsidRDefault="00D90DA4" w:rsidP="00597434"/>
    <w:tbl>
      <w:tblPr>
        <w:tblStyle w:val="TableGrid"/>
        <w:tblW w:w="0" w:type="auto"/>
        <w:tblLook w:val="04A0" w:firstRow="1" w:lastRow="0" w:firstColumn="1" w:lastColumn="0" w:noHBand="0" w:noVBand="1"/>
      </w:tblPr>
      <w:tblGrid>
        <w:gridCol w:w="1688"/>
        <w:gridCol w:w="2267"/>
        <w:gridCol w:w="5395"/>
      </w:tblGrid>
      <w:tr w:rsidR="004E28FA" w:rsidTr="00B8554A">
        <w:tc>
          <w:tcPr>
            <w:tcW w:w="1688" w:type="dxa"/>
            <w:shd w:val="clear" w:color="auto" w:fill="D9D9D9" w:themeFill="background1" w:themeFillShade="D9"/>
          </w:tcPr>
          <w:p w:rsidR="00597434" w:rsidRPr="00597434" w:rsidRDefault="00597434" w:rsidP="00597434">
            <w:pPr>
              <w:rPr>
                <w:b/>
              </w:rPr>
            </w:pPr>
            <w:r w:rsidRPr="00597434">
              <w:rPr>
                <w:b/>
              </w:rPr>
              <w:t>STEP</w:t>
            </w:r>
          </w:p>
        </w:tc>
        <w:tc>
          <w:tcPr>
            <w:tcW w:w="2267" w:type="dxa"/>
            <w:shd w:val="clear" w:color="auto" w:fill="D9D9D9" w:themeFill="background1" w:themeFillShade="D9"/>
          </w:tcPr>
          <w:p w:rsidR="00597434" w:rsidRPr="00597434" w:rsidRDefault="00597434" w:rsidP="00597434">
            <w:pPr>
              <w:rPr>
                <w:b/>
              </w:rPr>
            </w:pPr>
            <w:r w:rsidRPr="00597434">
              <w:rPr>
                <w:b/>
              </w:rPr>
              <w:t>INSTRUCTIONS</w:t>
            </w:r>
          </w:p>
        </w:tc>
        <w:tc>
          <w:tcPr>
            <w:tcW w:w="5395" w:type="dxa"/>
            <w:shd w:val="clear" w:color="auto" w:fill="D9D9D9" w:themeFill="background1" w:themeFillShade="D9"/>
          </w:tcPr>
          <w:p w:rsidR="00597434" w:rsidRPr="00597434" w:rsidRDefault="00597434" w:rsidP="00597434">
            <w:pPr>
              <w:rPr>
                <w:b/>
              </w:rPr>
            </w:pPr>
            <w:r w:rsidRPr="00597434">
              <w:rPr>
                <w:b/>
              </w:rPr>
              <w:t>SCREENSHOT</w:t>
            </w:r>
          </w:p>
        </w:tc>
      </w:tr>
      <w:tr w:rsidR="00DE043B" w:rsidTr="00B8554A">
        <w:tc>
          <w:tcPr>
            <w:tcW w:w="1688" w:type="dxa"/>
          </w:tcPr>
          <w:p w:rsidR="00597434" w:rsidRDefault="00597434" w:rsidP="00597434">
            <w:r>
              <w:t>1. Add new data source</w:t>
            </w:r>
          </w:p>
          <w:p w:rsidR="00597434" w:rsidRDefault="00597434" w:rsidP="00597434"/>
        </w:tc>
        <w:tc>
          <w:tcPr>
            <w:tcW w:w="2267" w:type="dxa"/>
          </w:tcPr>
          <w:p w:rsidR="00597434" w:rsidRDefault="00597434" w:rsidP="00597434">
            <w:r>
              <w:t xml:space="preserve">On a worksheet, go to Data in the top left menu, and select New Data Source. </w:t>
            </w:r>
          </w:p>
          <w:p w:rsidR="00597434" w:rsidRDefault="00597434" w:rsidP="00597434">
            <w:r>
              <w:t xml:space="preserve">Under “Connect” on the left, click “More…” to browse for the new dataset file located here: </w:t>
            </w:r>
          </w:p>
          <w:p w:rsidR="00597434" w:rsidRDefault="00597434" w:rsidP="00597434">
            <w:r>
              <w:t xml:space="preserve">MTS &gt; data &gt; output &gt; </w:t>
            </w:r>
            <w:proofErr w:type="spellStart"/>
            <w:r>
              <w:t>figure_datasets</w:t>
            </w:r>
            <w:proofErr w:type="spellEnd"/>
            <w:r>
              <w:t>. This will take you to the Data Source tab.</w:t>
            </w:r>
          </w:p>
        </w:tc>
        <w:tc>
          <w:tcPr>
            <w:tcW w:w="5395" w:type="dxa"/>
          </w:tcPr>
          <w:p w:rsidR="00597434" w:rsidRDefault="00B8554A" w:rsidP="00597434">
            <w:r>
              <w:object w:dxaOrig="7540" w:dyaOrig="5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83pt" o:ole="">
                  <v:imagedata r:id="rId5" o:title=""/>
                </v:shape>
                <o:OLEObject Type="Embed" ProgID="PBrush" ShapeID="_x0000_i1025" DrawAspect="Content" ObjectID="_1567601651" r:id="rId6"/>
              </w:object>
            </w:r>
          </w:p>
        </w:tc>
      </w:tr>
      <w:tr w:rsidR="00DE043B" w:rsidTr="00B8554A">
        <w:tc>
          <w:tcPr>
            <w:tcW w:w="1688" w:type="dxa"/>
          </w:tcPr>
          <w:p w:rsidR="00597434" w:rsidRDefault="00597434" w:rsidP="00597434">
            <w:r>
              <w:t>2. Replace data source</w:t>
            </w:r>
          </w:p>
          <w:p w:rsidR="00597434" w:rsidRDefault="00597434" w:rsidP="00597434"/>
        </w:tc>
        <w:tc>
          <w:tcPr>
            <w:tcW w:w="2267" w:type="dxa"/>
          </w:tcPr>
          <w:p w:rsidR="00597434" w:rsidRDefault="00597434" w:rsidP="00597434">
            <w:r>
              <w:t xml:space="preserve">Go back to the worksheet, and select Data from the menu. Select Replace Data Source. </w:t>
            </w:r>
            <w:r w:rsidR="00DE043B">
              <w:t>In the window that pops up, ensure the new dataset is the “replacement.”</w:t>
            </w:r>
          </w:p>
        </w:tc>
        <w:tc>
          <w:tcPr>
            <w:tcW w:w="5395" w:type="dxa"/>
          </w:tcPr>
          <w:p w:rsidR="00597434" w:rsidRDefault="00597434" w:rsidP="00597434">
            <w:r>
              <w:object w:dxaOrig="2750" w:dyaOrig="1870">
                <v:shape id="_x0000_i1026" type="#_x0000_t75" style="width:137.25pt;height:93.75pt" o:ole="">
                  <v:imagedata r:id="rId7" o:title=""/>
                </v:shape>
                <o:OLEObject Type="Embed" ProgID="PBrush" ShapeID="_x0000_i1026" DrawAspect="Content" ObjectID="_1567601652" r:id="rId8"/>
              </w:object>
            </w:r>
          </w:p>
        </w:tc>
      </w:tr>
      <w:tr w:rsidR="00637BC0" w:rsidTr="00B8554A">
        <w:tc>
          <w:tcPr>
            <w:tcW w:w="1688" w:type="dxa"/>
          </w:tcPr>
          <w:p w:rsidR="00DE043B" w:rsidRDefault="00DE043B" w:rsidP="00597434">
            <w:r>
              <w:t xml:space="preserve">3. Fix year/month pills </w:t>
            </w:r>
          </w:p>
        </w:tc>
        <w:tc>
          <w:tcPr>
            <w:tcW w:w="2267" w:type="dxa"/>
          </w:tcPr>
          <w:p w:rsidR="00DE043B" w:rsidRDefault="00535EFA" w:rsidP="00DE043B">
            <w:r>
              <w:t>Year/Month pills in the columns</w:t>
            </w:r>
            <w:r w:rsidR="00DE043B">
              <w:t xml:space="preserve"> bar turned red. They “broke” because they were formerly tagged as dates with a hierarchy, but the new data loads </w:t>
            </w:r>
            <w:r>
              <w:t>date</w:t>
            </w:r>
            <w:r w:rsidR="00DE043B">
              <w:t xml:space="preserve"> in as a string.</w:t>
            </w:r>
          </w:p>
          <w:p w:rsidR="00DE043B" w:rsidRDefault="00DE043B" w:rsidP="00DE043B">
            <w:r>
              <w:t>In Dimensions</w:t>
            </w:r>
            <w:r w:rsidR="00910C12">
              <w:t xml:space="preserve"> on the left</w:t>
            </w:r>
            <w:r>
              <w:t xml:space="preserve">, right click Date and hover over Change Data Type. Select “Date.” You should see the pills revert to blue. </w:t>
            </w:r>
          </w:p>
          <w:p w:rsidR="00DE043B" w:rsidRDefault="00DE043B" w:rsidP="00597434"/>
        </w:tc>
        <w:tc>
          <w:tcPr>
            <w:tcW w:w="5395" w:type="dxa"/>
          </w:tcPr>
          <w:p w:rsidR="00DE043B" w:rsidRDefault="00DE043B" w:rsidP="00597434">
            <w:r>
              <w:object w:dxaOrig="8310" w:dyaOrig="7210">
                <v:shape id="_x0000_i1027" type="#_x0000_t75" style="width:257.25pt;height:223.5pt" o:ole="">
                  <v:imagedata r:id="rId9" o:title=""/>
                </v:shape>
                <o:OLEObject Type="Embed" ProgID="PBrush" ShapeID="_x0000_i1027" DrawAspect="Content" ObjectID="_1567601653" r:id="rId10"/>
              </w:object>
            </w:r>
          </w:p>
        </w:tc>
      </w:tr>
      <w:tr w:rsidR="00B8554A" w:rsidTr="00B8554A">
        <w:tc>
          <w:tcPr>
            <w:tcW w:w="1688" w:type="dxa"/>
          </w:tcPr>
          <w:p w:rsidR="00DE043B" w:rsidRDefault="00DE043B" w:rsidP="00DE043B">
            <w:r>
              <w:lastRenderedPageBreak/>
              <w:t>4. Change date sorting/ordering to fiscal year</w:t>
            </w:r>
          </w:p>
          <w:p w:rsidR="00DE043B" w:rsidRDefault="00DE043B" w:rsidP="00597434"/>
        </w:tc>
        <w:tc>
          <w:tcPr>
            <w:tcW w:w="2267" w:type="dxa"/>
          </w:tcPr>
          <w:p w:rsidR="00DE043B" w:rsidRDefault="00DE043B" w:rsidP="00DE043B">
            <w:r>
              <w:t>The old sort rules were erased when we brought in the new dataset. Right click the Month pill in the columns bar and select Sort.</w:t>
            </w:r>
          </w:p>
          <w:p w:rsidR="00DE043B" w:rsidRDefault="00DE043B" w:rsidP="00DE043B"/>
          <w:p w:rsidR="00DE043B" w:rsidRDefault="00DE043B" w:rsidP="00DE043B">
            <w:r>
              <w:t xml:space="preserve">Select “Manual” radio button and move October, November, and December to the top.  Hit OK. </w:t>
            </w:r>
          </w:p>
        </w:tc>
        <w:tc>
          <w:tcPr>
            <w:tcW w:w="5395" w:type="dxa"/>
          </w:tcPr>
          <w:p w:rsidR="00DE043B" w:rsidRDefault="00DE043B" w:rsidP="00597434">
            <w:r>
              <w:object w:dxaOrig="7050" w:dyaOrig="3330">
                <v:shape id="_x0000_i1028" type="#_x0000_t75" style="width:254.25pt;height:120pt" o:ole="">
                  <v:imagedata r:id="rId11" o:title=""/>
                </v:shape>
                <o:OLEObject Type="Embed" ProgID="PBrush" ShapeID="_x0000_i1028" DrawAspect="Content" ObjectID="_1567601654" r:id="rId12"/>
              </w:object>
            </w:r>
          </w:p>
          <w:p w:rsidR="00DE043B" w:rsidRDefault="00DE043B" w:rsidP="00597434"/>
          <w:p w:rsidR="00DE043B" w:rsidRDefault="00DE043B" w:rsidP="00597434">
            <w:r>
              <w:object w:dxaOrig="9960" w:dyaOrig="9840">
                <v:shape id="_x0000_i1029" type="#_x0000_t75" style="width:209.25pt;height:207pt" o:ole="">
                  <v:imagedata r:id="rId13" o:title=""/>
                </v:shape>
                <o:OLEObject Type="Embed" ProgID="PBrush" ShapeID="_x0000_i1029" DrawAspect="Content" ObjectID="_1567601655" r:id="rId14"/>
              </w:object>
            </w:r>
          </w:p>
        </w:tc>
      </w:tr>
    </w:tbl>
    <w:p w:rsidR="00597434" w:rsidRDefault="00597434" w:rsidP="00597434"/>
    <w:p w:rsidR="00B8554A" w:rsidRDefault="00B8554A" w:rsidP="00597434"/>
    <w:p w:rsidR="00B8554A" w:rsidRPr="00B8554A" w:rsidRDefault="00637BC0" w:rsidP="00B8554A">
      <w:pPr>
        <w:pStyle w:val="Heading3"/>
      </w:pPr>
      <w:r>
        <w:t xml:space="preserve">Action potentially required: </w:t>
      </w:r>
      <w:r w:rsidR="00B8554A">
        <w:t>ensuring accuracy and aesthetics</w:t>
      </w:r>
    </w:p>
    <w:tbl>
      <w:tblPr>
        <w:tblStyle w:val="TableGrid"/>
        <w:tblW w:w="0" w:type="auto"/>
        <w:tblLayout w:type="fixed"/>
        <w:tblLook w:val="04A0" w:firstRow="1" w:lastRow="0" w:firstColumn="1" w:lastColumn="0" w:noHBand="0" w:noVBand="1"/>
      </w:tblPr>
      <w:tblGrid>
        <w:gridCol w:w="1705"/>
        <w:gridCol w:w="2250"/>
        <w:gridCol w:w="5395"/>
      </w:tblGrid>
      <w:tr w:rsidR="00637BC0" w:rsidTr="00756EC0">
        <w:tc>
          <w:tcPr>
            <w:tcW w:w="1705" w:type="dxa"/>
          </w:tcPr>
          <w:p w:rsidR="00637BC0" w:rsidRDefault="00637BC0" w:rsidP="00BC0AD0">
            <w:r>
              <w:t>5. Close the old data source.</w:t>
            </w:r>
          </w:p>
        </w:tc>
        <w:tc>
          <w:tcPr>
            <w:tcW w:w="2250" w:type="dxa"/>
          </w:tcPr>
          <w:p w:rsidR="00637BC0" w:rsidRDefault="00637BC0" w:rsidP="00BC0AD0">
            <w:r>
              <w:t xml:space="preserve">To avoid confusion in the future, close the old data source. Once you’ve replaced the data, right click on the old data source in the top left corner, and select close. If it’s not powering any </w:t>
            </w:r>
            <w:proofErr w:type="spellStart"/>
            <w:r>
              <w:t>vizes</w:t>
            </w:r>
            <w:proofErr w:type="spellEnd"/>
            <w:r>
              <w:t>, it will let you close it. If it is still connected, a window will pop up, and you will need to ensure you’ve rep</w:t>
            </w:r>
            <w:r w:rsidR="00B53EF5">
              <w:t>laced the old data with the new or risk losing visualizations.</w:t>
            </w:r>
          </w:p>
        </w:tc>
        <w:tc>
          <w:tcPr>
            <w:tcW w:w="5395" w:type="dxa"/>
          </w:tcPr>
          <w:p w:rsidR="00637BC0" w:rsidRDefault="00637BC0" w:rsidP="00BC0AD0">
            <w:r>
              <w:object w:dxaOrig="2970" w:dyaOrig="4630">
                <v:shape id="_x0000_i1030" type="#_x0000_t75" style="width:148.5pt;height:231.75pt" o:ole="">
                  <v:imagedata r:id="rId15" o:title=""/>
                </v:shape>
                <o:OLEObject Type="Embed" ProgID="PBrush" ShapeID="_x0000_i1030" DrawAspect="Content" ObjectID="_1567601656" r:id="rId16"/>
              </w:object>
            </w:r>
          </w:p>
        </w:tc>
      </w:tr>
      <w:tr w:rsidR="00637BC0" w:rsidTr="00756EC0">
        <w:tc>
          <w:tcPr>
            <w:tcW w:w="1705" w:type="dxa"/>
          </w:tcPr>
          <w:p w:rsidR="00637BC0" w:rsidRDefault="00637BC0" w:rsidP="00BC0AD0">
            <w:r>
              <w:lastRenderedPageBreak/>
              <w:t xml:space="preserve">Figure 1 Only: </w:t>
            </w:r>
          </w:p>
          <w:p w:rsidR="00637BC0" w:rsidRDefault="00637BC0" w:rsidP="00BC0AD0">
            <w:r>
              <w:t xml:space="preserve">Rename “Deficit as neg” to “Deficit/Surplus” </w:t>
            </w:r>
          </w:p>
        </w:tc>
        <w:tc>
          <w:tcPr>
            <w:tcW w:w="2250" w:type="dxa"/>
          </w:tcPr>
          <w:p w:rsidR="00637BC0" w:rsidRDefault="00637BC0" w:rsidP="00BC0AD0">
            <w:r>
              <w:t>On the worksheet, in the color legend, right click “Deficit as neg.” Select “Edit Alias...” Rename this field to “Deficit/Surplus” and hit OK.</w:t>
            </w:r>
          </w:p>
        </w:tc>
        <w:tc>
          <w:tcPr>
            <w:tcW w:w="5395" w:type="dxa"/>
          </w:tcPr>
          <w:p w:rsidR="00637BC0" w:rsidRDefault="00637BC0" w:rsidP="00BC0AD0">
            <w:r>
              <w:object w:dxaOrig="6280" w:dyaOrig="5360">
                <v:shape id="_x0000_i1031" type="#_x0000_t75" style="width:215.25pt;height:183.75pt" o:ole="">
                  <v:imagedata r:id="rId17" o:title=""/>
                </v:shape>
                <o:OLEObject Type="Embed" ProgID="PBrush" ShapeID="_x0000_i1031" DrawAspect="Content" ObjectID="_1567601657" r:id="rId18"/>
              </w:object>
            </w:r>
          </w:p>
        </w:tc>
      </w:tr>
      <w:tr w:rsidR="00637BC0" w:rsidTr="00756EC0">
        <w:tc>
          <w:tcPr>
            <w:tcW w:w="1705" w:type="dxa"/>
          </w:tcPr>
          <w:p w:rsidR="00637BC0" w:rsidRDefault="00637BC0" w:rsidP="00BC0AD0">
            <w:r>
              <w:t xml:space="preserve">Figure 1 Only: </w:t>
            </w:r>
          </w:p>
          <w:p w:rsidR="00637BC0" w:rsidRDefault="00637BC0" w:rsidP="00BC0AD0">
            <w:r>
              <w:t>Arrange the Deficit/Surplus</w:t>
            </w:r>
          </w:p>
        </w:tc>
        <w:tc>
          <w:tcPr>
            <w:tcW w:w="2250" w:type="dxa"/>
          </w:tcPr>
          <w:p w:rsidR="00637BC0" w:rsidRDefault="00637BC0" w:rsidP="00BC0AD0">
            <w:r>
              <w:t xml:space="preserve">The deficit/surplus legend does not automatically align to the Outlay/Receipts legend because it’s a separate graph. Drag the legends until they look aligned when you are in full-screen mode while viewing the dashboard. This is monitor/screen dependent and will need to be adjusted accordingly. </w:t>
            </w:r>
          </w:p>
        </w:tc>
        <w:tc>
          <w:tcPr>
            <w:tcW w:w="5395" w:type="dxa"/>
          </w:tcPr>
          <w:p w:rsidR="00637BC0" w:rsidRDefault="003E4EB6" w:rsidP="00BC0AD0">
            <w:r>
              <w:rPr>
                <w:noProof/>
              </w:rPr>
              <mc:AlternateContent>
                <mc:Choice Requires="wps">
                  <w:drawing>
                    <wp:anchor distT="0" distB="0" distL="114300" distR="114300" simplePos="0" relativeHeight="251659264" behindDoc="0" locked="0" layoutInCell="1" allowOverlap="1" wp14:anchorId="04872DF8" wp14:editId="50FB3A64">
                      <wp:simplePos x="0" y="0"/>
                      <wp:positionH relativeFrom="column">
                        <wp:posOffset>-99060</wp:posOffset>
                      </wp:positionH>
                      <wp:positionV relativeFrom="paragraph">
                        <wp:posOffset>1123950</wp:posOffset>
                      </wp:positionV>
                      <wp:extent cx="1911350" cy="838200"/>
                      <wp:effectExtent l="0" t="0" r="12700" b="19050"/>
                      <wp:wrapNone/>
                      <wp:docPr id="1" name="Oval 1"/>
                      <wp:cNvGraphicFramePr/>
                      <a:graphic xmlns:a="http://schemas.openxmlformats.org/drawingml/2006/main">
                        <a:graphicData uri="http://schemas.microsoft.com/office/word/2010/wordprocessingShape">
                          <wps:wsp>
                            <wps:cNvSpPr/>
                            <wps:spPr>
                              <a:xfrm>
                                <a:off x="0" y="0"/>
                                <a:ext cx="1911350" cy="838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2A4CD5FB" id="Oval 1" o:spid="_x0000_s1026" style="position:absolute;margin-left:-7.8pt;margin-top:88.5pt;width:150.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" filled="f" strokecolor="red" strokeweight="1pt">
                      <v:stroke joinstyle="miter"/>
                    </v:oval>
                  </w:pict>
                </mc:Fallback>
              </mc:AlternateContent>
            </w:r>
            <w:r w:rsidR="00637BC0">
              <w:object w:dxaOrig="4600" w:dyaOrig="3070">
                <v:shape id="_x0000_i1032" type="#_x0000_t75" style="width:230.25pt;height:153.75pt" o:ole="">
                  <v:imagedata r:id="rId19" o:title=""/>
                </v:shape>
                <o:OLEObject Type="Embed" ProgID="PBrush" ShapeID="_x0000_i1032" DrawAspect="Content" ObjectID="_1567601658" r:id="rId20"/>
              </w:object>
            </w:r>
          </w:p>
        </w:tc>
      </w:tr>
      <w:tr w:rsidR="00637BC0" w:rsidTr="00756EC0">
        <w:tc>
          <w:tcPr>
            <w:tcW w:w="1705" w:type="dxa"/>
          </w:tcPr>
          <w:p w:rsidR="00637BC0" w:rsidRDefault="00637BC0" w:rsidP="00BC0AD0">
            <w:r>
              <w:t xml:space="preserve">Figures 3 and 4 Only: </w:t>
            </w:r>
          </w:p>
          <w:p w:rsidR="00637BC0" w:rsidRDefault="00637BC0" w:rsidP="00BC0AD0">
            <w:r>
              <w:t>Check the filters</w:t>
            </w:r>
          </w:p>
        </w:tc>
        <w:tc>
          <w:tcPr>
            <w:tcW w:w="2250" w:type="dxa"/>
          </w:tcPr>
          <w:p w:rsidR="00637BC0" w:rsidRDefault="00637BC0" w:rsidP="00BC0AD0">
            <w:pPr>
              <w:rPr>
                <w:noProof/>
              </w:rPr>
            </w:pPr>
            <w:r>
              <w:t xml:space="preserve">Ensure there is a filter that is excluding “total” from being displayed as a function in the stacked bar chart. Right click the ‘Source </w:t>
            </w:r>
            <w:proofErr w:type="spellStart"/>
            <w:r>
              <w:t>Func</w:t>
            </w:r>
            <w:proofErr w:type="spellEnd"/>
            <w:r>
              <w:t xml:space="preserve"> Parent’ pill in the filter section. Select “Edit filter…” Total should be selected, and the exclude option checkbox should be selected.</w:t>
            </w:r>
          </w:p>
        </w:tc>
        <w:tc>
          <w:tcPr>
            <w:tcW w:w="5395" w:type="dxa"/>
          </w:tcPr>
          <w:p w:rsidR="00637BC0" w:rsidRDefault="00637BC0" w:rsidP="00BC0AD0">
            <w:r>
              <w:rPr>
                <w:noProof/>
              </w:rPr>
              <mc:AlternateContent>
                <mc:Choice Requires="wps">
                  <w:drawing>
                    <wp:anchor distT="0" distB="0" distL="114300" distR="114300" simplePos="0" relativeHeight="251660288" behindDoc="0" locked="0" layoutInCell="1" allowOverlap="1" wp14:anchorId="3684B916" wp14:editId="1CBD4986">
                      <wp:simplePos x="0" y="0"/>
                      <wp:positionH relativeFrom="column">
                        <wp:posOffset>-19050</wp:posOffset>
                      </wp:positionH>
                      <wp:positionV relativeFrom="paragraph">
                        <wp:posOffset>1642745</wp:posOffset>
                      </wp:positionV>
                      <wp:extent cx="990600" cy="393700"/>
                      <wp:effectExtent l="0" t="0" r="19050" b="25400"/>
                      <wp:wrapNone/>
                      <wp:docPr id="3" name="Oval 3"/>
                      <wp:cNvGraphicFramePr/>
                      <a:graphic xmlns:a="http://schemas.openxmlformats.org/drawingml/2006/main">
                        <a:graphicData uri="http://schemas.microsoft.com/office/word/2010/wordprocessingShape">
                          <wps:wsp>
                            <wps:cNvSpPr/>
                            <wps:spPr>
                              <a:xfrm>
                                <a:off x="0" y="0"/>
                                <a:ext cx="990600" cy="393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19BD618F" id="Oval 3" o:spid="_x0000_s1026" style="position:absolute;margin-left:-1.5pt;margin-top:129.35pt;width:78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" filled="f" strokecolor="red"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24BA6CED" wp14:editId="1EF1925F">
                      <wp:simplePos x="0" y="0"/>
                      <wp:positionH relativeFrom="column">
                        <wp:posOffset>2370455</wp:posOffset>
                      </wp:positionH>
                      <wp:positionV relativeFrom="paragraph">
                        <wp:posOffset>2215515</wp:posOffset>
                      </wp:positionV>
                      <wp:extent cx="990600" cy="393700"/>
                      <wp:effectExtent l="0" t="0" r="19050" b="25400"/>
                      <wp:wrapNone/>
                      <wp:docPr id="4" name="Oval 4"/>
                      <wp:cNvGraphicFramePr/>
                      <a:graphic xmlns:a="http://schemas.openxmlformats.org/drawingml/2006/main">
                        <a:graphicData uri="http://schemas.microsoft.com/office/word/2010/wordprocessingShape">
                          <wps:wsp>
                            <wps:cNvSpPr/>
                            <wps:spPr>
                              <a:xfrm>
                                <a:off x="0" y="0"/>
                                <a:ext cx="990600" cy="393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4A6AB46A" id="Oval 4" o:spid="_x0000_s1026" style="position:absolute;margin-left:186.65pt;margin-top:174.45pt;width:78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" filled="f" strokecolor="red" strokeweight="1pt">
                      <v:stroke joinstyle="miter"/>
                    </v:oval>
                  </w:pict>
                </mc:Fallback>
              </mc:AlternateContent>
            </w:r>
            <w:r>
              <w:object w:dxaOrig="9210" w:dyaOrig="8110">
                <v:shape id="_x0000_i1033" type="#_x0000_t75" style="width:258pt;height:227.25pt" o:ole="">
                  <v:imagedata r:id="rId21" o:title=""/>
                </v:shape>
                <o:OLEObject Type="Embed" ProgID="PBrush" ShapeID="_x0000_i1033" DrawAspect="Content" ObjectID="_1567601659" r:id="rId22"/>
              </w:object>
            </w:r>
          </w:p>
        </w:tc>
      </w:tr>
      <w:tr w:rsidR="00637BC0" w:rsidTr="00756EC0">
        <w:tc>
          <w:tcPr>
            <w:tcW w:w="1705" w:type="dxa"/>
          </w:tcPr>
          <w:p w:rsidR="00637BC0" w:rsidRDefault="00637BC0" w:rsidP="00BC0AD0">
            <w:r>
              <w:lastRenderedPageBreak/>
              <w:t xml:space="preserve">All figures: </w:t>
            </w:r>
          </w:p>
          <w:p w:rsidR="00637BC0" w:rsidRDefault="00637BC0" w:rsidP="00BC0AD0">
            <w:r>
              <w:t>Ensure titles and body copy text is still applicable if this will be captured in the screenshot.</w:t>
            </w:r>
          </w:p>
        </w:tc>
        <w:tc>
          <w:tcPr>
            <w:tcW w:w="2250" w:type="dxa"/>
          </w:tcPr>
          <w:p w:rsidR="00637BC0" w:rsidRDefault="00637BC0" w:rsidP="00BC0AD0">
            <w:pPr>
              <w:rPr>
                <w:noProof/>
              </w:rPr>
            </w:pPr>
            <w:r>
              <w:rPr>
                <w:noProof/>
              </w:rPr>
              <w:t xml:space="preserve">For example, in Figure 3, the body copy references Fiscal Years 2016 and 2017. This </w:t>
            </w:r>
            <w:r w:rsidR="00FD4D56">
              <w:rPr>
                <w:noProof/>
              </w:rPr>
              <w:t>text will</w:t>
            </w:r>
            <w:r>
              <w:rPr>
                <w:noProof/>
              </w:rPr>
              <w:t xml:space="preserve"> not automatically update.</w:t>
            </w:r>
          </w:p>
        </w:tc>
        <w:tc>
          <w:tcPr>
            <w:tcW w:w="5395" w:type="dxa"/>
          </w:tcPr>
          <w:p w:rsidR="00637BC0" w:rsidRDefault="00637BC0" w:rsidP="00BC0AD0">
            <w:r>
              <w:object w:dxaOrig="9920" w:dyaOrig="2970">
                <v:shape id="_x0000_i1034" type="#_x0000_t75" style="width:330.75pt;height:99pt" o:ole="">
                  <v:imagedata r:id="rId23" o:title=""/>
                </v:shape>
                <o:OLEObject Type="Embed" ProgID="PBrush" ShapeID="_x0000_i1034" DrawAspect="Content" ObjectID="_1567601660" r:id="rId24"/>
              </w:object>
            </w:r>
          </w:p>
        </w:tc>
      </w:tr>
    </w:tbl>
    <w:p w:rsidR="00060EE7" w:rsidRDefault="00060EE7" w:rsidP="00060EE7"/>
    <w:p w:rsidR="005D1BCD" w:rsidRDefault="005D1BCD" w:rsidP="005D1BCD">
      <w:pPr>
        <w:pStyle w:val="Heading1"/>
      </w:pPr>
      <w:r>
        <w:t xml:space="preserve">Miscellaneous </w:t>
      </w:r>
      <w:r w:rsidR="00E53AC8">
        <w:t xml:space="preserve">Design </w:t>
      </w:r>
      <w:r>
        <w:t>Notes</w:t>
      </w:r>
    </w:p>
    <w:p w:rsidR="005D1BCD" w:rsidRDefault="005D1BCD" w:rsidP="005D1BCD">
      <w:pPr>
        <w:pStyle w:val="ListParagraph"/>
        <w:numPr>
          <w:ilvl w:val="0"/>
          <w:numId w:val="5"/>
        </w:numPr>
      </w:pPr>
      <w:r>
        <w:t xml:space="preserve">Fonts used in Tableau that may need to be downloaded to local machine: Source Sans Pro family. This font is open source and </w:t>
      </w:r>
      <w:hyperlink r:id="rId25" w:history="1">
        <w:r w:rsidRPr="005D1BCD">
          <w:rPr>
            <w:rStyle w:val="Hyperlink"/>
          </w:rPr>
          <w:t>available for download</w:t>
        </w:r>
      </w:hyperlink>
      <w:r>
        <w:t>.</w:t>
      </w:r>
    </w:p>
    <w:p w:rsidR="00DB22F6" w:rsidRDefault="00DB22F6" w:rsidP="005D1BCD">
      <w:pPr>
        <w:pStyle w:val="ListParagraph"/>
        <w:numPr>
          <w:ilvl w:val="0"/>
          <w:numId w:val="5"/>
        </w:numPr>
      </w:pPr>
      <w:r>
        <w:t>Colors used in Tableau were not from the built-in color palettes, and so custom color palettes will need to be created. To import custom color palettes into Tableau, see the “Importing Custom Color Palettes into Tableau” document.</w:t>
      </w:r>
      <w:r w:rsidR="00847718">
        <w:t xml:space="preserve"> There is also a separate document noting the hex codes used for the colors.</w:t>
      </w:r>
    </w:p>
    <w:p w:rsidR="009F48FC" w:rsidRDefault="009F48FC" w:rsidP="009F48FC">
      <w:pPr>
        <w:pStyle w:val="ListParagraph"/>
        <w:numPr>
          <w:ilvl w:val="1"/>
          <w:numId w:val="5"/>
        </w:numPr>
      </w:pPr>
      <w:r>
        <w:t xml:space="preserve">Note: for majority black and white viewing, consider using fewer categories (4-5) and more contrast. For color viewing, be aware that colors vary from monitor to monitor, and from how the colors appear when printed. </w:t>
      </w:r>
    </w:p>
    <w:p w:rsidR="00E53AC8" w:rsidRDefault="00E53AC8" w:rsidP="00E53AC8">
      <w:pPr>
        <w:pStyle w:val="ListParagraph"/>
        <w:numPr>
          <w:ilvl w:val="0"/>
          <w:numId w:val="5"/>
        </w:numPr>
      </w:pPr>
      <w:r>
        <w:t xml:space="preserve">For screenshot purposes, use the dashboard view, and view on full-screen mode. </w:t>
      </w:r>
    </w:p>
    <w:p w:rsidR="00F71C6B" w:rsidRDefault="005D1BCD" w:rsidP="005D1BCD">
      <w:pPr>
        <w:pStyle w:val="ListParagraph"/>
        <w:numPr>
          <w:ilvl w:val="0"/>
          <w:numId w:val="5"/>
        </w:numPr>
      </w:pPr>
      <w:r>
        <w:t xml:space="preserve">An issue brought up during our conversations was “masking” </w:t>
      </w:r>
      <w:r w:rsidR="00F71C6B">
        <w:t xml:space="preserve">information about receipts/outlays by combining too many things into an “other” category, and only showing 3-4 categories. </w:t>
      </w:r>
    </w:p>
    <w:p w:rsidR="005D1BCD" w:rsidRDefault="00F71C6B" w:rsidP="00F71C6B">
      <w:pPr>
        <w:pStyle w:val="ListParagraph"/>
        <w:numPr>
          <w:ilvl w:val="1"/>
          <w:numId w:val="5"/>
        </w:numPr>
      </w:pPr>
      <w:r>
        <w:t xml:space="preserve">Figure 3 (receipts) currently has multiple </w:t>
      </w:r>
      <w:r w:rsidR="00E53AC8">
        <w:t xml:space="preserve">options for grouping: </w:t>
      </w:r>
      <w:r>
        <w:t>all categories, the original MTS-displayed categories,</w:t>
      </w:r>
      <w:r w:rsidR="00E53AC8">
        <w:t xml:space="preserve"> and a third alternate grouping.</w:t>
      </w:r>
      <w:r>
        <w:t xml:space="preserve"> </w:t>
      </w:r>
      <w:r w:rsidR="00E53AC8">
        <w:t>The dashboard currently displays the all categories option.</w:t>
      </w:r>
    </w:p>
    <w:p w:rsidR="00E53AC8" w:rsidRDefault="00E53AC8" w:rsidP="00F71C6B">
      <w:pPr>
        <w:pStyle w:val="ListParagraph"/>
        <w:numPr>
          <w:ilvl w:val="1"/>
          <w:numId w:val="5"/>
        </w:numPr>
      </w:pPr>
      <w:r>
        <w:t xml:space="preserve">Figure 4 (outlays) currently has multiple options for grouping as well. The dashboard here currently uses </w:t>
      </w:r>
      <w:proofErr w:type="spellStart"/>
      <w:r>
        <w:t xml:space="preserve">an </w:t>
      </w:r>
      <w:r w:rsidR="00747368" w:rsidRPr="00747368">
        <w:rPr>
          <w:i/>
        </w:rPr>
        <w:t>o</w:t>
      </w:r>
      <w:r w:rsidRPr="00747368">
        <w:rPr>
          <w:i/>
        </w:rPr>
        <w:t>ther</w:t>
      </w:r>
      <w:proofErr w:type="spellEnd"/>
      <w:r>
        <w:t xml:space="preserve"> category that combines several categories and “absorbs” negative net interest amounts so that all values are positive and fall above the x-axis. The second option displays net interest. Showing all functions is not advised, as there are too many </w:t>
      </w:r>
      <w:r w:rsidR="00345D13">
        <w:t>functions</w:t>
      </w:r>
      <w:r>
        <w:t xml:space="preserve">. </w:t>
      </w:r>
    </w:p>
    <w:p w:rsidR="00D90DA4" w:rsidRDefault="00B11F2F" w:rsidP="00B11F2F">
      <w:pPr>
        <w:pStyle w:val="Heading1"/>
      </w:pPr>
      <w:r>
        <w:t xml:space="preserve">Summary </w:t>
      </w:r>
    </w:p>
    <w:p w:rsidR="00B11F2F" w:rsidRDefault="00B11F2F" w:rsidP="00B11F2F">
      <w:r>
        <w:t xml:space="preserve">Each month, download the MTS from Treasury’s website. Save this file in the </w:t>
      </w:r>
      <w:r w:rsidR="000C03BC">
        <w:t>raw data folder. Using</w:t>
      </w:r>
      <w:r>
        <w:t xml:space="preserve"> python, update</w:t>
      </w:r>
      <w:r w:rsidR="00AC5723">
        <w:t xml:space="preserve"> the file name and months/years manually</w:t>
      </w:r>
      <w:r w:rsidR="000C03BC">
        <w:t xml:space="preserve"> in the script</w:t>
      </w:r>
      <w:r w:rsidR="00AC5723">
        <w:t xml:space="preserve">, then run the script. The Tableau-ready datasets should now be in the output folder. In Tableau, add in the new dataset for each respective </w:t>
      </w:r>
      <w:r w:rsidR="000C03BC">
        <w:t>figure, and update/tweak accordingly.</w:t>
      </w:r>
    </w:p>
    <w:p w:rsidR="00AC5723" w:rsidRDefault="000C03BC" w:rsidP="000C03BC">
      <w:pPr>
        <w:pStyle w:val="Heading1"/>
      </w:pPr>
      <w:r>
        <w:t>Contact Info</w:t>
      </w:r>
    </w:p>
    <w:p w:rsidR="000C03BC" w:rsidRPr="000C03BC" w:rsidRDefault="000C03BC" w:rsidP="000C03BC">
      <w:r>
        <w:t xml:space="preserve">Please do not hesitate to reach out. Our team is happy to assist and ensure all the documents and files in this package are accessible and useful. </w:t>
      </w:r>
    </w:p>
    <w:p w:rsidR="00AC5723" w:rsidRDefault="00AC5723" w:rsidP="00B11F2F">
      <w:r>
        <w:t xml:space="preserve">Janelle Becker </w:t>
      </w:r>
      <w:r>
        <w:tab/>
        <w:t xml:space="preserve">| </w:t>
      </w:r>
      <w:hyperlink r:id="rId26" w:history="1">
        <w:r w:rsidRPr="00DF74BD">
          <w:rPr>
            <w:rStyle w:val="Hyperlink"/>
          </w:rPr>
          <w:t>becker_janelle@bah.com</w:t>
        </w:r>
      </w:hyperlink>
    </w:p>
    <w:p w:rsidR="00094C2A" w:rsidRPr="00094C2A" w:rsidRDefault="00AC5723" w:rsidP="00094C2A">
      <w:r>
        <w:t>Justin Marsico</w:t>
      </w:r>
      <w:r>
        <w:tab/>
        <w:t xml:space="preserve">| </w:t>
      </w:r>
      <w:hyperlink r:id="rId27" w:history="1">
        <w:r w:rsidRPr="00DF74BD">
          <w:rPr>
            <w:rStyle w:val="Hyperlink"/>
          </w:rPr>
          <w:t>justin.marsico@fiscal.treasury.gov</w:t>
        </w:r>
      </w:hyperlink>
      <w:r>
        <w:t xml:space="preserve"> </w:t>
      </w:r>
      <w:bookmarkStart w:id="0" w:name="_GoBack"/>
      <w:bookmarkEnd w:id="0"/>
    </w:p>
    <w:sectPr w:rsidR="00094C2A" w:rsidRPr="00094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069D"/>
    <w:multiLevelType w:val="hybridMultilevel"/>
    <w:tmpl w:val="AE162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E79CF"/>
    <w:multiLevelType w:val="hybridMultilevel"/>
    <w:tmpl w:val="BEF0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431ED"/>
    <w:multiLevelType w:val="hybridMultilevel"/>
    <w:tmpl w:val="1ACC7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882D59"/>
    <w:multiLevelType w:val="hybridMultilevel"/>
    <w:tmpl w:val="B748D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67443"/>
    <w:multiLevelType w:val="hybridMultilevel"/>
    <w:tmpl w:val="169CC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5B"/>
    <w:rsid w:val="00060EE7"/>
    <w:rsid w:val="00094C2A"/>
    <w:rsid w:val="000A7A6A"/>
    <w:rsid w:val="000C03BC"/>
    <w:rsid w:val="000E41E6"/>
    <w:rsid w:val="00137D12"/>
    <w:rsid w:val="001756BD"/>
    <w:rsid w:val="001D081B"/>
    <w:rsid w:val="002C4FF7"/>
    <w:rsid w:val="003373FF"/>
    <w:rsid w:val="00345D13"/>
    <w:rsid w:val="003B5CB3"/>
    <w:rsid w:val="003D2DBC"/>
    <w:rsid w:val="003E42CC"/>
    <w:rsid w:val="003E4EB6"/>
    <w:rsid w:val="0047611D"/>
    <w:rsid w:val="004C7DBE"/>
    <w:rsid w:val="004E0BD4"/>
    <w:rsid w:val="004E28FA"/>
    <w:rsid w:val="00523C97"/>
    <w:rsid w:val="00535EFA"/>
    <w:rsid w:val="005635F4"/>
    <w:rsid w:val="005822E0"/>
    <w:rsid w:val="00597434"/>
    <w:rsid w:val="005D1BCD"/>
    <w:rsid w:val="005D324E"/>
    <w:rsid w:val="00620D6A"/>
    <w:rsid w:val="0062278D"/>
    <w:rsid w:val="00637BC0"/>
    <w:rsid w:val="006B534B"/>
    <w:rsid w:val="00702C6B"/>
    <w:rsid w:val="00747368"/>
    <w:rsid w:val="00756EC0"/>
    <w:rsid w:val="0075751B"/>
    <w:rsid w:val="007955AE"/>
    <w:rsid w:val="007D40DB"/>
    <w:rsid w:val="0084231A"/>
    <w:rsid w:val="00847718"/>
    <w:rsid w:val="00910C12"/>
    <w:rsid w:val="0093575B"/>
    <w:rsid w:val="009F3189"/>
    <w:rsid w:val="009F48FC"/>
    <w:rsid w:val="00A6089D"/>
    <w:rsid w:val="00A71F58"/>
    <w:rsid w:val="00A73A83"/>
    <w:rsid w:val="00AC5723"/>
    <w:rsid w:val="00AD7133"/>
    <w:rsid w:val="00B11F2F"/>
    <w:rsid w:val="00B1602A"/>
    <w:rsid w:val="00B53EF5"/>
    <w:rsid w:val="00B8554A"/>
    <w:rsid w:val="00B93A4D"/>
    <w:rsid w:val="00BF0CDA"/>
    <w:rsid w:val="00C0305A"/>
    <w:rsid w:val="00C2731E"/>
    <w:rsid w:val="00C8550E"/>
    <w:rsid w:val="00CA331D"/>
    <w:rsid w:val="00CC2EB5"/>
    <w:rsid w:val="00CF21A3"/>
    <w:rsid w:val="00D05A95"/>
    <w:rsid w:val="00D90DA4"/>
    <w:rsid w:val="00DB22F6"/>
    <w:rsid w:val="00DB6281"/>
    <w:rsid w:val="00DE043B"/>
    <w:rsid w:val="00E27A38"/>
    <w:rsid w:val="00E53AC8"/>
    <w:rsid w:val="00F11696"/>
    <w:rsid w:val="00F55EA7"/>
    <w:rsid w:val="00F71C6B"/>
    <w:rsid w:val="00F768B3"/>
    <w:rsid w:val="00F813FC"/>
    <w:rsid w:val="00F84E2D"/>
    <w:rsid w:val="00FA484C"/>
    <w:rsid w:val="00FD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3D49"/>
  <w15:chartTrackingRefBased/>
  <w15:docId w15:val="{25ACA9F8-E96A-42FF-8F1C-00D2D384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5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E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0E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5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7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7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575B"/>
    <w:pPr>
      <w:ind w:left="720"/>
      <w:contextualSpacing/>
    </w:pPr>
  </w:style>
  <w:style w:type="character" w:customStyle="1" w:styleId="Heading2Char">
    <w:name w:val="Heading 2 Char"/>
    <w:basedOn w:val="DefaultParagraphFont"/>
    <w:link w:val="Heading2"/>
    <w:uiPriority w:val="9"/>
    <w:rsid w:val="005D324E"/>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5D324E"/>
    <w:rPr>
      <w:i/>
      <w:iCs/>
      <w:color w:val="404040" w:themeColor="text1" w:themeTint="BF"/>
    </w:rPr>
  </w:style>
  <w:style w:type="character" w:customStyle="1" w:styleId="Heading3Char">
    <w:name w:val="Heading 3 Char"/>
    <w:basedOn w:val="DefaultParagraphFont"/>
    <w:link w:val="Heading3"/>
    <w:uiPriority w:val="9"/>
    <w:rsid w:val="00060E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60EE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97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5723"/>
    <w:rPr>
      <w:color w:val="0563C1" w:themeColor="hyperlink"/>
      <w:u w:val="single"/>
    </w:rPr>
  </w:style>
  <w:style w:type="character" w:customStyle="1" w:styleId="Mention">
    <w:name w:val="Mention"/>
    <w:basedOn w:val="DefaultParagraphFont"/>
    <w:uiPriority w:val="99"/>
    <w:semiHidden/>
    <w:unhideWhenUsed/>
    <w:rsid w:val="00AC572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hyperlink" Target="mailto:becker_janelle@bah.com"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hyperlink" Target="https://fonts.google.com/specimen/Source+Sans+Pro" TargetMode="Externa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hyperlink" Target="mailto:justin.marsico@fiscal.treasury.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5</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Janelle [USA]</dc:creator>
  <cp:keywords/>
  <dc:description/>
  <cp:lastModifiedBy>Janelle Becker</cp:lastModifiedBy>
  <cp:revision>40</cp:revision>
  <dcterms:created xsi:type="dcterms:W3CDTF">2017-09-13T18:56:00Z</dcterms:created>
  <dcterms:modified xsi:type="dcterms:W3CDTF">2017-09-22T20:02:00Z</dcterms:modified>
</cp:coreProperties>
</file>