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B3A6B"/>
          <w:sz w:val="56"/>
          <w:szCs w:val="56"/>
        </w:rPr>
        <w:t xml:space="preserve">AUTO-MOBILE SALES ANALYSIS</w:t>
      </w:r>
    </w:p>
    <w:p>
      <w:pPr>
        <w:jc w:val="center"/>
      </w:pPr>
      <w:r>
        <w:rPr>
          <w:rFonts w:ascii="Arial" w:cs="Arial" w:eastAsia="Arial" w:hAnsi="Arial"/>
          <w:color w:val="0D7377"/>
          <w:sz w:val="28"/>
          <w:szCs w:val="28"/>
        </w:rPr>
        <w:t xml:space="preserve">Business Intelligence Report</w:t>
      </w:r>
    </w:p>
    <w:p>
      <w:pPr>
        <w:spacing w:after="160" w:before="0"/>
      </w:pPr>
      <w:r>
        <w:t xml:space="preserve"/>
      </w:r>
    </w:p>
    <w:p>
      <w:pPr>
        <w:jc w:val="center"/>
      </w:pPr>
      <w:r>
        <w:rPr>
          <w:rFonts w:ascii="Arial" w:cs="Arial" w:eastAsia="Arial" w:hAnsi="Arial"/>
          <w:i/>
          <w:iCs/>
          <w:color w:val="444444"/>
          <w:sz w:val="20"/>
          <w:szCs w:val="20"/>
        </w:rPr>
        <w:t xml:space="preserve">Prepared by Patricia Fagbola  |  Data Analyst  |  June 2026</w:t>
      </w:r>
    </w:p>
    <w:p>
      <w:pPr>
        <w:jc w:val="center"/>
      </w:pPr>
      <w:r>
        <w:rPr>
          <w:rFonts w:ascii="Arial" w:cs="Arial" w:eastAsia="Arial" w:hAnsi="Arial"/>
          <w:i/>
          <w:iCs/>
          <w:color w:val="444444"/>
          <w:sz w:val="18"/>
          <w:szCs w:val="18"/>
        </w:rPr>
        <w:t xml:space="preserve">Tool: MySQL (MySQL Workbench)  |  Dataset: sales_data_sample</w:t>
      </w:r>
    </w:p>
    <w:p>
      <w:pPr>
        <w:spacing w:after="400" w:before="0"/>
      </w:pPr>
      <w:r>
        <w:t xml:space="preserve"/>
      </w:r>
    </w:p>
    <w:p>
      <w:pPr>
        <w:pBdr>
          <w:bottom w:val="single" w:color="0D7377" w:sz="8" w:space="4"/>
        </w:pBdr>
        <w:spacing w:after="80" w:before="320"/>
      </w:pPr>
      <w:r>
        <w:rPr>
          <w:rFonts w:ascii="Arial" w:cs="Arial" w:eastAsia="Arial" w:hAnsi="Arial"/>
          <w:b/>
          <w:bCs/>
          <w:color w:val="1B3A6B"/>
          <w:sz w:val="24"/>
          <w:szCs w:val="24"/>
        </w:rPr>
        <w:t xml:space="preserve">EXECUTIVE SUMMARY</w:t>
      </w:r>
    </w:p>
    <w:p>
      <w:pPr>
        <w:spacing w:after="60" w:before="40"/>
      </w:pPr>
      <w:r>
        <w:rPr>
          <w:rFonts w:ascii="Arial" w:cs="Arial" w:eastAsia="Arial" w:hAnsi="Arial"/>
          <w:color w:val="444444"/>
          <w:sz w:val="20"/>
          <w:szCs w:val="20"/>
        </w:rPr>
        <w:t xml:space="preserve">This report presents a structured SQL-driven analysis of an auto-mobile sales dataset. The analysis covers four core dimensions: geography, product performance, customer behaviour, and sales trends over time. Key findings highlight the dominance of the USA market, the strong performance of Classic and Vintage Cars, the outsized value of long-term customers, and a consistent November revenue peak. Recommendations are provided at each stage to guide strategic decision-making.</w:t>
      </w:r>
    </w:p>
    <w:p>
      <w:pPr>
        <w:spacing w:after="120" w:before="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331"/>
        <w:gridCol w:w="2331"/>
        <w:gridCol w:w="2332"/>
        <w:gridCol w:w="2332"/>
      </w:tblGrid>
      <w:tr>
        <w:tc>
          <w:tcPr>
            <w:tcW w:type="dxa" w:w="2331"/>
            <w:tcBorders>
              <w:top w:val="single" w:color="CCCCCC" w:sz="1"/>
              <w:left w:val="single" w:color="CCCCCC" w:sz="1"/>
              <w:bottom w:val="single" w:color="CCCCCC" w:sz="1"/>
              <w:right w:val="single" w:color="CCCCCC" w:sz="1"/>
            </w:tcBorders>
            <w:shd w:fill="EAF2F8" w:val="clear"/>
            <w:tcMar>
              <w:top w:type="dxa" w:w="120"/>
              <w:left w:type="dxa" w:w="160"/>
              <w:bottom w:type="dxa" w:w="120"/>
              <w:right w:type="dxa" w:w="160"/>
            </w:tcMar>
          </w:tcPr>
          <w:p>
            <w:pPr>
              <w:jc w:val="center"/>
            </w:pPr>
            <w:r>
              <w:rPr>
                <w:rFonts w:ascii="Arial" w:cs="Arial" w:eastAsia="Arial" w:hAnsi="Arial"/>
                <w:b/>
                <w:bCs/>
                <w:color w:val="1B3A6B"/>
                <w:sz w:val="36"/>
                <w:szCs w:val="36"/>
              </w:rPr>
              <w:t xml:space="preserve">19</w:t>
            </w:r>
          </w:p>
          <w:p>
            <w:pPr>
              <w:jc w:val="center"/>
            </w:pPr>
            <w:r>
              <w:rPr>
                <w:rFonts w:ascii="Arial" w:cs="Arial" w:eastAsia="Arial" w:hAnsi="Arial"/>
                <w:color w:val="444444"/>
                <w:sz w:val="18"/>
                <w:szCs w:val="18"/>
              </w:rPr>
              <w:t xml:space="preserve">Countries Served</w:t>
            </w:r>
          </w:p>
        </w:tc>
        <w:tc>
          <w:tcPr>
            <w:tcW w:type="dxa" w:w="2331"/>
            <w:tcBorders>
              <w:top w:val="single" w:color="CCCCCC" w:sz="1"/>
              <w:left w:val="single" w:color="CCCCCC" w:sz="1"/>
              <w:bottom w:val="single" w:color="CCCCCC" w:sz="1"/>
              <w:right w:val="single" w:color="CCCCCC" w:sz="1"/>
            </w:tcBorders>
            <w:shd w:fill="EAF2F8" w:val="clear"/>
            <w:tcMar>
              <w:top w:type="dxa" w:w="120"/>
              <w:left w:type="dxa" w:w="160"/>
              <w:bottom w:type="dxa" w:w="120"/>
              <w:right w:type="dxa" w:w="160"/>
            </w:tcMar>
          </w:tcPr>
          <w:p>
            <w:pPr>
              <w:jc w:val="center"/>
            </w:pPr>
            <w:r>
              <w:rPr>
                <w:rFonts w:ascii="Arial" w:cs="Arial" w:eastAsia="Arial" w:hAnsi="Arial"/>
                <w:b/>
                <w:bCs/>
                <w:color w:val="1B3A6B"/>
                <w:sz w:val="36"/>
                <w:szCs w:val="36"/>
              </w:rPr>
              <w:t xml:space="preserve">7</w:t>
            </w:r>
          </w:p>
          <w:p>
            <w:pPr>
              <w:jc w:val="center"/>
            </w:pPr>
            <w:r>
              <w:rPr>
                <w:rFonts w:ascii="Arial" w:cs="Arial" w:eastAsia="Arial" w:hAnsi="Arial"/>
                <w:color w:val="444444"/>
                <w:sz w:val="18"/>
                <w:szCs w:val="18"/>
              </w:rPr>
              <w:t xml:space="preserve">Product Lines</w:t>
            </w:r>
          </w:p>
        </w:tc>
        <w:tc>
          <w:tcPr>
            <w:tcW w:type="dxa" w:w="2331"/>
            <w:tcBorders>
              <w:top w:val="single" w:color="CCCCCC" w:sz="1"/>
              <w:left w:val="single" w:color="CCCCCC" w:sz="1"/>
              <w:bottom w:val="single" w:color="CCCCCC" w:sz="1"/>
              <w:right w:val="single" w:color="CCCCCC" w:sz="1"/>
            </w:tcBorders>
            <w:shd w:fill="EAF2F8" w:val="clear"/>
            <w:tcMar>
              <w:top w:type="dxa" w:w="120"/>
              <w:left w:type="dxa" w:w="160"/>
              <w:bottom w:type="dxa" w:w="120"/>
              <w:right w:type="dxa" w:w="160"/>
            </w:tcMar>
          </w:tcPr>
          <w:p>
            <w:pPr>
              <w:jc w:val="center"/>
            </w:pPr>
            <w:r>
              <w:rPr>
                <w:rFonts w:ascii="Arial" w:cs="Arial" w:eastAsia="Arial" w:hAnsi="Arial"/>
                <w:b/>
                <w:bCs/>
                <w:color w:val="1B3A6B"/>
                <w:sz w:val="36"/>
                <w:szCs w:val="36"/>
              </w:rPr>
              <w:t xml:space="preserve">USA</w:t>
            </w:r>
          </w:p>
          <w:p>
            <w:pPr>
              <w:jc w:val="center"/>
            </w:pPr>
            <w:r>
              <w:rPr>
                <w:rFonts w:ascii="Arial" w:cs="Arial" w:eastAsia="Arial" w:hAnsi="Arial"/>
                <w:color w:val="444444"/>
                <w:sz w:val="18"/>
                <w:szCs w:val="18"/>
              </w:rPr>
              <w:t xml:space="preserve">Top Market</w:t>
            </w:r>
          </w:p>
        </w:tc>
        <w:tc>
          <w:tcPr>
            <w:tcW w:type="dxa" w:w="2331"/>
            <w:tcBorders>
              <w:top w:val="single" w:color="CCCCCC" w:sz="1"/>
              <w:left w:val="single" w:color="CCCCCC" w:sz="1"/>
              <w:bottom w:val="single" w:color="CCCCCC" w:sz="1"/>
              <w:right w:val="single" w:color="CCCCCC" w:sz="1"/>
            </w:tcBorders>
            <w:shd w:fill="EAF2F8" w:val="clear"/>
            <w:tcMar>
              <w:top w:type="dxa" w:w="120"/>
              <w:left w:type="dxa" w:w="160"/>
              <w:bottom w:type="dxa" w:w="120"/>
              <w:right w:type="dxa" w:w="160"/>
            </w:tcMar>
          </w:tcPr>
          <w:p>
            <w:pPr>
              <w:jc w:val="center"/>
            </w:pPr>
            <w:r>
              <w:rPr>
                <w:rFonts w:ascii="Arial" w:cs="Arial" w:eastAsia="Arial" w:hAnsi="Arial"/>
                <w:b/>
                <w:bCs/>
                <w:color w:val="1B3A6B"/>
                <w:sz w:val="36"/>
                <w:szCs w:val="36"/>
              </w:rPr>
              <w:t xml:space="preserve">November</w:t>
            </w:r>
          </w:p>
          <w:p>
            <w:pPr>
              <w:jc w:val="center"/>
            </w:pPr>
            <w:r>
              <w:rPr>
                <w:rFonts w:ascii="Arial" w:cs="Arial" w:eastAsia="Arial" w:hAnsi="Arial"/>
                <w:color w:val="444444"/>
                <w:sz w:val="18"/>
                <w:szCs w:val="18"/>
              </w:rPr>
              <w:t xml:space="preserve">Peak Sales Month</w:t>
            </w:r>
          </w:p>
        </w:tc>
      </w:tr>
    </w:tbl>
    <w:p>
      <w:pPr>
        <w:spacing w:after="240" w:before="0"/>
      </w:pPr>
      <w:r>
        <w:t xml:space="preserve"/>
      </w:r>
    </w:p>
    <w:p>
      <w:pPr>
        <w:pBdr>
          <w:bottom w:val="single" w:color="0D7377" w:sz="8" w:space="4"/>
        </w:pBdr>
        <w:spacing w:after="80" w:before="320"/>
      </w:pPr>
      <w:r>
        <w:rPr>
          <w:rFonts w:ascii="Arial" w:cs="Arial" w:eastAsia="Arial" w:hAnsi="Arial"/>
          <w:b/>
          <w:bCs/>
          <w:color w:val="1B3A6B"/>
          <w:sz w:val="24"/>
          <w:szCs w:val="24"/>
        </w:rPr>
        <w:t xml:space="preserve">1. GEOGRAPHICAL ANALYSIS</w:t>
      </w:r>
    </w:p>
    <w:p>
      <w:pPr>
        <w:spacing w:after="60" w:before="40"/>
      </w:pPr>
      <w:r>
        <w:rPr>
          <w:rFonts w:ascii="Arial" w:cs="Arial" w:eastAsia="Arial" w:hAnsi="Arial"/>
          <w:color w:val="444444"/>
          <w:sz w:val="20"/>
          <w:szCs w:val="20"/>
        </w:rPr>
        <w:t xml:space="preserve">The dataset spans 19 distinct countries, reflecting a broad international footprint. Revenue and order volume were analysed by country to identify market priorities.</w:t>
      </w:r>
    </w:p>
    <w:p>
      <w:pPr>
        <w:spacing w:after="60" w:before="200"/>
      </w:pPr>
      <w:r>
        <w:rPr>
          <w:rFonts w:ascii="Arial" w:cs="Arial" w:eastAsia="Arial" w:hAnsi="Arial"/>
          <w:b/>
          <w:bCs/>
          <w:color w:val="0D7377"/>
          <w:sz w:val="22"/>
          <w:szCs w:val="22"/>
        </w:rPr>
        <w:t xml:space="preserve">Revenue by Country</w:t>
      </w:r>
    </w:p>
    <w:p>
      <w:pPr>
        <w:pStyle w:val="ListParagraph"/>
        <w:numPr>
          <w:ilvl w:val="0"/>
          <w:numId w:val="2"/>
        </w:numPr>
        <w:spacing w:after="40" w:before="40"/>
      </w:pPr>
      <w:r>
        <w:rPr>
          <w:rFonts w:ascii="Arial" w:cs="Arial" w:eastAsia="Arial" w:hAnsi="Arial"/>
          <w:color w:val="444444"/>
          <w:sz w:val="20"/>
          <w:szCs w:val="20"/>
        </w:rPr>
        <w:t xml:space="preserve">The USA generates the highest revenue across all 19 markets, establishing it as the primary revenue driver.</w:t>
      </w:r>
    </w:p>
    <w:p>
      <w:pPr>
        <w:pStyle w:val="ListParagraph"/>
        <w:numPr>
          <w:ilvl w:val="0"/>
          <w:numId w:val="2"/>
        </w:numPr>
        <w:spacing w:after="40" w:before="40"/>
      </w:pPr>
      <w:r>
        <w:rPr>
          <w:rFonts w:ascii="Arial" w:cs="Arial" w:eastAsia="Arial" w:hAnsi="Arial"/>
          <w:color w:val="444444"/>
          <w:sz w:val="20"/>
          <w:szCs w:val="20"/>
        </w:rPr>
        <w:t xml:space="preserve">Ireland recorded the lowest revenue, indicating either limited market penetration or a nascent customer base in that region.</w:t>
      </w:r>
    </w:p>
    <w:p>
      <w:pPr>
        <w:pStyle w:val="ListParagraph"/>
        <w:numPr>
          <w:ilvl w:val="0"/>
          <w:numId w:val="2"/>
        </w:numPr>
        <w:spacing w:after="40" w:before="40"/>
      </w:pPr>
      <w:r>
        <w:rPr>
          <w:rFonts w:ascii="Arial" w:cs="Arial" w:eastAsia="Arial" w:hAnsi="Arial"/>
          <w:color w:val="444444"/>
          <w:sz w:val="20"/>
          <w:szCs w:val="20"/>
        </w:rPr>
        <w:t xml:space="preserve">Country rankings for revenue and order volume were identical — confirming that revenue performance is directly driven by order volume rather than differences in average order value.</w:t>
      </w:r>
    </w:p>
    <w:p>
      <w:pPr>
        <w:spacing w:after="120" w:before="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W w:type="dxa" w:w="93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3A6B"/>
                <w:sz w:val="20"/>
                <w:szCs w:val="20"/>
              </w:rPr>
              <w:t xml:space="preserve">Insight: </w:t>
            </w:r>
            <w:r>
              <w:rPr>
                <w:rFonts w:ascii="Arial" w:cs="Arial" w:eastAsia="Arial" w:hAnsi="Arial"/>
                <w:color w:val="444444"/>
                <w:sz w:val="20"/>
                <w:szCs w:val="20"/>
              </w:rPr>
              <w:t xml:space="preserve">Revenue performance is order-volume driven. Countries with more orders generate more revenue, with no significant variation in average order value across markets.</w:t>
            </w:r>
          </w:p>
        </w:tc>
      </w:tr>
    </w:tbl>
    <w:p>
      <w:pPr>
        <w:spacing w:after="120" w:before="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W w:type="dxa" w:w="9326"/>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1B3A6B"/>
                <w:sz w:val="20"/>
                <w:szCs w:val="20"/>
              </w:rPr>
              <w:t xml:space="preserve">Recommendation: </w:t>
            </w:r>
            <w:r>
              <w:rPr>
                <w:rFonts w:ascii="Arial" w:cs="Arial" w:eastAsia="Arial" w:hAnsi="Arial"/>
                <w:color w:val="444444"/>
                <w:sz w:val="20"/>
                <w:szCs w:val="20"/>
              </w:rPr>
              <w:t xml:space="preserve">Continue prioritising the USA market. Investigate Ireland's low performance — whether due to limited marketing reach, pricing mismatch, or low brand awareness — before deciding on expansion or withdrawal.</w:t>
            </w:r>
          </w:p>
        </w:tc>
      </w:tr>
    </w:tbl>
    <w:p>
      <w:pPr>
        <w:spacing w:after="240" w:before="0"/>
      </w:pPr>
      <w:r>
        <w:t xml:space="preserve"/>
      </w:r>
    </w:p>
    <w:p>
      <w:pPr>
        <w:pBdr>
          <w:bottom w:val="single" w:color="0D7377" w:sz="8" w:space="4"/>
        </w:pBdr>
        <w:spacing w:after="80" w:before="320"/>
      </w:pPr>
      <w:r>
        <w:rPr>
          <w:rFonts w:ascii="Arial" w:cs="Arial" w:eastAsia="Arial" w:hAnsi="Arial"/>
          <w:b/>
          <w:bCs/>
          <w:color w:val="1B3A6B"/>
          <w:sz w:val="24"/>
          <w:szCs w:val="24"/>
        </w:rPr>
        <w:t xml:space="preserve">2. PRODUCT ANALYSIS</w:t>
      </w:r>
    </w:p>
    <w:p>
      <w:pPr>
        <w:spacing w:after="60" w:before="40"/>
      </w:pPr>
      <w:r>
        <w:rPr>
          <w:rFonts w:ascii="Arial" w:cs="Arial" w:eastAsia="Arial" w:hAnsi="Arial"/>
          <w:color w:val="444444"/>
          <w:sz w:val="20"/>
          <w:szCs w:val="20"/>
        </w:rPr>
        <w:t xml:space="preserve">The store carries 7 distinct product lines. Analysis assessed both revenue contribution and units sold to determine which products deliver the most value.</w:t>
      </w:r>
    </w:p>
    <w:p>
      <w:pPr>
        <w:spacing w:after="60" w:before="200"/>
      </w:pPr>
      <w:r>
        <w:rPr>
          <w:rFonts w:ascii="Arial" w:cs="Arial" w:eastAsia="Arial" w:hAnsi="Arial"/>
          <w:b/>
          <w:bCs/>
          <w:color w:val="0D7377"/>
          <w:sz w:val="22"/>
          <w:szCs w:val="22"/>
        </w:rPr>
        <w:t xml:space="preserve">Best Performing Products</w:t>
      </w:r>
    </w:p>
    <w:p>
      <w:pPr>
        <w:pStyle w:val="ListParagraph"/>
        <w:numPr>
          <w:ilvl w:val="0"/>
          <w:numId w:val="2"/>
        </w:numPr>
        <w:spacing w:after="40" w:before="40"/>
      </w:pPr>
      <w:r>
        <w:rPr>
          <w:rFonts w:ascii="Arial" w:cs="Arial" w:eastAsia="Arial" w:hAnsi="Arial"/>
          <w:color w:val="444444"/>
          <w:sz w:val="20"/>
          <w:szCs w:val="20"/>
        </w:rPr>
        <w:t xml:space="preserve">Classic Cars rank first in both revenue generated and quantity sold, making them the single most important product line.</w:t>
      </w:r>
    </w:p>
    <w:p>
      <w:pPr>
        <w:pStyle w:val="ListParagraph"/>
        <w:numPr>
          <w:ilvl w:val="0"/>
          <w:numId w:val="2"/>
        </w:numPr>
        <w:spacing w:after="40" w:before="40"/>
      </w:pPr>
      <w:r>
        <w:rPr>
          <w:rFonts w:ascii="Arial" w:cs="Arial" w:eastAsia="Arial" w:hAnsi="Arial"/>
          <w:color w:val="444444"/>
          <w:sz w:val="20"/>
          <w:szCs w:val="20"/>
        </w:rPr>
        <w:t xml:space="preserve">Vintage Cars rank second across both metrics, reinforcing the dominance of the collectible/heritage vehicle segment.</w:t>
      </w:r>
    </w:p>
    <w:p>
      <w:pPr>
        <w:pStyle w:val="ListParagraph"/>
        <w:numPr>
          <w:ilvl w:val="0"/>
          <w:numId w:val="2"/>
        </w:numPr>
        <w:spacing w:after="40" w:before="40"/>
      </w:pPr>
      <w:r>
        <w:rPr>
          <w:rFonts w:ascii="Arial" w:cs="Arial" w:eastAsia="Arial" w:hAnsi="Arial"/>
          <w:color w:val="444444"/>
          <w:sz w:val="20"/>
          <w:szCs w:val="20"/>
        </w:rPr>
        <w:t xml:space="preserve">The remaining 5 product lines trail significantly in both revenue and volume.</w:t>
      </w:r>
    </w:p>
    <w:p>
      <w:pPr>
        <w:spacing w:after="120" w:before="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W w:type="dxa" w:w="93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3A6B"/>
                <w:sz w:val="20"/>
                <w:szCs w:val="20"/>
              </w:rPr>
              <w:t xml:space="preserve">Insight: </w:t>
            </w:r>
            <w:r>
              <w:rPr>
                <w:rFonts w:ascii="Arial" w:cs="Arial" w:eastAsia="Arial" w:hAnsi="Arial"/>
                <w:color w:val="444444"/>
                <w:sz w:val="20"/>
                <w:szCs w:val="20"/>
              </w:rPr>
              <w:t xml:space="preserve">Classic Cars and Vintage Cars are the clear bestsellers, leading in both revenue and quantity sold. The business is heavily reliant on these two categories.</w:t>
            </w:r>
          </w:p>
        </w:tc>
      </w:tr>
    </w:tbl>
    <w:p>
      <w:pPr>
        <w:spacing w:after="120" w:before="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W w:type="dxa" w:w="9326"/>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1B3A6B"/>
                <w:sz w:val="20"/>
                <w:szCs w:val="20"/>
              </w:rPr>
              <w:t xml:space="preserve">Recommendation: </w:t>
            </w:r>
            <w:r>
              <w:rPr>
                <w:rFonts w:ascii="Arial" w:cs="Arial" w:eastAsia="Arial" w:hAnsi="Arial"/>
                <w:color w:val="444444"/>
                <w:sz w:val="20"/>
                <w:szCs w:val="20"/>
              </w:rPr>
              <w:t xml:space="preserve">Prioritise Classic and Vintage Cars during inventory planning. Conduct further analysis to determine whether the remaining 5 product lines generate sufficient margin to justify continued stocking.</w:t>
            </w:r>
          </w:p>
        </w:tc>
      </w:tr>
    </w:tbl>
    <w:p>
      <w:pPr>
        <w:spacing w:after="240" w:before="0"/>
      </w:pPr>
      <w:r>
        <w:t xml:space="preserve"/>
      </w:r>
    </w:p>
    <w:p>
      <w:pPr>
        <w:pBdr>
          <w:bottom w:val="single" w:color="0D7377" w:sz="8" w:space="4"/>
        </w:pBdr>
        <w:spacing w:after="80" w:before="320"/>
      </w:pPr>
      <w:r>
        <w:rPr>
          <w:rFonts w:ascii="Arial" w:cs="Arial" w:eastAsia="Arial" w:hAnsi="Arial"/>
          <w:b/>
          <w:bCs/>
          <w:color w:val="1B3A6B"/>
          <w:sz w:val="24"/>
          <w:szCs w:val="24"/>
        </w:rPr>
        <w:t xml:space="preserve">3. CUSTOMER ANALYSIS</w:t>
      </w:r>
    </w:p>
    <w:p>
      <w:pPr>
        <w:spacing w:after="60" w:before="40"/>
      </w:pPr>
      <w:r>
        <w:rPr>
          <w:rFonts w:ascii="Arial" w:cs="Arial" w:eastAsia="Arial" w:hAnsi="Arial"/>
          <w:color w:val="444444"/>
          <w:sz w:val="20"/>
          <w:szCs w:val="20"/>
        </w:rPr>
        <w:t xml:space="preserve">Customer analysis focused on two dimensions: identifying the highest-value customers by total spend, and assessing loyalty through order frequency and tenure.</w:t>
      </w:r>
    </w:p>
    <w:p>
      <w:pPr>
        <w:spacing w:after="60" w:before="200"/>
      </w:pPr>
      <w:r>
        <w:rPr>
          <w:rFonts w:ascii="Arial" w:cs="Arial" w:eastAsia="Arial" w:hAnsi="Arial"/>
          <w:b/>
          <w:bCs/>
          <w:color w:val="0D7377"/>
          <w:sz w:val="22"/>
          <w:szCs w:val="22"/>
        </w:rPr>
        <w:t xml:space="preserve">Top 10 Customers by Revenue</w:t>
      </w:r>
    </w:p>
    <w:p>
      <w:pPr>
        <w:pStyle w:val="ListParagraph"/>
        <w:numPr>
          <w:ilvl w:val="0"/>
          <w:numId w:val="2"/>
        </w:numPr>
        <w:spacing w:after="40" w:before="40"/>
      </w:pPr>
      <w:r>
        <w:rPr>
          <w:rFonts w:ascii="Arial" w:cs="Arial" w:eastAsia="Arial" w:hAnsi="Arial"/>
          <w:color w:val="444444"/>
          <w:sz w:val="20"/>
          <w:szCs w:val="20"/>
        </w:rPr>
        <w:t xml:space="preserve">Euro Shopping Channel is the highest-value customer, with 259 total orders — the highest order count of any single client.</w:t>
      </w:r>
    </w:p>
    <w:p>
      <w:pPr>
        <w:pStyle w:val="ListParagraph"/>
        <w:numPr>
          <w:ilvl w:val="0"/>
          <w:numId w:val="2"/>
        </w:numPr>
        <w:spacing w:after="40" w:before="40"/>
      </w:pPr>
      <w:r>
        <w:rPr>
          <w:rFonts w:ascii="Arial" w:cs="Arial" w:eastAsia="Arial" w:hAnsi="Arial"/>
          <w:color w:val="444444"/>
          <w:sz w:val="20"/>
          <w:szCs w:val="20"/>
        </w:rPr>
        <w:t xml:space="preserve">The top 10 customers account for a disproportionate share of total revenue, suggesting a concentrated customer base.</w:t>
      </w:r>
    </w:p>
    <w:p>
      <w:pPr>
        <w:spacing w:after="80" w:before="0"/>
      </w:pPr>
      <w:r>
        <w:t xml:space="preserve"/>
      </w:r>
    </w:p>
    <w:p>
      <w:pPr>
        <w:spacing w:after="60" w:before="200"/>
      </w:pPr>
      <w:r>
        <w:rPr>
          <w:rFonts w:ascii="Arial" w:cs="Arial" w:eastAsia="Arial" w:hAnsi="Arial"/>
          <w:b/>
          <w:bCs/>
          <w:color w:val="0D7377"/>
          <w:sz w:val="22"/>
          <w:szCs w:val="22"/>
        </w:rPr>
        <w:t xml:space="preserve">Customer Loyalty Tier Classification</w:t>
      </w:r>
    </w:p>
    <w:p>
      <w:pPr>
        <w:spacing w:after="60" w:before="40"/>
      </w:pPr>
      <w:r>
        <w:rPr>
          <w:rFonts w:ascii="Arial" w:cs="Arial" w:eastAsia="Arial" w:hAnsi="Arial"/>
          <w:color w:val="444444"/>
          <w:sz w:val="20"/>
          <w:szCs w:val="20"/>
        </w:rPr>
        <w:t xml:space="preserve">Customers were segmented into loyalty tiers based on order frequency:</w:t>
      </w:r>
    </w:p>
    <w:p>
      <w:pPr>
        <w:pStyle w:val="ListParagraph"/>
        <w:numPr>
          <w:ilvl w:val="0"/>
          <w:numId w:val="2"/>
        </w:numPr>
        <w:spacing w:after="40" w:before="40"/>
      </w:pPr>
      <w:r>
        <w:rPr>
          <w:rFonts w:ascii="Arial" w:cs="Arial" w:eastAsia="Arial" w:hAnsi="Arial"/>
          <w:color w:val="444444"/>
          <w:sz w:val="20"/>
          <w:szCs w:val="20"/>
        </w:rPr>
        <w:t xml:space="preserve">Champion (100+ orders) — highest-value, most engaged customers</w:t>
      </w:r>
    </w:p>
    <w:p>
      <w:pPr>
        <w:pStyle w:val="ListParagraph"/>
        <w:numPr>
          <w:ilvl w:val="0"/>
          <w:numId w:val="2"/>
        </w:numPr>
        <w:spacing w:after="40" w:before="40"/>
      </w:pPr>
      <w:r>
        <w:rPr>
          <w:rFonts w:ascii="Arial" w:cs="Arial" w:eastAsia="Arial" w:hAnsi="Arial"/>
          <w:color w:val="444444"/>
          <w:sz w:val="20"/>
          <w:szCs w:val="20"/>
        </w:rPr>
        <w:t xml:space="preserve">Loyal (40-99 orders) — consistent repeat customers</w:t>
      </w:r>
    </w:p>
    <w:p>
      <w:pPr>
        <w:pStyle w:val="ListParagraph"/>
        <w:numPr>
          <w:ilvl w:val="0"/>
          <w:numId w:val="2"/>
        </w:numPr>
        <w:spacing w:after="40" w:before="40"/>
      </w:pPr>
      <w:r>
        <w:rPr>
          <w:rFonts w:ascii="Arial" w:cs="Arial" w:eastAsia="Arial" w:hAnsi="Arial"/>
          <w:color w:val="444444"/>
          <w:sz w:val="20"/>
          <w:szCs w:val="20"/>
        </w:rPr>
        <w:t xml:space="preserve">Occasional (5-39 orders) — moderate engagement</w:t>
      </w:r>
    </w:p>
    <w:p>
      <w:pPr>
        <w:pStyle w:val="ListParagraph"/>
        <w:numPr>
          <w:ilvl w:val="0"/>
          <w:numId w:val="2"/>
        </w:numPr>
        <w:spacing w:after="40" w:before="40"/>
      </w:pPr>
      <w:r>
        <w:rPr>
          <w:rFonts w:ascii="Arial" w:cs="Arial" w:eastAsia="Arial" w:hAnsi="Arial"/>
          <w:color w:val="444444"/>
          <w:sz w:val="20"/>
          <w:szCs w:val="20"/>
        </w:rPr>
        <w:t xml:space="preserve">One-time (fewer than 5 orders) — at risk of churn</w:t>
      </w:r>
    </w:p>
    <w:p>
      <w:pPr>
        <w:spacing w:after="120" w:before="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W w:type="dxa" w:w="93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3A6B"/>
                <w:sz w:val="20"/>
                <w:szCs w:val="20"/>
              </w:rPr>
              <w:t xml:space="preserve">Insight: </w:t>
            </w:r>
            <w:r>
              <w:rPr>
                <w:rFonts w:ascii="Arial" w:cs="Arial" w:eastAsia="Arial" w:hAnsi="Arial"/>
                <w:color w:val="444444"/>
                <w:sz w:val="20"/>
                <w:szCs w:val="20"/>
              </w:rPr>
              <w:t xml:space="preserve">Euro Shopping Channel is both the highest-value and longest-standing customer, suggesting a strong link between customer longevity and total revenue contribution.</w:t>
            </w:r>
          </w:p>
        </w:tc>
      </w:tr>
    </w:tbl>
    <w:p>
      <w:pPr>
        <w:spacing w:after="120" w:before="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W w:type="dxa" w:w="9326"/>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1B3A6B"/>
                <w:sz w:val="20"/>
                <w:szCs w:val="20"/>
              </w:rPr>
              <w:t xml:space="preserve">Recommendation: </w:t>
            </w:r>
            <w:r>
              <w:rPr>
                <w:rFonts w:ascii="Arial" w:cs="Arial" w:eastAsia="Arial" w:hAnsi="Arial"/>
                <w:color w:val="444444"/>
                <w:sz w:val="20"/>
                <w:szCs w:val="20"/>
              </w:rPr>
              <w:t xml:space="preserve">Invest in a formal customer retention programme targeting Champion and Loyal tier customers. Introduce a tiered loyalty reward system to incentivise repeat purchases across lower tiers.</w:t>
            </w:r>
          </w:p>
        </w:tc>
      </w:tr>
    </w:tbl>
    <w:p>
      <w:pPr>
        <w:spacing w:after="240" w:before="0"/>
      </w:pPr>
      <w:r>
        <w:t xml:space="preserve"/>
      </w:r>
    </w:p>
    <w:p>
      <w:pPr>
        <w:pBdr>
          <w:bottom w:val="single" w:color="0D7377" w:sz="8" w:space="4"/>
        </w:pBdr>
        <w:spacing w:after="80" w:before="320"/>
      </w:pPr>
      <w:r>
        <w:rPr>
          <w:rFonts w:ascii="Arial" w:cs="Arial" w:eastAsia="Arial" w:hAnsi="Arial"/>
          <w:b/>
          <w:bCs/>
          <w:color w:val="1B3A6B"/>
          <w:sz w:val="24"/>
          <w:szCs w:val="24"/>
        </w:rPr>
        <w:t xml:space="preserve">4. SALES PERIOD ANALYSIS</w:t>
      </w:r>
    </w:p>
    <w:p>
      <w:pPr>
        <w:spacing w:after="60" w:before="40"/>
      </w:pPr>
      <w:r>
        <w:rPr>
          <w:rFonts w:ascii="Arial" w:cs="Arial" w:eastAsia="Arial" w:hAnsi="Arial"/>
          <w:color w:val="444444"/>
          <w:sz w:val="20"/>
          <w:szCs w:val="20"/>
        </w:rPr>
        <w:t xml:space="preserve">Time-series analysis was conducted at monthly and annual levels to identify seasonal patterns and year-on-year performance trends.</w:t>
      </w:r>
    </w:p>
    <w:p>
      <w:pPr>
        <w:spacing w:after="60" w:before="200"/>
      </w:pPr>
      <w:r>
        <w:rPr>
          <w:rFonts w:ascii="Arial" w:cs="Arial" w:eastAsia="Arial" w:hAnsi="Arial"/>
          <w:b/>
          <w:bCs/>
          <w:color w:val="0D7377"/>
          <w:sz w:val="22"/>
          <w:szCs w:val="22"/>
        </w:rPr>
        <w:t xml:space="preserve">Monthly Revenue Trends</w:t>
      </w:r>
    </w:p>
    <w:p>
      <w:pPr>
        <w:pStyle w:val="ListParagraph"/>
        <w:numPr>
          <w:ilvl w:val="0"/>
          <w:numId w:val="2"/>
        </w:numPr>
        <w:spacing w:after="40" w:before="40"/>
      </w:pPr>
      <w:r>
        <w:rPr>
          <w:rFonts w:ascii="Arial" w:cs="Arial" w:eastAsia="Arial" w:hAnsi="Arial"/>
          <w:color w:val="444444"/>
          <w:sz w:val="20"/>
          <w:szCs w:val="20"/>
        </w:rPr>
        <w:t xml:space="preserve">November consistently records the highest monthly revenue, suggesting a strong year-end seasonal demand peak — likely tied to holiday purchasing cycles.</w:t>
      </w:r>
    </w:p>
    <w:p>
      <w:pPr>
        <w:pStyle w:val="ListParagraph"/>
        <w:numPr>
          <w:ilvl w:val="0"/>
          <w:numId w:val="2"/>
        </w:numPr>
        <w:spacing w:after="40" w:before="40"/>
      </w:pPr>
      <w:r>
        <w:rPr>
          <w:rFonts w:ascii="Arial" w:cs="Arial" w:eastAsia="Arial" w:hAnsi="Arial"/>
          <w:color w:val="444444"/>
          <w:sz w:val="20"/>
          <w:szCs w:val="20"/>
        </w:rPr>
        <w:t xml:space="preserve">This pattern has direct implications for inventory management, staffing, and promotional planning.</w:t>
      </w:r>
    </w:p>
    <w:p>
      <w:pPr>
        <w:spacing w:after="120" w:before="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W w:type="dxa" w:w="93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3A6B"/>
                <w:sz w:val="20"/>
                <w:szCs w:val="20"/>
              </w:rPr>
              <w:t xml:space="preserve">Insight: </w:t>
            </w:r>
            <w:r>
              <w:rPr>
                <w:rFonts w:ascii="Arial" w:cs="Arial" w:eastAsia="Arial" w:hAnsi="Arial"/>
                <w:color w:val="444444"/>
                <w:sz w:val="20"/>
                <w:szCs w:val="20"/>
              </w:rPr>
              <w:t xml:space="preserve">Sales peak in November, indicating a clear seasonal pattern. The business experiences a predictable year-end surge in demand.</w:t>
            </w:r>
          </w:p>
        </w:tc>
      </w:tr>
    </w:tbl>
    <w:p>
      <w:pPr>
        <w:spacing w:after="120" w:before="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W w:type="dxa" w:w="9326"/>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1B3A6B"/>
                <w:sz w:val="20"/>
                <w:szCs w:val="20"/>
              </w:rPr>
              <w:t xml:space="preserve">Recommendation: </w:t>
            </w:r>
            <w:r>
              <w:rPr>
                <w:rFonts w:ascii="Arial" w:cs="Arial" w:eastAsia="Arial" w:hAnsi="Arial"/>
                <w:color w:val="444444"/>
                <w:sz w:val="20"/>
                <w:szCs w:val="20"/>
              </w:rPr>
              <w:t xml:space="preserve">Plan inventory build-up ahead of October-November to meet peak demand. Launch targeted Q4 marketing campaigns. Investigate lowest-revenue months to identify opportunities to smooth seasonal variance.</w:t>
            </w:r>
          </w:p>
        </w:tc>
      </w:tr>
    </w:tbl>
    <w:p>
      <w:pPr>
        <w:spacing w:after="240" w:before="0"/>
      </w:pPr>
      <w:r>
        <w:t xml:space="preserve"/>
      </w:r>
    </w:p>
    <w:p>
      <w:pPr>
        <w:pBdr>
          <w:bottom w:val="single" w:color="0D7377" w:sz="8" w:space="4"/>
        </w:pBdr>
        <w:spacing w:after="80" w:before="320"/>
      </w:pPr>
      <w:r>
        <w:rPr>
          <w:rFonts w:ascii="Arial" w:cs="Arial" w:eastAsia="Arial" w:hAnsi="Arial"/>
          <w:b/>
          <w:bCs/>
          <w:color w:val="1B3A6B"/>
          <w:sz w:val="24"/>
          <w:szCs w:val="24"/>
        </w:rPr>
        <w:t xml:space="preserve">CONCLUSION &amp; SUMMARY OF RECOMMENDATIONS</w:t>
      </w:r>
    </w:p>
    <w:p>
      <w:pPr>
        <w:spacing w:after="60" w:before="40"/>
      </w:pPr>
      <w:r>
        <w:rPr>
          <w:rFonts w:ascii="Arial" w:cs="Arial" w:eastAsia="Arial" w:hAnsi="Arial"/>
          <w:color w:val="444444"/>
          <w:sz w:val="20"/>
          <w:szCs w:val="20"/>
        </w:rPr>
        <w:t xml:space="preserve">This analysis surfaced four high-impact opportunities for the auto-mobile business:</w:t>
      </w:r>
    </w:p>
    <w:p>
      <w:pPr>
        <w:spacing w:after="80" w:before="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26"/>
      </w:tblGrid>
      <w:tr>
        <w:tc>
          <w:tcPr>
            <w:tcW w:type="dxa" w:w="1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Area</w:t>
            </w:r>
          </w:p>
        </w:tc>
        <w:tc>
          <w:tcPr>
            <w:tcW w:type="dxa" w:w="44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Finding</w:t>
            </w:r>
          </w:p>
        </w:tc>
        <w:tc>
          <w:tcPr>
            <w:tcW w:type="dxa" w:w="3526"/>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 Action</w:t>
            </w:r>
          </w:p>
        </w:tc>
      </w:tr>
      <w:tr>
        <w:tc>
          <w:tcPr>
            <w:tcW w:type="dxa" w:w="1400"/>
            <w:tcBorders>
              <w:top w:val="none" w:color="FFFFFF" w:sz="0"/>
              <w:left w:val="none" w:color="FFFFFF" w:sz="0"/>
              <w:bottom w:val="none" w:color="FFFFFF" w:sz="0"/>
              <w:right w:val="none" w:color="FFFFFF" w:sz="0"/>
            </w:tcBorders>
            <w:shd w:fill="EAF2F8" w:val="clear"/>
            <w:tcMar>
              <w:top w:type="dxa" w:w="100"/>
              <w:left w:type="dxa" w:w="120"/>
              <w:bottom w:type="dxa" w:w="100"/>
              <w:right w:type="dxa" w:w="120"/>
            </w:tcMar>
          </w:tcPr>
          <w:p>
            <w:r>
              <w:rPr>
                <w:rFonts w:ascii="Arial" w:cs="Arial" w:eastAsia="Arial" w:hAnsi="Arial"/>
                <w:color w:val="444444"/>
                <w:sz w:val="19"/>
                <w:szCs w:val="19"/>
              </w:rPr>
              <w:t xml:space="preserve">Geography</w:t>
            </w:r>
          </w:p>
        </w:tc>
        <w:tc>
          <w:tcPr>
            <w:tcW w:type="dxa" w:w="4400"/>
            <w:tcBorders>
              <w:top w:val="none" w:color="FFFFFF" w:sz="0"/>
              <w:left w:val="none" w:color="FFFFFF" w:sz="0"/>
              <w:bottom w:val="none" w:color="FFFFFF" w:sz="0"/>
              <w:right w:val="none" w:color="FFFFFF" w:sz="0"/>
            </w:tcBorders>
            <w:shd w:fill="EAF2F8" w:val="clear"/>
            <w:tcMar>
              <w:top w:type="dxa" w:w="100"/>
              <w:left w:type="dxa" w:w="120"/>
              <w:bottom w:type="dxa" w:w="100"/>
              <w:right w:type="dxa" w:w="120"/>
            </w:tcMar>
          </w:tcPr>
          <w:p>
            <w:r>
              <w:rPr>
                <w:rFonts w:ascii="Arial" w:cs="Arial" w:eastAsia="Arial" w:hAnsi="Arial"/>
                <w:color w:val="444444"/>
                <w:sz w:val="19"/>
                <w:szCs w:val="19"/>
              </w:rPr>
              <w:t xml:space="preserve">USA leads; Ireland underperforms</w:t>
            </w:r>
          </w:p>
        </w:tc>
        <w:tc>
          <w:tcPr>
            <w:tcW w:type="dxa" w:w="3526"/>
            <w:tcBorders>
              <w:top w:val="none" w:color="FFFFFF" w:sz="0"/>
              <w:left w:val="none" w:color="FFFFFF" w:sz="0"/>
              <w:bottom w:val="none" w:color="FFFFFF" w:sz="0"/>
              <w:right w:val="none" w:color="FFFFFF" w:sz="0"/>
            </w:tcBorders>
            <w:shd w:fill="EAF2F8" w:val="clear"/>
            <w:tcMar>
              <w:top w:type="dxa" w:w="100"/>
              <w:left w:type="dxa" w:w="120"/>
              <w:bottom w:type="dxa" w:w="100"/>
              <w:right w:type="dxa" w:w="120"/>
            </w:tcMar>
          </w:tcPr>
          <w:p>
            <w:r>
              <w:rPr>
                <w:rFonts w:ascii="Arial" w:cs="Arial" w:eastAsia="Arial" w:hAnsi="Arial"/>
                <w:color w:val="444444"/>
                <w:sz w:val="19"/>
                <w:szCs w:val="19"/>
              </w:rPr>
              <w:t xml:space="preserve">Investigate Ireland; protect USA share</w:t>
            </w:r>
          </w:p>
        </w:tc>
      </w:tr>
      <w:tr>
        <w:tc>
          <w:tcPr>
            <w:tcW w:type="dxa" w:w="1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r>
              <w:rPr>
                <w:rFonts w:ascii="Arial" w:cs="Arial" w:eastAsia="Arial" w:hAnsi="Arial"/>
                <w:color w:val="444444"/>
                <w:sz w:val="19"/>
                <w:szCs w:val="19"/>
              </w:rPr>
              <w:t xml:space="preserve">Products</w:t>
            </w:r>
          </w:p>
        </w:tc>
        <w:tc>
          <w:tcPr>
            <w:tcW w:type="dxa" w:w="4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r>
              <w:rPr>
                <w:rFonts w:ascii="Arial" w:cs="Arial" w:eastAsia="Arial" w:hAnsi="Arial"/>
                <w:color w:val="444444"/>
                <w:sz w:val="19"/>
                <w:szCs w:val="19"/>
              </w:rPr>
              <w:t xml:space="preserve">Classic &amp; Vintage Cars dominate</w:t>
            </w:r>
          </w:p>
        </w:tc>
        <w:tc>
          <w:tcPr>
            <w:tcW w:type="dxa" w:w="3526"/>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r>
              <w:rPr>
                <w:rFonts w:ascii="Arial" w:cs="Arial" w:eastAsia="Arial" w:hAnsi="Arial"/>
                <w:color w:val="444444"/>
                <w:sz w:val="19"/>
                <w:szCs w:val="19"/>
              </w:rPr>
              <w:t xml:space="preserve">Prioritise top 2 lines in inventory</w:t>
            </w:r>
          </w:p>
        </w:tc>
      </w:tr>
      <w:tr>
        <w:tc>
          <w:tcPr>
            <w:tcW w:type="dxa" w:w="1400"/>
            <w:tcBorders>
              <w:top w:val="none" w:color="FFFFFF" w:sz="0"/>
              <w:left w:val="none" w:color="FFFFFF" w:sz="0"/>
              <w:bottom w:val="none" w:color="FFFFFF" w:sz="0"/>
              <w:right w:val="none" w:color="FFFFFF" w:sz="0"/>
            </w:tcBorders>
            <w:shd w:fill="EAF2F8" w:val="clear"/>
            <w:tcMar>
              <w:top w:type="dxa" w:w="100"/>
              <w:left w:type="dxa" w:w="120"/>
              <w:bottom w:type="dxa" w:w="100"/>
              <w:right w:type="dxa" w:w="120"/>
            </w:tcMar>
          </w:tcPr>
          <w:p>
            <w:r>
              <w:rPr>
                <w:rFonts w:ascii="Arial" w:cs="Arial" w:eastAsia="Arial" w:hAnsi="Arial"/>
                <w:color w:val="444444"/>
                <w:sz w:val="19"/>
                <w:szCs w:val="19"/>
              </w:rPr>
              <w:t xml:space="preserve">Customers</w:t>
            </w:r>
          </w:p>
        </w:tc>
        <w:tc>
          <w:tcPr>
            <w:tcW w:type="dxa" w:w="4400"/>
            <w:tcBorders>
              <w:top w:val="none" w:color="FFFFFF" w:sz="0"/>
              <w:left w:val="none" w:color="FFFFFF" w:sz="0"/>
              <w:bottom w:val="none" w:color="FFFFFF" w:sz="0"/>
              <w:right w:val="none" w:color="FFFFFF" w:sz="0"/>
            </w:tcBorders>
            <w:shd w:fill="EAF2F8" w:val="clear"/>
            <w:tcMar>
              <w:top w:type="dxa" w:w="100"/>
              <w:left w:type="dxa" w:w="120"/>
              <w:bottom w:type="dxa" w:w="100"/>
              <w:right w:type="dxa" w:w="120"/>
            </w:tcMar>
          </w:tcPr>
          <w:p>
            <w:r>
              <w:rPr>
                <w:rFonts w:ascii="Arial" w:cs="Arial" w:eastAsia="Arial" w:hAnsi="Arial"/>
                <w:color w:val="444444"/>
                <w:sz w:val="19"/>
                <w:szCs w:val="19"/>
              </w:rPr>
              <w:t xml:space="preserve">Long-term customers = highest value</w:t>
            </w:r>
          </w:p>
        </w:tc>
        <w:tc>
          <w:tcPr>
            <w:tcW w:type="dxa" w:w="3526"/>
            <w:tcBorders>
              <w:top w:val="none" w:color="FFFFFF" w:sz="0"/>
              <w:left w:val="none" w:color="FFFFFF" w:sz="0"/>
              <w:bottom w:val="none" w:color="FFFFFF" w:sz="0"/>
              <w:right w:val="none" w:color="FFFFFF" w:sz="0"/>
            </w:tcBorders>
            <w:shd w:fill="EAF2F8" w:val="clear"/>
            <w:tcMar>
              <w:top w:type="dxa" w:w="100"/>
              <w:left w:type="dxa" w:w="120"/>
              <w:bottom w:type="dxa" w:w="100"/>
              <w:right w:type="dxa" w:w="120"/>
            </w:tcMar>
          </w:tcPr>
          <w:p>
            <w:r>
              <w:rPr>
                <w:rFonts w:ascii="Arial" w:cs="Arial" w:eastAsia="Arial" w:hAnsi="Arial"/>
                <w:color w:val="444444"/>
                <w:sz w:val="19"/>
                <w:szCs w:val="19"/>
              </w:rPr>
              <w:t xml:space="preserve">Retention programme + loyalty rewards</w:t>
            </w:r>
          </w:p>
        </w:tc>
      </w:tr>
      <w:tr>
        <w:tc>
          <w:tcPr>
            <w:tcW w:type="dxa" w:w="1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r>
              <w:rPr>
                <w:rFonts w:ascii="Arial" w:cs="Arial" w:eastAsia="Arial" w:hAnsi="Arial"/>
                <w:color w:val="444444"/>
                <w:sz w:val="19"/>
                <w:szCs w:val="19"/>
              </w:rPr>
              <w:t xml:space="preserve">Seasonality</w:t>
            </w:r>
          </w:p>
        </w:tc>
        <w:tc>
          <w:tcPr>
            <w:tcW w:type="dxa" w:w="4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r>
              <w:rPr>
                <w:rFonts w:ascii="Arial" w:cs="Arial" w:eastAsia="Arial" w:hAnsi="Arial"/>
                <w:color w:val="444444"/>
                <w:sz w:val="19"/>
                <w:szCs w:val="19"/>
              </w:rPr>
              <w:t xml:space="preserve">November revenue spike</w:t>
            </w:r>
          </w:p>
        </w:tc>
        <w:tc>
          <w:tcPr>
            <w:tcW w:type="dxa" w:w="3526"/>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r>
              <w:rPr>
                <w:rFonts w:ascii="Arial" w:cs="Arial" w:eastAsia="Arial" w:hAnsi="Arial"/>
                <w:color w:val="444444"/>
                <w:sz w:val="19"/>
                <w:szCs w:val="19"/>
              </w:rPr>
              <w:t xml:space="preserve">Build Q4 inventory; launch Q4 campaigns</w:t>
            </w:r>
          </w:p>
        </w:tc>
      </w:tr>
    </w:tbl>
    <w:p>
      <w:pPr>
        <w:spacing w:after="400" w:before="0"/>
      </w:pPr>
      <w:r>
        <w:t xml:space="preserve"/>
      </w:r>
    </w:p>
    <w:p>
      <w:pPr>
        <w:jc w:val="center"/>
      </w:pPr>
      <w:r>
        <w:rPr>
          <w:rFonts w:ascii="Arial" w:cs="Arial" w:eastAsia="Arial" w:hAnsi="Arial"/>
          <w:i/>
          <w:iCs/>
          <w:color w:val="444444"/>
          <w:sz w:val="18"/>
          <w:szCs w:val="18"/>
        </w:rPr>
        <w:t xml:space="preserve">End of Report  |  Patricia Fagbola  |  Data Analyst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2026-06-23T11:24:26.441Z</dcterms:created>
  <dcterms:modified xsi:type="dcterms:W3CDTF">2026-06-23T11:24:26.455Z</dcterms:modified>
</cp:coreProperties>
</file>

<file path=docProps/custom.xml><?xml version="1.0" encoding="utf-8"?>
<Properties xmlns="http://schemas.openxmlformats.org/officeDocument/2006/custom-properties" xmlns:vt="http://schemas.openxmlformats.org/officeDocument/2006/docPropsVTypes"/>
</file>