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BD952" w14:textId="77777777" w:rsidR="004571EA" w:rsidRDefault="00FC1BC7">
      <w:pPr>
        <w:spacing w:after="60"/>
        <w:jc w:val="center"/>
      </w:pPr>
      <w:r>
        <w:rPr>
          <w:rFonts w:ascii="Calibri" w:eastAsia="Calibri" w:hAnsi="Calibri" w:cs="Calibri"/>
          <w:b/>
          <w:bCs/>
          <w:sz w:val="32"/>
          <w:szCs w:val="32"/>
        </w:rPr>
        <w:t>Bank Marketing Campaign: A Business Analytics Case Study</w:t>
      </w:r>
    </w:p>
    <w:p w14:paraId="30AD29B5" w14:textId="77777777" w:rsidR="004571EA" w:rsidRDefault="00FC1BC7">
      <w:pPr>
        <w:spacing w:after="60"/>
        <w:jc w:val="center"/>
      </w:pPr>
      <w:r>
        <w:rPr>
          <w:rFonts w:ascii="Calibri" w:eastAsia="Calibri" w:hAnsi="Calibri" w:cs="Calibri"/>
          <w:i/>
          <w:iCs/>
          <w:color w:val="444444"/>
          <w:sz w:val="22"/>
          <w:szCs w:val="22"/>
        </w:rPr>
        <w:t xml:space="preserve">Understanding Term Deposit Subscription Behaviour Using SQL and Power BI</w:t>
      </w:r>
    </w:p>
    <w:p w14:paraId="7E25D599" w14:textId="77777777" w:rsidR="004571EA" w:rsidRDefault="00FC1BC7">
      <w:pPr>
        <w:spacing w:after="300"/>
        <w:jc w:val="center"/>
      </w:pPr>
      <w:r>
        <w:rPr>
          <w:rFonts w:ascii="Calibri" w:eastAsia="Calibri" w:hAnsi="Calibri" w:cs="Calibri"/>
          <w:color w:val="444444"/>
        </w:rPr>
        <w:t xml:space="preserve">Patricia Fagbola | AnalystLab Africa Data Analytics Internship | Week 5 Case Study</w:t>
      </w:r>
    </w:p>
    <w:p w14:paraId="0C804E6A" w14:textId="77777777" w:rsidR="004571EA" w:rsidRDefault="00FC1BC7">
      <w:pPr>
        <w:pStyle w:val="Heading1"/>
        <w:spacing w:before="280" w:after="140"/>
      </w:pPr>
      <w:r>
        <w:rPr>
          <w:rFonts w:ascii="Calibri" w:eastAsia="Calibri" w:hAnsi="Calibri" w:cs="Calibri"/>
          <w:b/>
          <w:bCs/>
          <w:color w:val="000000"/>
          <w:sz w:val="26"/>
          <w:szCs w:val="26"/>
        </w:rPr>
        <w:t>Introduction</w:t>
      </w:r>
    </w:p>
    <w:p w14:paraId="314CE77D" w14:textId="77777777" w:rsidR="004571EA" w:rsidRDefault="00FC1BC7">
      <w:pPr>
        <w:spacing w:after="160" w:line="276" w:lineRule="auto"/>
      </w:pPr>
      <w:r>
        <w:rPr>
          <w:rFonts w:ascii="Calibri" w:eastAsia="Calibri" w:hAnsi="Calibri" w:cs="Calibri"/>
          <w:sz w:val="22"/>
          <w:szCs w:val="22"/>
        </w:rPr>
        <w:t xml:space="preserve">This report presents a business analytics case study conducted as part of the Week 5 assignment of the AnalystLab Africa Data Analytics Internship Program. The objective of this exercise was to apply analytical skills developed during the internship to a real business problem, using data to uncover patterns, generate insights, and produce actionable recommendations. The dataset selected for this case study is the Bank Marketing dataset, which records the outcomes of a term deposit telemarketing campaign carried out by a bank. Using SQL for data exploration and Power BI for visualization, this report investigates why some customers chose to subscribe to a term deposit while others did not, and what the bank can do to improve future campaign performance.</w:t>
      </w:r>
    </w:p>
    <w:p w14:paraId="6E597BFA" w14:textId="77777777" w:rsidR="004571EA" w:rsidRDefault="00FC1BC7">
      <w:pPr>
        <w:pStyle w:val="Heading1"/>
        <w:spacing w:before="280" w:after="140"/>
      </w:pPr>
      <w:r>
        <w:rPr>
          <w:rFonts w:ascii="Calibri" w:eastAsia="Calibri" w:hAnsi="Calibri" w:cs="Calibri"/>
          <w:b/>
          <w:bCs/>
          <w:color w:val="000000"/>
          <w:sz w:val="26"/>
          <w:szCs w:val="26"/>
        </w:rPr>
        <w:t>Business Problem Statement</w:t>
      </w:r>
    </w:p>
    <w:p w14:paraId="79F6104A" w14:textId="77777777" w:rsidR="004571EA" w:rsidRDefault="00FC1BC7">
      <w:pPr>
        <w:spacing w:after="160" w:line="276" w:lineRule="auto"/>
      </w:pPr>
      <w:r>
        <w:rPr>
          <w:rFonts w:ascii="Calibri" w:eastAsia="Calibri" w:hAnsi="Calibri" w:cs="Calibri"/>
          <w:sz w:val="22"/>
          <w:szCs w:val="22"/>
        </w:rPr>
        <w:t>Marketing campaigns are costly in both time and resources, yet not every customer contacted responds positively. In this case, the bank ran a telemarketing campaign encouraging customers to subscribe to a term deposit, a fixed-term savings product offering a guaranteed interest rate in exchange for locking away funds for a set period. Some customers subscribed while others did not, and the bank currently lacks a clear, data-driven understanding of why this difference exists. The business problem this case study addresses is: which customer characteristics and campaign strategies are associated with a higher likelihood of term deposit subscription, and how can this understanding be used to improve the efficiency and effectiveness of future marketing campaigns?</w:t>
      </w:r>
    </w:p>
    <w:p w14:paraId="6FDBEB6E" w14:textId="77777777" w:rsidR="004571EA" w:rsidRDefault="00FC1BC7">
      <w:pPr>
        <w:pStyle w:val="Heading1"/>
        <w:spacing w:before="280" w:after="140"/>
      </w:pPr>
      <w:r>
        <w:rPr>
          <w:rFonts w:ascii="Calibri" w:eastAsia="Calibri" w:hAnsi="Calibri" w:cs="Calibri"/>
          <w:b/>
          <w:bCs/>
          <w:color w:val="000000"/>
          <w:sz w:val="26"/>
          <w:szCs w:val="26"/>
        </w:rPr>
        <w:t>Dataset Description</w:t>
      </w:r>
    </w:p>
    <w:p w14:paraId="62E3C13C" w14:textId="77777777" w:rsidR="004571EA" w:rsidRDefault="00FC1BC7">
      <w:pPr>
        <w:spacing w:after="160" w:line="276" w:lineRule="auto"/>
      </w:pPr>
      <w:r>
        <w:rPr>
          <w:rFonts w:ascii="Calibri" w:eastAsia="Calibri" w:hAnsi="Calibri" w:cs="Calibri"/>
          <w:sz w:val="22"/>
          <w:szCs w:val="22"/>
        </w:rPr>
        <w:t>The dataset used in this analysis is the Bank Marketing dataset, containing 11,162 customer records across 17 columns. Each row represents one customer contacted during the campaign, with fields covering demographic information, financial profile, and campaign contact history. A summary of the columns is provided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571EA" w14:paraId="5C995727" w14:textId="77777777">
        <w:tblPrEx>
          <w:tblCellMar>
            <w:top w:w="0" w:type="dxa"/>
            <w:bottom w:w="0" w:type="dxa"/>
          </w:tblCellMar>
        </w:tblPrEx>
        <w:tc>
          <w:tcPr>
            <w:tcW w:w="4513" w:type="dxa"/>
            <w:shd w:val="clear" w:color="auto" w:fill="E7E6E6"/>
          </w:tcPr>
          <w:p w14:paraId="567918C0" w14:textId="77777777" w:rsidR="004571EA" w:rsidRDefault="00FC1BC7">
            <w:r>
              <w:rPr>
                <w:rFonts w:ascii="Calibri" w:eastAsia="Calibri" w:hAnsi="Calibri" w:cs="Calibri"/>
                <w:b/>
                <w:bCs/>
              </w:rPr>
              <w:t>Column</w:t>
            </w:r>
          </w:p>
        </w:tc>
        <w:tc>
          <w:tcPr>
            <w:tcW w:w="4513" w:type="dxa"/>
            <w:shd w:val="clear" w:color="auto" w:fill="E7E6E6"/>
          </w:tcPr>
          <w:p w14:paraId="7EB7648C" w14:textId="77777777" w:rsidR="004571EA" w:rsidRDefault="00FC1BC7">
            <w:r>
              <w:rPr>
                <w:rFonts w:ascii="Calibri" w:eastAsia="Calibri" w:hAnsi="Calibri" w:cs="Calibri"/>
                <w:b/>
                <w:bCs/>
              </w:rPr>
              <w:t>Description</w:t>
            </w:r>
          </w:p>
        </w:tc>
      </w:tr>
      <w:tr w:rsidR="004571EA" w14:paraId="279886B5" w14:textId="77777777">
        <w:tblPrEx>
          <w:tblCellMar>
            <w:top w:w="0" w:type="dxa"/>
            <w:bottom w:w="0" w:type="dxa"/>
          </w:tblCellMar>
        </w:tblPrEx>
        <w:tc>
          <w:tcPr>
            <w:tcW w:w="4513" w:type="dxa"/>
          </w:tcPr>
          <w:p w14:paraId="01B15C99" w14:textId="77777777" w:rsidR="004571EA" w:rsidRDefault="00FC1BC7">
            <w:r>
              <w:rPr>
                <w:rFonts w:ascii="Calibri" w:eastAsia="Calibri" w:hAnsi="Calibri" w:cs="Calibri"/>
              </w:rPr>
              <w:t>age</w:t>
            </w:r>
          </w:p>
        </w:tc>
        <w:tc>
          <w:tcPr>
            <w:tcW w:w="4513" w:type="dxa"/>
          </w:tcPr>
          <w:p w14:paraId="0C39FC81" w14:textId="77777777" w:rsidR="004571EA" w:rsidRDefault="00FC1BC7">
            <w:r>
              <w:rPr>
                <w:rFonts w:ascii="Calibri" w:eastAsia="Calibri" w:hAnsi="Calibri" w:cs="Calibri"/>
              </w:rPr>
              <w:t>Customer's age</w:t>
            </w:r>
          </w:p>
        </w:tc>
      </w:tr>
      <w:tr w:rsidR="004571EA" w14:paraId="00289F95" w14:textId="77777777">
        <w:tblPrEx>
          <w:tblCellMar>
            <w:top w:w="0" w:type="dxa"/>
            <w:bottom w:w="0" w:type="dxa"/>
          </w:tblCellMar>
        </w:tblPrEx>
        <w:tc>
          <w:tcPr>
            <w:tcW w:w="4513" w:type="dxa"/>
          </w:tcPr>
          <w:p w14:paraId="21748DCF" w14:textId="77777777" w:rsidR="004571EA" w:rsidRDefault="00FC1BC7">
            <w:r>
              <w:rPr>
                <w:rFonts w:ascii="Calibri" w:eastAsia="Calibri" w:hAnsi="Calibri" w:cs="Calibri"/>
              </w:rPr>
              <w:t>job</w:t>
            </w:r>
          </w:p>
        </w:tc>
        <w:tc>
          <w:tcPr>
            <w:tcW w:w="4513" w:type="dxa"/>
          </w:tcPr>
          <w:p w14:paraId="0F711468" w14:textId="77777777" w:rsidR="004571EA" w:rsidRDefault="00FC1BC7">
            <w:r>
              <w:rPr>
                <w:rFonts w:ascii="Calibri" w:eastAsia="Calibri" w:hAnsi="Calibri" w:cs="Calibri"/>
              </w:rPr>
              <w:t>Type of employment</w:t>
            </w:r>
          </w:p>
        </w:tc>
      </w:tr>
      <w:tr w:rsidR="004571EA" w14:paraId="711C35D9" w14:textId="77777777">
        <w:tblPrEx>
          <w:tblCellMar>
            <w:top w:w="0" w:type="dxa"/>
            <w:bottom w:w="0" w:type="dxa"/>
          </w:tblCellMar>
        </w:tblPrEx>
        <w:tc>
          <w:tcPr>
            <w:tcW w:w="4513" w:type="dxa"/>
          </w:tcPr>
          <w:p w14:paraId="317EBF08" w14:textId="77777777" w:rsidR="004571EA" w:rsidRDefault="00FC1BC7">
            <w:r>
              <w:rPr>
                <w:rFonts w:ascii="Calibri" w:eastAsia="Calibri" w:hAnsi="Calibri" w:cs="Calibri"/>
              </w:rPr>
              <w:t>marital</w:t>
            </w:r>
          </w:p>
        </w:tc>
        <w:tc>
          <w:tcPr>
            <w:tcW w:w="4513" w:type="dxa"/>
          </w:tcPr>
          <w:p w14:paraId="667351F6" w14:textId="77777777" w:rsidR="004571EA" w:rsidRDefault="00FC1BC7">
            <w:r>
              <w:rPr>
                <w:rFonts w:ascii="Calibri" w:eastAsia="Calibri" w:hAnsi="Calibri" w:cs="Calibri"/>
              </w:rPr>
              <w:t>Marital status</w:t>
            </w:r>
          </w:p>
        </w:tc>
      </w:tr>
      <w:tr w:rsidR="004571EA" w14:paraId="5B895555" w14:textId="77777777">
        <w:tblPrEx>
          <w:tblCellMar>
            <w:top w:w="0" w:type="dxa"/>
            <w:bottom w:w="0" w:type="dxa"/>
          </w:tblCellMar>
        </w:tblPrEx>
        <w:tc>
          <w:tcPr>
            <w:tcW w:w="4513" w:type="dxa"/>
          </w:tcPr>
          <w:p w14:paraId="624AC881" w14:textId="77777777" w:rsidR="004571EA" w:rsidRDefault="00FC1BC7">
            <w:r>
              <w:rPr>
                <w:rFonts w:ascii="Calibri" w:eastAsia="Calibri" w:hAnsi="Calibri" w:cs="Calibri"/>
              </w:rPr>
              <w:t>education</w:t>
            </w:r>
          </w:p>
        </w:tc>
        <w:tc>
          <w:tcPr>
            <w:tcW w:w="4513" w:type="dxa"/>
          </w:tcPr>
          <w:p w14:paraId="69FAF4AC" w14:textId="77777777" w:rsidR="004571EA" w:rsidRDefault="00FC1BC7">
            <w:r>
              <w:rPr>
                <w:rFonts w:ascii="Calibri" w:eastAsia="Calibri" w:hAnsi="Calibri" w:cs="Calibri"/>
              </w:rPr>
              <w:t>Education level</w:t>
            </w:r>
          </w:p>
        </w:tc>
      </w:tr>
      <w:tr w:rsidR="004571EA" w14:paraId="7E50873F" w14:textId="77777777">
        <w:tblPrEx>
          <w:tblCellMar>
            <w:top w:w="0" w:type="dxa"/>
            <w:bottom w:w="0" w:type="dxa"/>
          </w:tblCellMar>
        </w:tblPrEx>
        <w:tc>
          <w:tcPr>
            <w:tcW w:w="4513" w:type="dxa"/>
          </w:tcPr>
          <w:p w14:paraId="3E9B7878" w14:textId="77777777" w:rsidR="004571EA" w:rsidRDefault="00FC1BC7">
            <w:r>
              <w:rPr>
                <w:rFonts w:ascii="Calibri" w:eastAsia="Calibri" w:hAnsi="Calibri" w:cs="Calibri"/>
              </w:rPr>
              <w:t>default</w:t>
            </w:r>
          </w:p>
        </w:tc>
        <w:tc>
          <w:tcPr>
            <w:tcW w:w="4513" w:type="dxa"/>
          </w:tcPr>
          <w:p w14:paraId="6D695E38" w14:textId="77777777" w:rsidR="004571EA" w:rsidRDefault="00FC1BC7">
            <w:r>
              <w:rPr>
                <w:rFonts w:ascii="Calibri" w:eastAsia="Calibri" w:hAnsi="Calibri" w:cs="Calibri"/>
              </w:rPr>
              <w:t>Whether the customer has credit in default</w:t>
            </w:r>
          </w:p>
        </w:tc>
      </w:tr>
      <w:tr w:rsidR="004571EA" w14:paraId="588CD13F" w14:textId="77777777">
        <w:tblPrEx>
          <w:tblCellMar>
            <w:top w:w="0" w:type="dxa"/>
            <w:bottom w:w="0" w:type="dxa"/>
          </w:tblCellMar>
        </w:tblPrEx>
        <w:tc>
          <w:tcPr>
            <w:tcW w:w="4513" w:type="dxa"/>
          </w:tcPr>
          <w:p w14:paraId="7261744B" w14:textId="77777777" w:rsidR="004571EA" w:rsidRDefault="00FC1BC7">
            <w:r>
              <w:rPr>
                <w:rFonts w:ascii="Calibri" w:eastAsia="Calibri" w:hAnsi="Calibri" w:cs="Calibri"/>
              </w:rPr>
              <w:t>balance</w:t>
            </w:r>
          </w:p>
        </w:tc>
        <w:tc>
          <w:tcPr>
            <w:tcW w:w="4513" w:type="dxa"/>
          </w:tcPr>
          <w:p w14:paraId="1FB75D8E" w14:textId="77777777" w:rsidR="004571EA" w:rsidRDefault="00FC1BC7">
            <w:r>
              <w:rPr>
                <w:rFonts w:ascii="Calibri" w:eastAsia="Calibri" w:hAnsi="Calibri" w:cs="Calibri"/>
              </w:rPr>
              <w:t>Average yearly account balance (EUR)</w:t>
            </w:r>
          </w:p>
        </w:tc>
      </w:tr>
      <w:tr w:rsidR="004571EA" w14:paraId="27C0B39A" w14:textId="77777777">
        <w:tblPrEx>
          <w:tblCellMar>
            <w:top w:w="0" w:type="dxa"/>
            <w:bottom w:w="0" w:type="dxa"/>
          </w:tblCellMar>
        </w:tblPrEx>
        <w:tc>
          <w:tcPr>
            <w:tcW w:w="4513" w:type="dxa"/>
          </w:tcPr>
          <w:p w14:paraId="2D4454B9" w14:textId="77777777" w:rsidR="004571EA" w:rsidRDefault="00FC1BC7">
            <w:r>
              <w:rPr>
                <w:rFonts w:ascii="Calibri" w:eastAsia="Calibri" w:hAnsi="Calibri" w:cs="Calibri"/>
              </w:rPr>
              <w:t>housing</w:t>
            </w:r>
          </w:p>
        </w:tc>
        <w:tc>
          <w:tcPr>
            <w:tcW w:w="4513" w:type="dxa"/>
          </w:tcPr>
          <w:p w14:paraId="31731A32" w14:textId="77777777" w:rsidR="004571EA" w:rsidRDefault="00FC1BC7">
            <w:r>
              <w:rPr>
                <w:rFonts w:ascii="Calibri" w:eastAsia="Calibri" w:hAnsi="Calibri" w:cs="Calibri"/>
              </w:rPr>
              <w:t>Whether the customer has a housing loan</w:t>
            </w:r>
          </w:p>
        </w:tc>
      </w:tr>
      <w:tr w:rsidR="004571EA" w14:paraId="6B7348FD" w14:textId="77777777">
        <w:tblPrEx>
          <w:tblCellMar>
            <w:top w:w="0" w:type="dxa"/>
            <w:bottom w:w="0" w:type="dxa"/>
          </w:tblCellMar>
        </w:tblPrEx>
        <w:tc>
          <w:tcPr>
            <w:tcW w:w="4513" w:type="dxa"/>
          </w:tcPr>
          <w:p w14:paraId="26B6E0B5" w14:textId="77777777" w:rsidR="004571EA" w:rsidRDefault="00FC1BC7">
            <w:r>
              <w:rPr>
                <w:rFonts w:ascii="Calibri" w:eastAsia="Calibri" w:hAnsi="Calibri" w:cs="Calibri"/>
              </w:rPr>
              <w:t>loan</w:t>
            </w:r>
          </w:p>
        </w:tc>
        <w:tc>
          <w:tcPr>
            <w:tcW w:w="4513" w:type="dxa"/>
          </w:tcPr>
          <w:p w14:paraId="50D7375A" w14:textId="77777777" w:rsidR="004571EA" w:rsidRDefault="00FC1BC7">
            <w:r>
              <w:rPr>
                <w:rFonts w:ascii="Calibri" w:eastAsia="Calibri" w:hAnsi="Calibri" w:cs="Calibri"/>
              </w:rPr>
              <w:t>Whether the customer has a personal loan</w:t>
            </w:r>
          </w:p>
        </w:tc>
      </w:tr>
      <w:tr w:rsidR="004571EA" w14:paraId="2F102429" w14:textId="77777777">
        <w:tblPrEx>
          <w:tblCellMar>
            <w:top w:w="0" w:type="dxa"/>
            <w:bottom w:w="0" w:type="dxa"/>
          </w:tblCellMar>
        </w:tblPrEx>
        <w:tc>
          <w:tcPr>
            <w:tcW w:w="4513" w:type="dxa"/>
          </w:tcPr>
          <w:p w14:paraId="40C4152F" w14:textId="77777777" w:rsidR="004571EA" w:rsidRDefault="00FC1BC7">
            <w:r>
              <w:rPr>
                <w:rFonts w:ascii="Calibri" w:eastAsia="Calibri" w:hAnsi="Calibri" w:cs="Calibri"/>
              </w:rPr>
              <w:t>contact</w:t>
            </w:r>
          </w:p>
        </w:tc>
        <w:tc>
          <w:tcPr>
            <w:tcW w:w="4513" w:type="dxa"/>
          </w:tcPr>
          <w:p w14:paraId="3D6D8EE8" w14:textId="77777777" w:rsidR="004571EA" w:rsidRDefault="00FC1BC7">
            <w:r>
              <w:rPr>
                <w:rFonts w:ascii="Calibri" w:eastAsia="Calibri" w:hAnsi="Calibri" w:cs="Calibri"/>
              </w:rPr>
              <w:t>Contact communication type</w:t>
            </w:r>
          </w:p>
        </w:tc>
      </w:tr>
      <w:tr w:rsidR="004571EA" w14:paraId="1544BD05" w14:textId="77777777">
        <w:tblPrEx>
          <w:tblCellMar>
            <w:top w:w="0" w:type="dxa"/>
            <w:bottom w:w="0" w:type="dxa"/>
          </w:tblCellMar>
        </w:tblPrEx>
        <w:tc>
          <w:tcPr>
            <w:tcW w:w="4513" w:type="dxa"/>
          </w:tcPr>
          <w:p w14:paraId="1948167C" w14:textId="77777777" w:rsidR="004571EA" w:rsidRDefault="00FC1BC7">
            <w:r>
              <w:rPr>
                <w:rFonts w:ascii="Calibri" w:eastAsia="Calibri" w:hAnsi="Calibri" w:cs="Calibri"/>
              </w:rPr>
              <w:t>day / month</w:t>
            </w:r>
          </w:p>
        </w:tc>
        <w:tc>
          <w:tcPr>
            <w:tcW w:w="4513" w:type="dxa"/>
          </w:tcPr>
          <w:p w14:paraId="7D934180" w14:textId="77777777" w:rsidR="004571EA" w:rsidRDefault="00FC1BC7">
            <w:r>
              <w:rPr>
                <w:rFonts w:ascii="Calibri" w:eastAsia="Calibri" w:hAnsi="Calibri" w:cs="Calibri"/>
              </w:rPr>
              <w:t>Date of last contact during this campaign</w:t>
            </w:r>
          </w:p>
        </w:tc>
      </w:tr>
      <w:tr w:rsidR="004571EA" w14:paraId="3CDED844" w14:textId="77777777">
        <w:tblPrEx>
          <w:tblCellMar>
            <w:top w:w="0" w:type="dxa"/>
            <w:bottom w:w="0" w:type="dxa"/>
          </w:tblCellMar>
        </w:tblPrEx>
        <w:tc>
          <w:tcPr>
            <w:tcW w:w="4513" w:type="dxa"/>
          </w:tcPr>
          <w:p w14:paraId="0914237D" w14:textId="77777777" w:rsidR="004571EA" w:rsidRDefault="00FC1BC7">
            <w:r>
              <w:rPr>
                <w:rFonts w:ascii="Calibri" w:eastAsia="Calibri" w:hAnsi="Calibri" w:cs="Calibri"/>
              </w:rPr>
              <w:t>duration</w:t>
            </w:r>
          </w:p>
        </w:tc>
        <w:tc>
          <w:tcPr>
            <w:tcW w:w="4513" w:type="dxa"/>
          </w:tcPr>
          <w:p w14:paraId="64A22E80" w14:textId="77777777" w:rsidR="004571EA" w:rsidRDefault="00FC1BC7">
            <w:r>
              <w:rPr>
                <w:rFonts w:ascii="Calibri" w:eastAsia="Calibri" w:hAnsi="Calibri" w:cs="Calibri"/>
              </w:rPr>
              <w:t>Duration of last contact, in seconds</w:t>
            </w:r>
          </w:p>
        </w:tc>
      </w:tr>
      <w:tr w:rsidR="004571EA" w14:paraId="76145174" w14:textId="77777777">
        <w:tblPrEx>
          <w:tblCellMar>
            <w:top w:w="0" w:type="dxa"/>
            <w:bottom w:w="0" w:type="dxa"/>
          </w:tblCellMar>
        </w:tblPrEx>
        <w:tc>
          <w:tcPr>
            <w:tcW w:w="4513" w:type="dxa"/>
          </w:tcPr>
          <w:p w14:paraId="4C1B7488" w14:textId="77777777" w:rsidR="004571EA" w:rsidRDefault="00FC1BC7">
            <w:r>
              <w:rPr>
                <w:rFonts w:ascii="Calibri" w:eastAsia="Calibri" w:hAnsi="Calibri" w:cs="Calibri"/>
              </w:rPr>
              <w:t>campaign</w:t>
            </w:r>
          </w:p>
        </w:tc>
        <w:tc>
          <w:tcPr>
            <w:tcW w:w="4513" w:type="dxa"/>
          </w:tcPr>
          <w:p w14:paraId="5452585A" w14:textId="77777777" w:rsidR="004571EA" w:rsidRDefault="00FC1BC7">
            <w:r>
              <w:rPr>
                <w:rFonts w:ascii="Calibri" w:eastAsia="Calibri" w:hAnsi="Calibri" w:cs="Calibri"/>
              </w:rPr>
              <w:t>Number of contacts made during this campaign</w:t>
            </w:r>
          </w:p>
        </w:tc>
      </w:tr>
      <w:tr w:rsidR="004571EA" w14:paraId="297BE40E" w14:textId="77777777">
        <w:tblPrEx>
          <w:tblCellMar>
            <w:top w:w="0" w:type="dxa"/>
            <w:bottom w:w="0" w:type="dxa"/>
          </w:tblCellMar>
        </w:tblPrEx>
        <w:tc>
          <w:tcPr>
            <w:tcW w:w="4513" w:type="dxa"/>
          </w:tcPr>
          <w:p w14:paraId="0485CA67" w14:textId="77777777" w:rsidR="004571EA" w:rsidRDefault="00FC1BC7">
            <w:r>
              <w:rPr>
                <w:rFonts w:ascii="Calibri" w:eastAsia="Calibri" w:hAnsi="Calibri" w:cs="Calibri"/>
              </w:rPr>
              <w:lastRenderedPageBreak/>
              <w:t>pdays</w:t>
            </w:r>
          </w:p>
        </w:tc>
        <w:tc>
          <w:tcPr>
            <w:tcW w:w="4513" w:type="dxa"/>
          </w:tcPr>
          <w:p w14:paraId="1BB27D41" w14:textId="77777777" w:rsidR="004571EA" w:rsidRDefault="00FC1BC7">
            <w:r>
              <w:rPr>
                <w:rFonts w:ascii="Calibri" w:eastAsia="Calibri" w:hAnsi="Calibri" w:cs="Calibri"/>
              </w:rPr>
              <w:t>Days since last contact from a previous campaign</w:t>
            </w:r>
          </w:p>
        </w:tc>
      </w:tr>
      <w:tr w:rsidR="004571EA" w14:paraId="73952104" w14:textId="77777777">
        <w:tblPrEx>
          <w:tblCellMar>
            <w:top w:w="0" w:type="dxa"/>
            <w:bottom w:w="0" w:type="dxa"/>
          </w:tblCellMar>
        </w:tblPrEx>
        <w:tc>
          <w:tcPr>
            <w:tcW w:w="4513" w:type="dxa"/>
          </w:tcPr>
          <w:p w14:paraId="10E8C4D5" w14:textId="77777777" w:rsidR="004571EA" w:rsidRDefault="00FC1BC7">
            <w:r>
              <w:rPr>
                <w:rFonts w:ascii="Calibri" w:eastAsia="Calibri" w:hAnsi="Calibri" w:cs="Calibri"/>
              </w:rPr>
              <w:t>previous</w:t>
            </w:r>
          </w:p>
        </w:tc>
        <w:tc>
          <w:tcPr>
            <w:tcW w:w="4513" w:type="dxa"/>
          </w:tcPr>
          <w:p w14:paraId="4CD3C764" w14:textId="77777777" w:rsidR="004571EA" w:rsidRDefault="00FC1BC7">
            <w:r>
              <w:rPr>
                <w:rFonts w:ascii="Calibri" w:eastAsia="Calibri" w:hAnsi="Calibri" w:cs="Calibri"/>
              </w:rPr>
              <w:t>Number of contacts before this campaign</w:t>
            </w:r>
          </w:p>
        </w:tc>
      </w:tr>
      <w:tr w:rsidR="004571EA" w14:paraId="6DD8D908" w14:textId="77777777">
        <w:tblPrEx>
          <w:tblCellMar>
            <w:top w:w="0" w:type="dxa"/>
            <w:bottom w:w="0" w:type="dxa"/>
          </w:tblCellMar>
        </w:tblPrEx>
        <w:tc>
          <w:tcPr>
            <w:tcW w:w="4513" w:type="dxa"/>
          </w:tcPr>
          <w:p w14:paraId="3B20808D" w14:textId="77777777" w:rsidR="004571EA" w:rsidRDefault="00FC1BC7">
            <w:r>
              <w:rPr>
                <w:rFonts w:ascii="Calibri" w:eastAsia="Calibri" w:hAnsi="Calibri" w:cs="Calibri"/>
              </w:rPr>
              <w:t>poutcome</w:t>
            </w:r>
          </w:p>
        </w:tc>
        <w:tc>
          <w:tcPr>
            <w:tcW w:w="4513" w:type="dxa"/>
          </w:tcPr>
          <w:p w14:paraId="68F082DA" w14:textId="77777777" w:rsidR="004571EA" w:rsidRDefault="00FC1BC7">
            <w:r>
              <w:rPr>
                <w:rFonts w:ascii="Calibri" w:eastAsia="Calibri" w:hAnsi="Calibri" w:cs="Calibri"/>
              </w:rPr>
              <w:t>Outcome of the previous marketing campaign</w:t>
            </w:r>
          </w:p>
        </w:tc>
      </w:tr>
      <w:tr w:rsidR="004571EA" w14:paraId="29869502" w14:textId="77777777">
        <w:tblPrEx>
          <w:tblCellMar>
            <w:top w:w="0" w:type="dxa"/>
            <w:bottom w:w="0" w:type="dxa"/>
          </w:tblCellMar>
        </w:tblPrEx>
        <w:tc>
          <w:tcPr>
            <w:tcW w:w="4513" w:type="dxa"/>
          </w:tcPr>
          <w:p w14:paraId="330B0111" w14:textId="77777777" w:rsidR="004571EA" w:rsidRDefault="00FC1BC7">
            <w:r>
              <w:rPr>
                <w:rFonts w:ascii="Calibri" w:eastAsia="Calibri" w:hAnsi="Calibri" w:cs="Calibri"/>
              </w:rPr>
              <w:t>deposit</w:t>
            </w:r>
          </w:p>
        </w:tc>
        <w:tc>
          <w:tcPr>
            <w:tcW w:w="4513" w:type="dxa"/>
          </w:tcPr>
          <w:p w14:paraId="4834B813" w14:textId="77777777" w:rsidR="004571EA" w:rsidRDefault="00FC1BC7">
            <w:r>
              <w:rPr>
                <w:rFonts w:ascii="Calibri" w:eastAsia="Calibri" w:hAnsi="Calibri" w:cs="Calibri"/>
              </w:rPr>
              <w:t>Target variable — did the customer subscribe? (yes/no)</w:t>
            </w:r>
          </w:p>
        </w:tc>
      </w:tr>
    </w:tbl>
    <w:p w14:paraId="2B0F3AFB" w14:textId="77777777" w:rsidR="004571EA" w:rsidRDefault="004571EA">
      <w:pPr>
        <w:spacing w:before="160"/>
      </w:pPr>
    </w:p>
    <w:p w14:paraId="02566D14" w14:textId="77777777" w:rsidR="004571EA" w:rsidRDefault="00FC1BC7">
      <w:pPr>
        <w:spacing w:after="160" w:line="276" w:lineRule="auto"/>
      </w:pPr>
      <w:r>
        <w:rPr>
          <w:rFonts w:ascii="Calibri" w:eastAsia="Calibri" w:hAnsi="Calibri" w:cs="Calibri"/>
          <w:sz w:val="22"/>
          <w:szCs w:val="22"/>
        </w:rPr>
        <w:t>The target variable for this analysis is deposit, which indicates whether a customer subscribed to a term deposit as a result of this campaign. Of the 11,162 customers in the dataset, 47.4% subscribed (deposit = yes) and 52.6% did not, giving a reasonably balanced dataset for comparison across customer segments.</w:t>
      </w:r>
    </w:p>
    <w:p w14:paraId="48A34D17" w14:textId="77777777" w:rsidR="004571EA" w:rsidRDefault="00FC1BC7">
      <w:pPr>
        <w:pStyle w:val="Heading1"/>
        <w:spacing w:before="280" w:after="140"/>
      </w:pPr>
      <w:r>
        <w:rPr>
          <w:rFonts w:ascii="Calibri" w:eastAsia="Calibri" w:hAnsi="Calibri" w:cs="Calibri"/>
          <w:b/>
          <w:bCs/>
          <w:color w:val="000000"/>
          <w:sz w:val="26"/>
          <w:szCs w:val="26"/>
        </w:rPr>
        <w:t>Data Analysis Process</w:t>
      </w:r>
    </w:p>
    <w:p w14:paraId="3BD1475F" w14:textId="77777777" w:rsidR="004571EA" w:rsidRDefault="00FC1BC7">
      <w:pPr>
        <w:spacing w:after="160" w:line="276" w:lineRule="auto"/>
      </w:pPr>
      <w:r>
        <w:rPr>
          <w:rFonts w:ascii="Calibri" w:eastAsia="Calibri" w:hAnsi="Calibri" w:cs="Calibri"/>
          <w:sz w:val="22"/>
          <w:szCs w:val="22"/>
        </w:rPr>
        <w:t xml:space="preserve">The dataset was imported into MySQL Workbench for data cleaning and exploratory analysis. This involved reviewing the dataset structure, checking for missing or 'unknown' values in categorical columns such as job, education, contact, and poutcome, and generating summary statistics for key numeric fields including age, balance, duration, campaign, pdays, and previous. Distribution queries were then run to understand the composition of the customer base by age group, job, and education level.</w:t>
      </w:r>
    </w:p>
    <w:p w14:paraId="66ABD416" w14:textId="77777777" w:rsidR="004571EA" w:rsidRDefault="00FC1BC7">
      <w:pPr>
        <w:spacing w:after="160" w:line="276" w:lineRule="auto"/>
      </w:pPr>
      <w:r>
        <w:rPr>
          <w:rFonts w:ascii="Calibri" w:eastAsia="Calibri" w:hAnsi="Calibri" w:cs="Calibri"/>
          <w:sz w:val="22"/>
          <w:szCs w:val="22"/>
        </w:rPr>
        <w:t xml:space="preserve">Following the exploratory phase, a series of key driver queries were written to compare the conversion rate (percentage of customers who subscribed) across each major variable, including age group, job, education, housing and personal loan status, previous campaign outcome, contact method, month of contact, and number of contacts made. These queries formed the core evidence base for identifying which factors most strongly influence subscription behaviour.</w:t>
      </w:r>
    </w:p>
    <w:p w14:paraId="68F44241" w14:textId="77777777" w:rsidR="004571EA" w:rsidRDefault="00FC1BC7">
      <w:pPr>
        <w:spacing w:after="160" w:line="276" w:lineRule="auto"/>
      </w:pPr>
      <w:r>
        <w:rPr>
          <w:rFonts w:ascii="Calibri" w:eastAsia="Calibri" w:hAnsi="Calibri" w:cs="Calibri"/>
          <w:sz w:val="22"/>
          <w:szCs w:val="22"/>
        </w:rPr>
        <w:t>The cleaned dataset was then connected to Power BI Desktop, where an interactive dashboard was built to visualize these findings. The dashboard includes KPI cards summarizing overall performance, bar charts comparing conversion rate across customer segments, a matrix-based heatmap comparing job and education level against conversion rate, and further pages covering financial profile, contact strategy, and previous campaign impact.</w:t>
      </w:r>
    </w:p>
    <w:p w14:paraId="7D9EB7E3" w14:textId="77777777" w:rsidR="004571EA" w:rsidRDefault="00FC1BC7">
      <w:pPr>
        <w:pStyle w:val="Heading1"/>
        <w:spacing w:before="280" w:after="140"/>
      </w:pPr>
      <w:r>
        <w:rPr>
          <w:rFonts w:ascii="Calibri" w:eastAsia="Calibri" w:hAnsi="Calibri" w:cs="Calibri"/>
          <w:b/>
          <w:bCs/>
          <w:color w:val="000000"/>
          <w:sz w:val="26"/>
          <w:szCs w:val="26"/>
        </w:rPr>
        <w:t>Key Findings (Key Drivers)</w:t>
      </w:r>
    </w:p>
    <w:p w14:paraId="4D017E78" w14:textId="77777777" w:rsidR="004571EA" w:rsidRDefault="00FC1BC7">
      <w:pPr>
        <w:spacing w:after="160" w:line="276" w:lineRule="auto"/>
      </w:pPr>
      <w:r>
        <w:rPr>
          <w:rFonts w:ascii="Calibri" w:eastAsia="Calibri" w:hAnsi="Calibri" w:cs="Calibri"/>
          <w:sz w:val="22"/>
          <w:szCs w:val="22"/>
        </w:rPr>
        <w:t>The following factors showed the clearest relationship with term deposit subscription, ranked by strength of impact:</w:t>
      </w:r>
    </w:p>
    <w:p w14:paraId="4D5D96F0" w14:textId="77777777" w:rsidR="004571EA" w:rsidRDefault="00FC1BC7">
      <w:pPr>
        <w:pStyle w:val="ListParagraph"/>
        <w:numPr>
          <w:ilvl w:val="0"/>
          <w:numId w:val="2"/>
        </w:numPr>
        <w:spacing w:after="120" w:line="276" w:lineRule="auto"/>
      </w:pPr>
      <w:r>
        <w:rPr>
          <w:rFonts w:ascii="Calibri" w:eastAsia="Calibri" w:hAnsi="Calibri" w:cs="Calibri"/>
          <w:b/>
          <w:bCs/>
          <w:sz w:val="22"/>
          <w:szCs w:val="22"/>
        </w:rPr>
        <w:t>Previous campaign outcome (poutcome):</w:t>
      </w:r>
      <w:r>
        <w:rPr>
          <w:rFonts w:ascii="Calibri" w:eastAsia="Calibri" w:hAnsi="Calibri" w:cs="Calibri"/>
          <w:sz w:val="22"/>
          <w:szCs w:val="22"/>
        </w:rPr>
        <w:t xml:space="preserve"> Previous campaign outcome — customers with a successful previous outcome converted at 91.32%, compared to 50.33% for a previous failure — nearly double the overall subscription rate of 47.4%. This segment made up only 9.6% of all customers contacted, suggesting the bank is under-utilizing its highest-converting audience.</w:t>
      </w:r>
    </w:p>
    <w:p w14:paraId="1A744AC2" w14:textId="77777777" w:rsidR="004571EA" w:rsidRDefault="00FC1BC7">
      <w:pPr>
        <w:pStyle w:val="ListParagraph"/>
        <w:numPr>
          <w:ilvl w:val="0"/>
          <w:numId w:val="2"/>
        </w:numPr>
        <w:spacing w:after="120" w:line="276" w:lineRule="auto"/>
      </w:pPr>
      <w:r>
        <w:rPr>
          <w:rFonts w:ascii="Calibri" w:eastAsia="Calibri" w:hAnsi="Calibri" w:cs="Calibri"/>
          <w:b/>
          <w:bCs/>
          <w:sz w:val="22"/>
          <w:szCs w:val="22"/>
        </w:rPr>
        <w:t>Job type:</w:t>
      </w:r>
      <w:r>
        <w:rPr>
          <w:rFonts w:ascii="Calibri" w:eastAsia="Calibri" w:hAnsi="Calibri" w:cs="Calibri"/>
          <w:sz w:val="22"/>
          <w:szCs w:val="22"/>
        </w:rPr>
        <w:t xml:space="preserve"> conversion rate varies widely by profession, from 74.72% for students and 66.32% for retirees down to 36.42% for blue-collar workers and 37.5% for entrepreneurs — a roughly 2x gap. Blue-collar workers and technicians, the two largest job segments (33% of all contacts combined), both converted below the 47.4% overall average.</w:t>
      </w:r>
    </w:p>
    <w:p w14:paraId="7A64B895" w14:textId="77777777" w:rsidR="004571EA" w:rsidRDefault="00FC1BC7">
      <w:pPr>
        <w:pStyle w:val="ListParagraph"/>
        <w:numPr>
          <w:ilvl w:val="0"/>
          <w:numId w:val="2"/>
        </w:numPr>
        <w:spacing w:after="120" w:line="276" w:lineRule="auto"/>
      </w:pPr>
      <w:r>
        <w:rPr>
          <w:rFonts w:ascii="Calibri" w:eastAsia="Calibri" w:hAnsi="Calibri" w:cs="Calibri"/>
          <w:b/>
          <w:bCs/>
          <w:sz w:val="22"/>
          <w:szCs w:val="22"/>
        </w:rPr>
        <w:t>Age:</w:t>
      </w:r>
      <w:r>
        <w:rPr>
          <w:rFonts w:ascii="Calibri" w:eastAsia="Calibri" w:hAnsi="Calibri" w:cs="Calibri"/>
          <w:sz w:val="22"/>
          <w:szCs w:val="22"/>
        </w:rPr>
        <w:t xml:space="preserve"> customers aged 60 and above and those aged 18 to 30 convert at a noticeably higher rate than customers aged 31 to 60.</w:t>
      </w:r>
    </w:p>
    <w:p w14:paraId="050A309B" w14:textId="77777777" w:rsidR="004571EA" w:rsidRDefault="00FC1BC7">
      <w:pPr>
        <w:pStyle w:val="ListParagraph"/>
        <w:numPr>
          <w:ilvl w:val="0"/>
          <w:numId w:val="2"/>
        </w:numPr>
        <w:spacing w:after="120" w:line="276" w:lineRule="auto"/>
      </w:pPr>
      <w:r>
        <w:rPr>
          <w:rFonts w:ascii="Calibri" w:eastAsia="Calibri" w:hAnsi="Calibri" w:cs="Calibri"/>
          <w:b/>
          <w:bCs/>
          <w:sz w:val="22"/>
          <w:szCs w:val="22"/>
        </w:rPr>
        <w:lastRenderedPageBreak/>
        <w:t>Education level:</w:t>
      </w:r>
      <w:r>
        <w:rPr>
          <w:rFonts w:ascii="Calibri" w:eastAsia="Calibri" w:hAnsi="Calibri" w:cs="Calibri"/>
          <w:sz w:val="22"/>
          <w:szCs w:val="22"/>
        </w:rPr>
        <w:t xml:space="preserve"> customers with tertiary education consistently convert at a higher rate than those with primary education, across most job categories.</w:t>
      </w:r>
    </w:p>
    <w:p w14:paraId="72F7632D" w14:textId="77777777" w:rsidR="004571EA" w:rsidRDefault="00FC1BC7">
      <w:pPr>
        <w:pStyle w:val="ListParagraph"/>
        <w:numPr>
          <w:ilvl w:val="0"/>
          <w:numId w:val="2"/>
        </w:numPr>
        <w:spacing w:after="120" w:line="276" w:lineRule="auto"/>
      </w:pPr>
      <w:r>
        <w:rPr>
          <w:rFonts w:ascii="Calibri" w:eastAsia="Calibri" w:hAnsi="Calibri" w:cs="Calibri"/>
          <w:b/>
          <w:bCs/>
          <w:sz w:val="22"/>
          <w:szCs w:val="22"/>
        </w:rPr>
        <w:t>Loan status:</w:t>
      </w:r>
      <w:r>
        <w:rPr>
          <w:rFonts w:ascii="Calibri" w:eastAsia="Calibri" w:hAnsi="Calibri" w:cs="Calibri"/>
          <w:sz w:val="22"/>
          <w:szCs w:val="22"/>
        </w:rPr>
        <w:t xml:space="preserve"> customers without a housing or personal loan convert at roughly double the rate of customers who hold one.</w:t>
      </w:r>
    </w:p>
    <w:p w14:paraId="17A4B062" w14:textId="77777777" w:rsidR="004571EA" w:rsidRDefault="00FC1BC7">
      <w:pPr>
        <w:pStyle w:val="ListParagraph"/>
        <w:numPr>
          <w:ilvl w:val="0"/>
          <w:numId w:val="2"/>
        </w:numPr>
        <w:spacing w:after="120" w:line="276" w:lineRule="auto"/>
      </w:pPr>
      <w:r>
        <w:rPr>
          <w:rFonts w:ascii="Calibri" w:eastAsia="Calibri" w:hAnsi="Calibri" w:cs="Calibri"/>
          <w:b/>
          <w:bCs/>
          <w:sz w:val="22"/>
          <w:szCs w:val="22"/>
        </w:rPr>
        <w:t>Contact method:</w:t>
      </w:r>
      <w:r>
        <w:rPr>
          <w:rFonts w:ascii="Calibri" w:eastAsia="Calibri" w:hAnsi="Calibri" w:cs="Calibri"/>
          <w:sz w:val="22"/>
          <w:szCs w:val="22"/>
        </w:rPr>
        <w:t xml:space="preserve"> cellular contact produces a higher conversion rate than telephone or unknown contact methods.</w:t>
      </w:r>
    </w:p>
    <w:p w14:paraId="240F5CF8" w14:textId="77777777" w:rsidR="004571EA" w:rsidRDefault="00FC1BC7">
      <w:pPr>
        <w:pStyle w:val="ListParagraph"/>
        <w:numPr>
          <w:ilvl w:val="0"/>
          <w:numId w:val="2"/>
        </w:numPr>
        <w:spacing w:after="120" w:line="276" w:lineRule="auto"/>
      </w:pPr>
      <w:r>
        <w:rPr>
          <w:rFonts w:ascii="Calibri" w:eastAsia="Calibri" w:hAnsi="Calibri" w:cs="Calibri"/>
          <w:b/>
          <w:bCs/>
          <w:sz w:val="22"/>
          <w:szCs w:val="22"/>
        </w:rPr>
        <w:t>Number of contacts (campaign):</w:t>
      </w:r>
      <w:r>
        <w:rPr>
          <w:rFonts w:ascii="Calibri" w:eastAsia="Calibri" w:hAnsi="Calibri" w:cs="Calibri"/>
          <w:sz w:val="22"/>
          <w:szCs w:val="22"/>
        </w:rPr>
        <w:t xml:space="preserve"> conversion rate declines sharply after the first few contact attempts with a customer, indicating diminishing returns.</w:t>
      </w:r>
    </w:p>
    <w:p w14:paraId="7C6E66DD" w14:textId="77777777" w:rsidR="004571EA" w:rsidRDefault="00FC1BC7">
      <w:pPr>
        <w:pStyle w:val="Heading1"/>
        <w:spacing w:before="280" w:after="140"/>
      </w:pPr>
      <w:r>
        <w:rPr>
          <w:rFonts w:ascii="Calibri" w:eastAsia="Calibri" w:hAnsi="Calibri" w:cs="Calibri"/>
          <w:b/>
          <w:bCs/>
          <w:color w:val="000000"/>
          <w:sz w:val="26"/>
          <w:szCs w:val="26"/>
        </w:rPr>
        <w:t>Business Insights</w:t>
      </w:r>
    </w:p>
    <w:p w14:paraId="326D2525" w14:textId="77777777" w:rsidR="004571EA" w:rsidRDefault="00FC1BC7">
      <w:pPr>
        <w:pStyle w:val="ListParagraph"/>
        <w:numPr>
          <w:ilvl w:val="0"/>
          <w:numId w:val="3"/>
        </w:numPr>
        <w:spacing w:after="100" w:line="276" w:lineRule="auto"/>
      </w:pPr>
      <w:r>
        <w:rPr>
          <w:rFonts w:ascii="Calibri" w:eastAsia="Calibri" w:hAnsi="Calibri" w:cs="Calibri"/>
          <w:b/>
          <w:bCs/>
          <w:sz w:val="22"/>
          <w:szCs w:val="22"/>
        </w:rPr>
        <w:t>Past subscribers are a warm lead —</w:t>
      </w:r>
      <w:r>
        <w:rPr>
          <w:rFonts w:ascii="Calibri" w:eastAsia="Calibri" w:hAnsi="Calibri" w:cs="Calibri"/>
          <w:sz w:val="22"/>
          <w:szCs w:val="22"/>
        </w:rPr>
        <w:t xml:space="preserve"> converting at 91.32% versus a 47.4% average, yet representing under 10% of total contacts — a significant untapped opportunity.</w:t>
      </w:r>
    </w:p>
    <w:p w14:paraId="2036D5D5" w14:textId="77777777" w:rsidR="004571EA" w:rsidRDefault="00FC1BC7">
      <w:pPr>
        <w:pStyle w:val="ListParagraph"/>
        <w:numPr>
          <w:ilvl w:val="0"/>
          <w:numId w:val="3"/>
        </w:numPr>
        <w:spacing w:after="100" w:line="276" w:lineRule="auto"/>
      </w:pPr>
      <w:r>
        <w:rPr>
          <w:rFonts w:ascii="Calibri" w:eastAsia="Calibri" w:hAnsi="Calibri" w:cs="Calibri"/>
          <w:b/>
          <w:bCs/>
          <w:sz w:val="22"/>
          <w:szCs w:val="22"/>
        </w:rPr>
        <w:t>Profession matters —</w:t>
      </w:r>
      <w:r>
        <w:rPr>
          <w:rFonts w:ascii="Calibri" w:eastAsia="Calibri" w:hAnsi="Calibri" w:cs="Calibri"/>
          <w:sz w:val="22"/>
          <w:szCs w:val="22"/>
        </w:rPr>
        <w:t xml:space="preserve"> students convert at 74.72% and retirees at 66.32%, roughly double the rate of blue-collar workers (36.42%) and entrepreneurs (37.5%).</w:t>
      </w:r>
    </w:p>
    <w:p w14:paraId="72B61A9A" w14:textId="77777777" w:rsidR="004571EA" w:rsidRDefault="00FC1BC7">
      <w:pPr>
        <w:pStyle w:val="ListParagraph"/>
        <w:numPr>
          <w:ilvl w:val="0"/>
          <w:numId w:val="3"/>
        </w:numPr>
        <w:spacing w:after="100" w:line="276" w:lineRule="auto"/>
      </w:pPr>
      <w:r>
        <w:rPr>
          <w:rFonts w:ascii="Calibri" w:eastAsia="Calibri" w:hAnsi="Calibri" w:cs="Calibri"/>
          <w:b/>
          <w:bCs/>
          <w:sz w:val="22"/>
          <w:szCs w:val="22"/>
        </w:rPr>
        <w:t>It's life stage, not just age —</w:t>
      </w:r>
      <w:r>
        <w:rPr>
          <w:rFonts w:ascii="Calibri" w:eastAsia="Calibri" w:hAnsi="Calibri" w:cs="Calibri"/>
          <w:sz w:val="22"/>
          <w:szCs w:val="22"/>
        </w:rPr>
        <w:t xml:space="preserve"> young and old customers convert better; middle-aged customers, likely managing more financial commitments, convert less.</w:t>
      </w:r>
    </w:p>
    <w:p w14:paraId="4F27780F" w14:textId="77777777" w:rsidR="004571EA" w:rsidRDefault="00FC1BC7">
      <w:pPr>
        <w:pStyle w:val="ListParagraph"/>
        <w:numPr>
          <w:ilvl w:val="0"/>
          <w:numId w:val="3"/>
        </w:numPr>
        <w:spacing w:after="100" w:line="276" w:lineRule="auto"/>
      </w:pPr>
      <w:r>
        <w:rPr>
          <w:rFonts w:ascii="Calibri" w:eastAsia="Calibri" w:hAnsi="Calibri" w:cs="Calibri"/>
          <w:b/>
          <w:bCs/>
          <w:sz w:val="22"/>
          <w:szCs w:val="22"/>
        </w:rPr>
        <w:t>Education correlates with conversion —</w:t>
      </w:r>
      <w:r>
        <w:rPr>
          <w:rFonts w:ascii="Calibri" w:eastAsia="Calibri" w:hAnsi="Calibri" w:cs="Calibri"/>
          <w:sz w:val="22"/>
          <w:szCs w:val="22"/>
        </w:rPr>
        <w:t xml:space="preserve"> higher education levels are associated with higher conversion, possibly reflecting financial literacy.</w:t>
      </w:r>
    </w:p>
    <w:p w14:paraId="3835C9DE" w14:textId="77777777" w:rsidR="004571EA" w:rsidRDefault="00FC1BC7">
      <w:pPr>
        <w:pStyle w:val="ListParagraph"/>
        <w:numPr>
          <w:ilvl w:val="0"/>
          <w:numId w:val="3"/>
        </w:numPr>
        <w:spacing w:after="100" w:line="276" w:lineRule="auto"/>
      </w:pPr>
      <w:r>
        <w:rPr>
          <w:rFonts w:ascii="Calibri" w:eastAsia="Calibri" w:hAnsi="Calibri" w:cs="Calibri"/>
          <w:b/>
          <w:bCs/>
          <w:sz w:val="22"/>
          <w:szCs w:val="22"/>
        </w:rPr>
        <w:t>Existing debt lowers conversion —</w:t>
      </w:r>
      <w:r>
        <w:rPr>
          <w:rFonts w:ascii="Calibri" w:eastAsia="Calibri" w:hAnsi="Calibri" w:cs="Calibri"/>
          <w:sz w:val="22"/>
          <w:szCs w:val="22"/>
        </w:rPr>
        <w:t xml:space="preserve"> customers with loans convert at roughly half the rate of those without.</w:t>
      </w:r>
    </w:p>
    <w:p w14:paraId="028E0B24" w14:textId="77777777" w:rsidR="004571EA" w:rsidRDefault="00FC1BC7">
      <w:pPr>
        <w:pStyle w:val="ListParagraph"/>
        <w:numPr>
          <w:ilvl w:val="0"/>
          <w:numId w:val="3"/>
        </w:numPr>
        <w:spacing w:after="100" w:line="276" w:lineRule="auto"/>
      </w:pPr>
      <w:r>
        <w:rPr>
          <w:rFonts w:ascii="Calibri" w:eastAsia="Calibri" w:hAnsi="Calibri" w:cs="Calibri"/>
          <w:b/>
          <w:bCs/>
          <w:sz w:val="22"/>
          <w:szCs w:val="22"/>
        </w:rPr>
        <w:t>Channel and frequency matter —</w:t>
      </w:r>
      <w:r>
        <w:rPr>
          <w:rFonts w:ascii="Calibri" w:eastAsia="Calibri" w:hAnsi="Calibri" w:cs="Calibri"/>
          <w:sz w:val="22"/>
          <w:szCs w:val="22"/>
        </w:rPr>
        <w:t xml:space="preserve"> cellular contact outperforms telephone, and conversion drops sharply after a few contact attempts.</w:t>
      </w:r>
    </w:p>
    <w:p w14:paraId="1E4E0E1E" w14:textId="77777777" w:rsidR="004571EA" w:rsidRDefault="00FC1BC7">
      <w:pPr>
        <w:pStyle w:val="ListParagraph"/>
        <w:numPr>
          <w:ilvl w:val="0"/>
          <w:numId w:val="3"/>
        </w:numPr>
        <w:spacing w:after="100" w:line="276" w:lineRule="auto"/>
      </w:pPr>
      <w:r>
        <w:rPr>
          <w:rFonts w:ascii="Calibri" w:eastAsia="Calibri" w:hAnsi="Calibri" w:cs="Calibri"/>
          <w:b/>
          <w:bCs/>
          <w:sz w:val="22"/>
          <w:szCs w:val="22"/>
        </w:rPr>
        <w:t>Conversion peaks in December and March —</w:t>
      </w:r>
      <w:r>
        <w:rPr>
          <w:rFonts w:ascii="Calibri" w:eastAsia="Calibri" w:hAnsi="Calibri" w:cs="Calibri"/>
          <w:sz w:val="22"/>
          <w:szCs w:val="22"/>
        </w:rPr>
        <w:t xml:space="preserve"> likely tied to year-end bonus and savings behaviour, though lower contact volume in these months may also be inflating the rate.</w:t>
      </w:r>
    </w:p>
    <w:p w14:paraId="3380448E" w14:textId="77777777" w:rsidR="004571EA" w:rsidRDefault="00FC1BC7">
      <w:pPr>
        <w:pStyle w:val="Heading1"/>
        <w:spacing w:before="280" w:after="140"/>
      </w:pPr>
      <w:r>
        <w:rPr>
          <w:rFonts w:ascii="Calibri" w:eastAsia="Calibri" w:hAnsi="Calibri" w:cs="Calibri"/>
          <w:b/>
          <w:bCs/>
          <w:color w:val="000000"/>
          <w:sz w:val="26"/>
          <w:szCs w:val="26"/>
        </w:rPr>
        <w:t>Recommendations</w:t>
      </w:r>
    </w:p>
    <w:p w14:paraId="5AD2DA25" w14:textId="77777777" w:rsidR="004571EA" w:rsidRDefault="00FC1BC7" w:rsidP="00F457AB">
      <w:pPr>
        <w:pStyle w:val="ListParagraph"/>
        <w:numPr>
          <w:ilvl w:val="0"/>
          <w:numId w:val="4"/>
        </w:numPr>
        <w:spacing w:after="120" w:line="276" w:lineRule="auto"/>
      </w:pPr>
      <w:r>
        <w:rPr>
          <w:rFonts w:ascii="Calibri" w:eastAsia="Calibri" w:hAnsi="Calibri" w:cs="Calibri"/>
          <w:b/>
          <w:bCs/>
          <w:sz w:val="22"/>
          <w:szCs w:val="22"/>
        </w:rPr>
        <w:t>Re-engage past subscribers.</w:t>
      </w:r>
      <w:r>
        <w:rPr>
          <w:rFonts w:ascii="Calibri" w:eastAsia="Calibri" w:hAnsi="Calibri" w:cs="Calibri"/>
          <w:sz w:val="22"/>
          <w:szCs w:val="22"/>
        </w:rPr>
        <w:t xml:space="preserve"> This segment converts at 91.32% but makes up just 9.6% of contacts; prioritizing renewed outreach to past subscribers offers a lower-effort, higher-yield opportunity than cold outreach.</w:t>
      </w:r>
    </w:p>
    <w:p w14:paraId="6607A01F" w14:textId="77777777" w:rsidR="004571EA" w:rsidRDefault="00FC1BC7" w:rsidP="00F457AB">
      <w:pPr>
        <w:pStyle w:val="ListParagraph"/>
        <w:numPr>
          <w:ilvl w:val="0"/>
          <w:numId w:val="4"/>
        </w:numPr>
        <w:spacing w:after="120" w:line="276" w:lineRule="auto"/>
      </w:pPr>
      <w:r>
        <w:rPr>
          <w:rFonts w:ascii="Calibri" w:eastAsia="Calibri" w:hAnsi="Calibri" w:cs="Calibri"/>
          <w:b/>
          <w:bCs/>
          <w:sz w:val="22"/>
          <w:szCs w:val="22"/>
        </w:rPr>
        <w:t>Investigate the profession-based conversion gap further.</w:t>
      </w:r>
      <w:r>
        <w:rPr>
          <w:rFonts w:ascii="Calibri" w:eastAsia="Calibri" w:hAnsi="Calibri" w:cs="Calibri"/>
          <w:sz w:val="22"/>
          <w:szCs w:val="22"/>
        </w:rPr>
        <w:t xml:space="preserve"> The wide gap in conversion between professions (e.g., students and retirees vs. blue-collar workers and entrepreneurs) warrants further research, such as customer surveys, before designing profession-specific campaigns.</w:t>
      </w:r>
    </w:p>
    <w:p w14:paraId="4D96A791" w14:textId="77777777" w:rsidR="004571EA" w:rsidRDefault="00FC1BC7" w:rsidP="00F457AB">
      <w:pPr>
        <w:pStyle w:val="ListParagraph"/>
        <w:numPr>
          <w:ilvl w:val="0"/>
          <w:numId w:val="4"/>
        </w:numPr>
        <w:spacing w:after="120" w:line="276" w:lineRule="auto"/>
      </w:pPr>
      <w:r>
        <w:rPr>
          <w:rFonts w:ascii="Calibri" w:eastAsia="Calibri" w:hAnsi="Calibri" w:cs="Calibri"/>
          <w:b/>
          <w:bCs/>
          <w:sz w:val="22"/>
          <w:szCs w:val="22"/>
        </w:rPr>
        <w:t>Re-think engagement strategy for middle-aged customers.</w:t>
      </w:r>
      <w:r>
        <w:rPr>
          <w:rFonts w:ascii="Calibri" w:eastAsia="Calibri" w:hAnsi="Calibri" w:cs="Calibri"/>
          <w:sz w:val="22"/>
          <w:szCs w:val="22"/>
        </w:rPr>
        <w:t xml:space="preserve"> Since this segment converts least, the bank should test messaging or offers better suited to their likely financial priorities, such as more flexible terms or lower minimum commitments.</w:t>
      </w:r>
    </w:p>
    <w:p w14:paraId="27A74B81" w14:textId="77777777" w:rsidR="004571EA" w:rsidRDefault="00FC1BC7" w:rsidP="00F457AB">
      <w:pPr>
        <w:pStyle w:val="ListParagraph"/>
        <w:numPr>
          <w:ilvl w:val="0"/>
          <w:numId w:val="4"/>
        </w:numPr>
        <w:spacing w:after="120" w:line="276" w:lineRule="auto"/>
      </w:pPr>
      <w:r>
        <w:rPr>
          <w:rFonts w:ascii="Calibri" w:eastAsia="Calibri" w:hAnsi="Calibri" w:cs="Calibri"/>
          <w:b/>
          <w:bCs/>
          <w:sz w:val="22"/>
          <w:szCs w:val="22"/>
        </w:rPr>
        <w:t>Simplify and strengthen the sales pitch.</w:t>
      </w:r>
      <w:r>
        <w:rPr>
          <w:rFonts w:ascii="Calibri" w:eastAsia="Calibri" w:hAnsi="Calibri" w:cs="Calibri"/>
          <w:sz w:val="22"/>
          <w:szCs w:val="22"/>
        </w:rPr>
        <w:t xml:space="preserve"> Given the link between education and conversion, staff should spend more time clearly explaining the purpose and benefits of a term deposit, particularly for customers who may be less familiar with the product.</w:t>
      </w:r>
    </w:p>
    <w:p w14:paraId="580867EF" w14:textId="77777777" w:rsidR="004571EA" w:rsidRDefault="00FC1BC7" w:rsidP="00F457AB">
      <w:pPr>
        <w:pStyle w:val="ListParagraph"/>
        <w:numPr>
          <w:ilvl w:val="0"/>
          <w:numId w:val="4"/>
        </w:numPr>
        <w:spacing w:after="120" w:line="276" w:lineRule="auto"/>
      </w:pPr>
      <w:r>
        <w:rPr>
          <w:rFonts w:ascii="Calibri" w:eastAsia="Calibri" w:hAnsi="Calibri" w:cs="Calibri"/>
          <w:b/>
          <w:bCs/>
          <w:sz w:val="22"/>
          <w:szCs w:val="22"/>
        </w:rPr>
        <w:lastRenderedPageBreak/>
        <w:t>Explore the link between existing debt and conversion.</w:t>
      </w:r>
      <w:r>
        <w:rPr>
          <w:rFonts w:ascii="Calibri" w:eastAsia="Calibri" w:hAnsi="Calibri" w:cs="Calibri"/>
          <w:sz w:val="22"/>
          <w:szCs w:val="22"/>
        </w:rPr>
        <w:t xml:space="preserve"> The lower conversion rate among customers with existing loans should be investigated further, potentially exploring whether a modified offer would appeal more to this group.</w:t>
      </w:r>
    </w:p>
    <w:p w14:paraId="55880E05" w14:textId="77777777" w:rsidR="004571EA" w:rsidRDefault="00FC1BC7" w:rsidP="00F457AB">
      <w:pPr>
        <w:pStyle w:val="ListParagraph"/>
        <w:numPr>
          <w:ilvl w:val="0"/>
          <w:numId w:val="4"/>
        </w:numPr>
        <w:spacing w:after="120" w:line="276" w:lineRule="auto"/>
      </w:pPr>
      <w:r>
        <w:rPr>
          <w:rFonts w:ascii="Calibri" w:eastAsia="Calibri" w:hAnsi="Calibri" w:cs="Calibri"/>
          <w:b/>
          <w:bCs/>
          <w:sz w:val="22"/>
          <w:szCs w:val="22"/>
        </w:rPr>
        <w:t>Prioritize cellular contact.</w:t>
      </w:r>
      <w:r>
        <w:rPr>
          <w:rFonts w:ascii="Calibri" w:eastAsia="Calibri" w:hAnsi="Calibri" w:cs="Calibri"/>
          <w:sz w:val="22"/>
          <w:szCs w:val="22"/>
        </w:rPr>
        <w:t xml:space="preserve"> As the highest-converting contact channel, cellular contact should be the primary channel going forward, with telephone retained only as a secondary option.</w:t>
      </w:r>
    </w:p>
    <w:p w14:paraId="5F8EB99F" w14:textId="77777777" w:rsidR="004571EA" w:rsidRDefault="00FC1BC7" w:rsidP="00F457AB">
      <w:pPr>
        <w:pStyle w:val="ListParagraph"/>
        <w:numPr>
          <w:ilvl w:val="0"/>
          <w:numId w:val="4"/>
        </w:numPr>
        <w:spacing w:after="120" w:line="276" w:lineRule="auto"/>
      </w:pPr>
      <w:r>
        <w:rPr>
          <w:rFonts w:ascii="Calibri" w:eastAsia="Calibri" w:hAnsi="Calibri" w:cs="Calibri"/>
          <w:b/>
          <w:bCs/>
          <w:sz w:val="22"/>
          <w:szCs w:val="22"/>
        </w:rPr>
        <w:t>Cap contact attempts per customer.</w:t>
      </w:r>
      <w:r>
        <w:rPr>
          <w:rFonts w:ascii="Calibri" w:eastAsia="Calibri" w:hAnsi="Calibri" w:cs="Calibri"/>
          <w:sz w:val="22"/>
          <w:szCs w:val="22"/>
        </w:rPr>
        <w:t xml:space="preserve"> Given the sharp drop in conversion after the first few contacts, outreach to a given customer should be capped at two to three attempts, redirecting effort toward new or higher-potential leads.</w:t>
      </w:r>
    </w:p>
    <w:p w14:paraId="0173E082" w14:textId="77777777" w:rsidR="004571EA" w:rsidRDefault="00FC1BC7" w:rsidP="00F457AB">
      <w:pPr>
        <w:pStyle w:val="ListParagraph"/>
        <w:numPr>
          <w:ilvl w:val="0"/>
          <w:numId w:val="4"/>
        </w:numPr>
        <w:spacing w:after="120" w:line="276" w:lineRule="auto"/>
      </w:pPr>
      <w:r>
        <w:rPr>
          <w:rFonts w:ascii="Calibri" w:eastAsia="Calibri" w:hAnsi="Calibri" w:cs="Calibri"/>
          <w:b/>
          <w:bCs/>
          <w:sz w:val="22"/>
          <w:szCs w:val="22"/>
        </w:rPr>
        <w:t>Time major campaign pushes around December and March.</w:t>
      </w:r>
      <w:r>
        <w:rPr>
          <w:rFonts w:ascii="Calibri" w:eastAsia="Calibri" w:hAnsi="Calibri" w:cs="Calibri"/>
          <w:sz w:val="22"/>
          <w:szCs w:val="22"/>
        </w:rPr>
        <w:t xml:space="preserve"> Concentrate outreach and staffing around December and March, the two months with the highest observed conversion rates, while first confirming the pattern holds after accounting for contact volume.</w:t>
      </w:r>
    </w:p>
    <w:p w14:paraId="5578833D" w14:textId="77777777" w:rsidR="004571EA" w:rsidRDefault="00FC1BC7">
      <w:pPr>
        <w:pStyle w:val="Heading1"/>
        <w:spacing w:before="280" w:after="140"/>
      </w:pPr>
      <w:r>
        <w:rPr>
          <w:rFonts w:ascii="Calibri" w:eastAsia="Calibri" w:hAnsi="Calibri" w:cs="Calibri"/>
          <w:b/>
          <w:bCs/>
          <w:color w:val="000000"/>
          <w:sz w:val="26"/>
          <w:szCs w:val="26"/>
        </w:rPr>
        <w:t>Conclusion</w:t>
      </w:r>
    </w:p>
    <w:p w14:paraId="0B4F94DB" w14:textId="77777777" w:rsidR="004571EA" w:rsidRDefault="00FC1BC7">
      <w:pPr>
        <w:spacing w:after="160" w:line="276" w:lineRule="auto"/>
      </w:pPr>
      <w:r>
        <w:rPr>
          <w:rFonts w:ascii="Calibri" w:eastAsia="Calibri" w:hAnsi="Calibri" w:cs="Calibri"/>
          <w:sz w:val="22"/>
          <w:szCs w:val="22"/>
        </w:rPr>
        <w:t xml:space="preserve">This case study set out to understand why some customers subscribe to a term deposit while others do not, and to translate that understanding into practical recommendations for the bank. The analysis found that prior engagement history, profession, age, education, existing debt, and contact strategy all play a meaningful role in shaping a customer's likelihood to subscribe. While some of these relationships point to clear, actionable next steps, such as re-engaging past subscribers, favouring cellular contact, and limiting repeated outreach, others, such as the exact reasons behind profession and debt-related differences, point to areas requiring further investigation. Taken together, these findings offer the bank a practical, evidence-based foundation for improving the efficiency and effectiveness of future term deposit marketing campaigns.</w:t>
      </w:r>
    </w:p>
    <w:sectPr w:rsidR="004571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51CB2"/>
    <w:multiLevelType w:val="hybridMultilevel"/>
    <w:tmpl w:val="F8E8752E"/>
    <w:lvl w:ilvl="0" w:tplc="DC288884">
      <w:start w:val="1"/>
      <w:numFmt w:val="bullet"/>
      <w:lvlText w:val="●"/>
      <w:lvlJc w:val="left"/>
      <w:pPr>
        <w:ind w:left="720" w:hanging="360"/>
      </w:pPr>
    </w:lvl>
    <w:lvl w:ilvl="1" w:tplc="B11E4DF4">
      <w:start w:val="1"/>
      <w:numFmt w:val="bullet"/>
      <w:lvlText w:val="○"/>
      <w:lvlJc w:val="left"/>
      <w:pPr>
        <w:ind w:left="1440" w:hanging="360"/>
      </w:pPr>
    </w:lvl>
    <w:lvl w:ilvl="2" w:tplc="0F9E94FC">
      <w:start w:val="1"/>
      <w:numFmt w:val="bullet"/>
      <w:lvlText w:val="■"/>
      <w:lvlJc w:val="left"/>
      <w:pPr>
        <w:ind w:left="2160" w:hanging="360"/>
      </w:pPr>
    </w:lvl>
    <w:lvl w:ilvl="3" w:tplc="013E00AA">
      <w:start w:val="1"/>
      <w:numFmt w:val="bullet"/>
      <w:lvlText w:val="●"/>
      <w:lvlJc w:val="left"/>
      <w:pPr>
        <w:ind w:left="2880" w:hanging="360"/>
      </w:pPr>
    </w:lvl>
    <w:lvl w:ilvl="4" w:tplc="D738165E">
      <w:start w:val="1"/>
      <w:numFmt w:val="bullet"/>
      <w:lvlText w:val="○"/>
      <w:lvlJc w:val="left"/>
      <w:pPr>
        <w:ind w:left="3600" w:hanging="360"/>
      </w:pPr>
    </w:lvl>
    <w:lvl w:ilvl="5" w:tplc="7D1C3B24">
      <w:start w:val="1"/>
      <w:numFmt w:val="bullet"/>
      <w:lvlText w:val="■"/>
      <w:lvlJc w:val="left"/>
      <w:pPr>
        <w:ind w:left="4320" w:hanging="360"/>
      </w:pPr>
    </w:lvl>
    <w:lvl w:ilvl="6" w:tplc="30ACB258">
      <w:start w:val="1"/>
      <w:numFmt w:val="bullet"/>
      <w:lvlText w:val="●"/>
      <w:lvlJc w:val="left"/>
      <w:pPr>
        <w:ind w:left="5040" w:hanging="360"/>
      </w:pPr>
    </w:lvl>
    <w:lvl w:ilvl="7" w:tplc="74ECF5BC">
      <w:start w:val="1"/>
      <w:numFmt w:val="bullet"/>
      <w:lvlText w:val="●"/>
      <w:lvlJc w:val="left"/>
      <w:pPr>
        <w:ind w:left="5760" w:hanging="360"/>
      </w:pPr>
    </w:lvl>
    <w:lvl w:ilvl="8" w:tplc="CAB86C5C">
      <w:start w:val="1"/>
      <w:numFmt w:val="bullet"/>
      <w:lvlText w:val="●"/>
      <w:lvlJc w:val="left"/>
      <w:pPr>
        <w:ind w:left="6480" w:hanging="360"/>
      </w:pPr>
    </w:lvl>
  </w:abstractNum>
  <w:abstractNum w:abstractNumId="1" w15:restartNumberingAfterBreak="0">
    <w:nsid w:val="0A366692"/>
    <w:multiLevelType w:val="hybridMultilevel"/>
    <w:tmpl w:val="79146C12"/>
    <w:lvl w:ilvl="0" w:tplc="86DAF1B6">
      <w:start w:val="1"/>
      <w:numFmt w:val="decimal"/>
      <w:lvlText w:val="%1."/>
      <w:lvlJc w:val="left"/>
      <w:pPr>
        <w:ind w:left="504" w:hanging="360"/>
      </w:pPr>
    </w:lvl>
    <w:lvl w:ilvl="1" w:tplc="58C27716">
      <w:numFmt w:val="decimal"/>
      <w:lvlText w:val=""/>
      <w:lvlJc w:val="left"/>
    </w:lvl>
    <w:lvl w:ilvl="2" w:tplc="026428A0">
      <w:numFmt w:val="decimal"/>
      <w:lvlText w:val=""/>
      <w:lvlJc w:val="left"/>
    </w:lvl>
    <w:lvl w:ilvl="3" w:tplc="CFA44CA2">
      <w:numFmt w:val="decimal"/>
      <w:lvlText w:val=""/>
      <w:lvlJc w:val="left"/>
    </w:lvl>
    <w:lvl w:ilvl="4" w:tplc="39A60CEA">
      <w:numFmt w:val="decimal"/>
      <w:lvlText w:val=""/>
      <w:lvlJc w:val="left"/>
    </w:lvl>
    <w:lvl w:ilvl="5" w:tplc="C77435AC">
      <w:numFmt w:val="decimal"/>
      <w:lvlText w:val=""/>
      <w:lvlJc w:val="left"/>
    </w:lvl>
    <w:lvl w:ilvl="6" w:tplc="7B363640">
      <w:numFmt w:val="decimal"/>
      <w:lvlText w:val=""/>
      <w:lvlJc w:val="left"/>
    </w:lvl>
    <w:lvl w:ilvl="7" w:tplc="A8265100">
      <w:numFmt w:val="decimal"/>
      <w:lvlText w:val=""/>
      <w:lvlJc w:val="left"/>
    </w:lvl>
    <w:lvl w:ilvl="8" w:tplc="D1C02D68">
      <w:numFmt w:val="decimal"/>
      <w:lvlText w:val=""/>
      <w:lvlJc w:val="left"/>
    </w:lvl>
  </w:abstractNum>
  <w:abstractNum w:abstractNumId="2" w15:restartNumberingAfterBreak="0">
    <w:nsid w:val="34E91274"/>
    <w:multiLevelType w:val="hybridMultilevel"/>
    <w:tmpl w:val="2D849A5C"/>
    <w:lvl w:ilvl="0" w:tplc="220A4EC6">
      <w:start w:val="1"/>
      <w:numFmt w:val="bullet"/>
      <w:lvlText w:val="•"/>
      <w:lvlJc w:val="left"/>
      <w:pPr>
        <w:ind w:left="504" w:hanging="288"/>
      </w:pPr>
    </w:lvl>
    <w:lvl w:ilvl="1" w:tplc="8F647928">
      <w:numFmt w:val="decimal"/>
      <w:lvlText w:val=""/>
      <w:lvlJc w:val="left"/>
    </w:lvl>
    <w:lvl w:ilvl="2" w:tplc="65109C3E">
      <w:numFmt w:val="decimal"/>
      <w:lvlText w:val=""/>
      <w:lvlJc w:val="left"/>
    </w:lvl>
    <w:lvl w:ilvl="3" w:tplc="7DB4E7B2">
      <w:numFmt w:val="decimal"/>
      <w:lvlText w:val=""/>
      <w:lvlJc w:val="left"/>
    </w:lvl>
    <w:lvl w:ilvl="4" w:tplc="205E0830">
      <w:numFmt w:val="decimal"/>
      <w:lvlText w:val=""/>
      <w:lvlJc w:val="left"/>
    </w:lvl>
    <w:lvl w:ilvl="5" w:tplc="6F0E01AA">
      <w:numFmt w:val="decimal"/>
      <w:lvlText w:val=""/>
      <w:lvlJc w:val="left"/>
    </w:lvl>
    <w:lvl w:ilvl="6" w:tplc="53D0CC02">
      <w:numFmt w:val="decimal"/>
      <w:lvlText w:val=""/>
      <w:lvlJc w:val="left"/>
    </w:lvl>
    <w:lvl w:ilvl="7" w:tplc="10A04E56">
      <w:numFmt w:val="decimal"/>
      <w:lvlText w:val=""/>
      <w:lvlJc w:val="left"/>
    </w:lvl>
    <w:lvl w:ilvl="8" w:tplc="B7DCEAA4">
      <w:numFmt w:val="decimal"/>
      <w:lvlText w:val=""/>
      <w:lvlJc w:val="left"/>
    </w:lvl>
  </w:abstractNum>
  <w:abstractNum w:abstractNumId="3" w15:restartNumberingAfterBreak="0">
    <w:nsid w:val="64E97C29"/>
    <w:multiLevelType w:val="hybridMultilevel"/>
    <w:tmpl w:val="FC58838C"/>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1EA"/>
    <w:rsid w:val="004571EA"/>
    <w:rsid w:val="00F457AB"/>
    <w:rsid w:val="00FC1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824E"/>
  <w15:docId w15:val="{928F028B-84E7-4D65-8D5A-C4055DAE8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patriliciousfabgus@gmail.com</cp:lastModifiedBy>
  <cp:revision>3</cp:revision>
  <dcterms:created xsi:type="dcterms:W3CDTF">2026-07-08T18:52:00Z</dcterms:created>
  <dcterms:modified xsi:type="dcterms:W3CDTF">2026-07-08T20:21:00Z</dcterms:modified>
</cp:coreProperties>
</file>