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Налог на прибыль в 2026 году: ставка, расчёт, декларация】</w:t>
      </w:r>
    </w:p>
    <w:p>
      <w:pPr>
        <w:spacing w:after="60"/>
      </w:pPr>
      <w:r>
        <w:rPr>
          <w:rFonts w:ascii="Consolas" w:cs="Consolas" w:eastAsia="Consolas" w:hAnsi="Consolas"/>
          <w:b w:val="false"/>
          <w:bCs w:val="false"/>
          <w:color w:val="806000"/>
          <w:sz w:val="20"/>
          <w:szCs w:val="20"/>
        </w:rPr>
        <w:t xml:space="preserve">【META DESCRIPTION: Как рассчитать налог на прибыль по ставке 25%: разбор на конкретном примере, какие доходы и расходы учитываются, сроки авансовых платежей и декларации.】</w:t>
      </w:r>
    </w:p>
    <w:p>
      <w:pPr>
        <w:spacing w:after="60"/>
      </w:pPr>
      <w:r>
        <w:rPr>
          <w:rFonts w:ascii="Consolas" w:cs="Consolas" w:eastAsia="Consolas" w:hAnsi="Consolas"/>
          <w:b w:val="false"/>
          <w:bCs w:val="false"/>
          <w:color w:val="806000"/>
          <w:sz w:val="20"/>
          <w:szCs w:val="20"/>
        </w:rPr>
        <w:t xml:space="preserve">【URL: оставить прежний — /news/nalog-na-pribyl-na-paltsakh/】</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Налог на прибыль «на пальцах»: как считать в 2026 году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10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платят организации на общей системе налогообложения с разницы между доходами и расходами. Ставка — 25%: 8% идёт в федеральный бюджет, 17% в бюджет региона.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Главное правило расчёта. Доходы и расходы берутся без НДС. Это первое, на чём ошибаются при прикидке экономики проекта.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платить. Авансовые платежи — до 28-го числа месяца после отчётного периода, налог за год — до 28 марта. Декларация — до 25-го числа, годовая — до 25 марта.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Сколько это в деньгах. На сделке с наценкой 55 ₽ НДС и налог на прибыль вместе забирают 21,19 ₽ — 38,5% наценки. Расчёт ниже.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Содержание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Кому актуальна тема</w:t>
      </w:r>
    </w:p>
    <w:p>
      <w:pPr>
        <w:spacing w:after="60"/>
      </w:pPr>
      <w:r>
        <w:rPr>
          <w:rFonts w:ascii="Times New Roman" w:cs="Times New Roman" w:eastAsia="Times New Roman" w:hAnsi="Times New Roman"/>
          <w:b w:val="false"/>
          <w:bCs w:val="false"/>
          <w:color w:val="000000"/>
          <w:sz w:val="20"/>
          <w:szCs w:val="20"/>
        </w:rPr>
        <w:t xml:space="preserve">• Что такое налог на прибыль и кто его платит</w:t>
      </w:r>
    </w:p>
    <w:p>
      <w:pPr>
        <w:spacing w:after="60"/>
      </w:pPr>
      <w:r>
        <w:rPr>
          <w:rFonts w:ascii="Times New Roman" w:cs="Times New Roman" w:eastAsia="Times New Roman" w:hAnsi="Times New Roman"/>
          <w:b w:val="false"/>
          <w:bCs w:val="false"/>
          <w:color w:val="000000"/>
          <w:sz w:val="20"/>
          <w:szCs w:val="20"/>
        </w:rPr>
        <w:t xml:space="preserve">• Как считается налог</w:t>
      </w:r>
    </w:p>
    <w:p>
      <w:pPr>
        <w:spacing w:after="60"/>
      </w:pPr>
      <w:r>
        <w:rPr>
          <w:rFonts w:ascii="Times New Roman" w:cs="Times New Roman" w:eastAsia="Times New Roman" w:hAnsi="Times New Roman"/>
          <w:b w:val="false"/>
          <w:bCs w:val="false"/>
          <w:color w:val="000000"/>
          <w:sz w:val="20"/>
          <w:szCs w:val="20"/>
        </w:rPr>
        <w:t xml:space="preserve">• Пример с табуретами: считаем на цифрах</w:t>
      </w:r>
    </w:p>
    <w:p>
      <w:pPr>
        <w:spacing w:after="60"/>
      </w:pPr>
      <w:r>
        <w:rPr>
          <w:rFonts w:ascii="Times New Roman" w:cs="Times New Roman" w:eastAsia="Times New Roman" w:hAnsi="Times New Roman"/>
          <w:b w:val="false"/>
          <w:bCs w:val="false"/>
          <w:color w:val="000000"/>
          <w:sz w:val="20"/>
          <w:szCs w:val="20"/>
        </w:rPr>
        <w:t xml:space="preserve">• Что важно помнить при расчёте</w:t>
      </w:r>
    </w:p>
    <w:p>
      <w:pPr>
        <w:spacing w:after="60"/>
      </w:pPr>
      <w:r>
        <w:rPr>
          <w:rFonts w:ascii="Times New Roman" w:cs="Times New Roman" w:eastAsia="Times New Roman" w:hAnsi="Times New Roman"/>
          <w:b w:val="false"/>
          <w:bCs w:val="false"/>
          <w:color w:val="000000"/>
          <w:sz w:val="20"/>
          <w:szCs w:val="20"/>
        </w:rPr>
        <w:t xml:space="preserve">• Какие доходы и расходы учитываются</w:t>
      </w:r>
    </w:p>
    <w:p>
      <w:pPr>
        <w:spacing w:after="60"/>
      </w:pPr>
      <w:r>
        <w:rPr>
          <w:rFonts w:ascii="Times New Roman" w:cs="Times New Roman" w:eastAsia="Times New Roman" w:hAnsi="Times New Roman"/>
          <w:b w:val="false"/>
          <w:bCs w:val="false"/>
          <w:color w:val="000000"/>
          <w:sz w:val="20"/>
          <w:szCs w:val="20"/>
        </w:rPr>
        <w:t xml:space="preserve">• Прямые и косвенные расходы</w:t>
      </w:r>
    </w:p>
    <w:p>
      <w:pPr>
        <w:spacing w:after="60"/>
      </w:pPr>
      <w:r>
        <w:rPr>
          <w:rFonts w:ascii="Times New Roman" w:cs="Times New Roman" w:eastAsia="Times New Roman" w:hAnsi="Times New Roman"/>
          <w:b w:val="false"/>
          <w:bCs w:val="false"/>
          <w:color w:val="000000"/>
          <w:sz w:val="20"/>
          <w:szCs w:val="20"/>
        </w:rPr>
        <w:t xml:space="preserve">• Ставка налога на прибыль в 2026 году</w:t>
      </w:r>
    </w:p>
    <w:p>
      <w:pPr>
        <w:spacing w:after="60"/>
      </w:pPr>
      <w:r>
        <w:rPr>
          <w:rFonts w:ascii="Times New Roman" w:cs="Times New Roman" w:eastAsia="Times New Roman" w:hAnsi="Times New Roman"/>
          <w:b w:val="false"/>
          <w:bCs w:val="false"/>
          <w:color w:val="000000"/>
          <w:sz w:val="20"/>
          <w:szCs w:val="20"/>
        </w:rPr>
        <w:t xml:space="preserve">• Как платить налог и авансовые платежи</w:t>
      </w:r>
    </w:p>
    <w:p>
      <w:pPr>
        <w:spacing w:after="60"/>
      </w:pPr>
      <w:r>
        <w:rPr>
          <w:rFonts w:ascii="Times New Roman" w:cs="Times New Roman" w:eastAsia="Times New Roman" w:hAnsi="Times New Roman"/>
          <w:b w:val="false"/>
          <w:bCs w:val="false"/>
          <w:color w:val="000000"/>
          <w:sz w:val="20"/>
          <w:szCs w:val="20"/>
        </w:rPr>
        <w:t xml:space="preserve">• Декларация по налогу на прибыль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Кому актуальна тема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Эта статья будет актуальна для предпринимателей, которые пока находятся на льготных режимах налогообложения — на УСН, патенте, — но их бизнес активно растёт, а также для тех, кто думает открыть бизнес или новое направление и работать с НДС.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Если вы планируете работать на общем режиме налогообложения, очень важно просчитать экономику вашего проекта и его возможный финансовый результат. Налоги могут занять существенную долю расходов, и их обязательно нужно уметь правильно рассчитывать. Даже если у вас есть грамотный бухгалтер, хорошо, когда вы умеете проверить логику этих расчётов или сделать оперативный расчёт, например на салфетке во время деловой встречи.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налог на прибыль и кто его платит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платят только организации — с разницы между доходами и расходами. Если расходы превышают доходы, то есть получен убыток, налог не уплачивается.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информации: индивидуальные предприниматели на общем режиме налогообложения (да, они тоже могут быть плательщиками НДС) платят вместо налога на прибыль налог на доходы физических лиц — НДФЛ.</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считается налог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равен прибыли, умноженной на ставку налога, то есть в общем случае на 25%. А прибыль — это доходы минус расходы.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Чтобы правильно рассчитать налог на прибыль, нужно правильно рассчитать доходы и правильно рассчитать расходы. Как и для НДС, здесь много нюансов, но главное — вот что.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Самый главный момент: доходы и расходы берутся в расчёт без НДС. Это принципиально важно.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Пример с табуретами: считаем на цифрах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Предположим, мы продали табуреты по рыночной цене 155 ₽, а купили их за 100 ₽. Обе суммы — с НДС по ставке 22%.</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9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Показатель | Расчёт | Результат</w:t>
      </w:r>
    </w:p>
    <w:p>
      <w:pPr>
        <w:spacing w:after="60"/>
      </w:pPr>
      <w:r>
        <w:rPr>
          <w:rFonts w:ascii="Times New Roman" w:cs="Times New Roman" w:eastAsia="Times New Roman" w:hAnsi="Times New Roman"/>
          <w:b w:val="false"/>
          <w:bCs w:val="false"/>
          <w:color w:val="000000"/>
          <w:sz w:val="20"/>
          <w:szCs w:val="20"/>
        </w:rPr>
        <w:t xml:space="preserve">НДС с продажи | 155 ÷ 122 × 22 | 27,95 ₽</w:t>
      </w:r>
    </w:p>
    <w:p>
      <w:pPr>
        <w:spacing w:after="60"/>
      </w:pPr>
      <w:r>
        <w:rPr>
          <w:rFonts w:ascii="Times New Roman" w:cs="Times New Roman" w:eastAsia="Times New Roman" w:hAnsi="Times New Roman"/>
          <w:b w:val="false"/>
          <w:bCs w:val="false"/>
          <w:color w:val="000000"/>
          <w:sz w:val="20"/>
          <w:szCs w:val="20"/>
        </w:rPr>
        <w:t xml:space="preserve">Выручка без НДС | 155 − 27,95 | 127,05 ₽</w:t>
      </w:r>
    </w:p>
    <w:p>
      <w:pPr>
        <w:spacing w:after="60"/>
      </w:pPr>
      <w:r>
        <w:rPr>
          <w:rFonts w:ascii="Times New Roman" w:cs="Times New Roman" w:eastAsia="Times New Roman" w:hAnsi="Times New Roman"/>
          <w:b w:val="false"/>
          <w:bCs w:val="false"/>
          <w:color w:val="000000"/>
          <w:sz w:val="20"/>
          <w:szCs w:val="20"/>
        </w:rPr>
        <w:t xml:space="preserve">НДС с покупки (входящий) | 100 ÷ 122 × 22 | 18,03 ₽</w:t>
      </w:r>
    </w:p>
    <w:p>
      <w:pPr>
        <w:spacing w:after="60"/>
      </w:pPr>
      <w:r>
        <w:rPr>
          <w:rFonts w:ascii="Times New Roman" w:cs="Times New Roman" w:eastAsia="Times New Roman" w:hAnsi="Times New Roman"/>
          <w:b w:val="false"/>
          <w:bCs w:val="false"/>
          <w:color w:val="000000"/>
          <w:sz w:val="20"/>
          <w:szCs w:val="20"/>
        </w:rPr>
        <w:t xml:space="preserve">Расход без НДС | 100 − 18,03 | 81,97 ₽</w:t>
      </w:r>
    </w:p>
    <w:p>
      <w:pPr>
        <w:spacing w:after="60"/>
      </w:pPr>
      <w:r>
        <w:rPr>
          <w:rFonts w:ascii="Times New Roman" w:cs="Times New Roman" w:eastAsia="Times New Roman" w:hAnsi="Times New Roman"/>
          <w:b w:val="false"/>
          <w:bCs w:val="false"/>
          <w:color w:val="000000"/>
          <w:sz w:val="20"/>
          <w:szCs w:val="20"/>
        </w:rPr>
        <w:t xml:space="preserve">НДС к уплате | 27,95 − 18,03 | 9,92 ₽</w:t>
      </w:r>
    </w:p>
    <w:p>
      <w:pPr>
        <w:spacing w:after="60"/>
      </w:pPr>
      <w:r>
        <w:rPr>
          <w:rFonts w:ascii="Times New Roman" w:cs="Times New Roman" w:eastAsia="Times New Roman" w:hAnsi="Times New Roman"/>
          <w:b w:val="false"/>
          <w:bCs w:val="false"/>
          <w:color w:val="000000"/>
          <w:sz w:val="20"/>
          <w:szCs w:val="20"/>
        </w:rPr>
        <w:t xml:space="preserve">Прибыль | 127,05 − 81,97 | 45,08 ₽</w:t>
      </w:r>
    </w:p>
    <w:p>
      <w:pPr>
        <w:spacing w:after="60"/>
      </w:pPr>
      <w:r>
        <w:rPr>
          <w:rFonts w:ascii="Times New Roman" w:cs="Times New Roman" w:eastAsia="Times New Roman" w:hAnsi="Times New Roman"/>
          <w:b w:val="false"/>
          <w:bCs w:val="false"/>
          <w:color w:val="000000"/>
          <w:sz w:val="20"/>
          <w:szCs w:val="20"/>
        </w:rPr>
        <w:t xml:space="preserve">Налог на прибыль | 45,08 × 25% | 11,27 ₽</w:t>
      </w:r>
    </w:p>
    <w:p>
      <w:pPr>
        <w:spacing w:after="60"/>
      </w:pPr>
      <w:r>
        <w:rPr>
          <w:rFonts w:ascii="Times New Roman" w:cs="Times New Roman" w:eastAsia="Times New Roman" w:hAnsi="Times New Roman"/>
          <w:b w:val="false"/>
          <w:bCs w:val="false"/>
          <w:color w:val="000000"/>
          <w:sz w:val="20"/>
          <w:szCs w:val="20"/>
        </w:rPr>
        <w:t xml:space="preserve">Всего налогов по сделке | 9,92 + 11,27 | 21,19 ₽</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Наценка по сделке — 55 ₽. Налоги забирают из неё 21,19 ₽, то есть 38,5%.</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сравнения: та же сделка по ставкам 2024 года, когда НДС был 20%, а налог на прибыль 20%, давала 18,33 ₽ налогов — треть наценки. Две ставки выросли, и с одной сделки нагрузка увеличилась почти на 3 ₽.</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Поэтому принципиально важно уметь делать такие расчёты до начала проекта, а не после.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важно помнить при расчёте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Доходы и расходы — без НДС. Самая частая ошибка в прикидках на салфетке.</w:t>
      </w:r>
    </w:p>
    <w:p>
      <w:pPr>
        <w:spacing w:after="60"/>
      </w:pPr>
      <w:r>
        <w:rPr>
          <w:rFonts w:ascii="Times New Roman" w:cs="Times New Roman" w:eastAsia="Times New Roman" w:hAnsi="Times New Roman"/>
          <w:b w:val="false"/>
          <w:bCs w:val="false"/>
          <w:color w:val="000000"/>
          <w:sz w:val="20"/>
          <w:szCs w:val="20"/>
        </w:rPr>
        <w:t xml:space="preserve">• Налог считается нарастающим итогом с начала года, а не по каждой сделке отдельно. Сделка с убытком уменьшит базу по прибыльной.</w:t>
      </w:r>
    </w:p>
    <w:p>
      <w:pPr>
        <w:spacing w:after="60"/>
      </w:pPr>
      <w:r>
        <w:rPr>
          <w:rFonts w:ascii="Times New Roman" w:cs="Times New Roman" w:eastAsia="Times New Roman" w:hAnsi="Times New Roman"/>
          <w:b w:val="false"/>
          <w:bCs w:val="false"/>
          <w:color w:val="000000"/>
          <w:sz w:val="20"/>
          <w:szCs w:val="20"/>
        </w:rPr>
        <w:t xml:space="preserve">• Убыток — не ошибка. Если расходы превысили доходы, налог не платится, а убыток можно переносить на будущие периоды.</w:t>
      </w:r>
    </w:p>
    <w:p>
      <w:pPr>
        <w:spacing w:after="60"/>
      </w:pPr>
      <w:r>
        <w:rPr>
          <w:rFonts w:ascii="Times New Roman" w:cs="Times New Roman" w:eastAsia="Times New Roman" w:hAnsi="Times New Roman"/>
          <w:b w:val="false"/>
          <w:bCs w:val="false"/>
          <w:color w:val="000000"/>
          <w:sz w:val="20"/>
          <w:szCs w:val="20"/>
        </w:rPr>
        <w:t xml:space="preserve">• Налоговая база возникает по отгрузке, а не по оплате. Подробнее об этом ниже.</w:t>
      </w:r>
    </w:p>
    <w:p>
      <w:pPr>
        <w:spacing w:after="60"/>
      </w:pPr>
      <w:r>
        <w:rPr>
          <w:rFonts w:ascii="Times New Roman" w:cs="Times New Roman" w:eastAsia="Times New Roman" w:hAnsi="Times New Roman"/>
          <w:b w:val="false"/>
          <w:bCs w:val="false"/>
          <w:color w:val="000000"/>
          <w:sz w:val="20"/>
          <w:szCs w:val="20"/>
        </w:rPr>
        <w:t xml:space="preserve">• Расход без документа в расчёт не берётся. Для налога важна не сама трата, а подтверждение, что она была и была нужна бизнесу.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Какие доходы и расходы учитываются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как и НДС, рассчитывается методом начисления, то есть по отгрузке. Налоговая база возникает не в момент оплаты товара или услуги, а в момент отгрузки покупателю — иначе говоря, в момент перехода права собственности на товар.</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Какие доходы учитываются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Доходы считаются не только от реализации товаров, работ и услуг — бывают и внереализационные. Например, полученные проценты по займам, дивиденды или штрафы по контрактам.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Некоторые поступления к доходам не относятся вообще — например, полученные кредиты и займы (имеется в виду их тело, без процентов). Они на налог на прибыль не влияют и не относятся ни к доходам, ни к расходам.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Какие расходы можно учесть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Расходы для целей налогообложения учитываются только тогда, когда они экономически обоснованы и подтверждены документально.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Например, расходы по оплате такси работникам или похода в ресторан директору учесть не то чтобы нельзя, но для этого нужно найти грамотные обоснования, доказать, что это было нужно для бизнеса, и, естественно, подтвердить документально.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Каждая компания должна стремиться максимально собирать и учитывать все расходы для уменьшения налогооблагаемой базы. Но принцип разумности здесь тоже важен: иногда работа по сбору документов и обоснованию расходов на такси, ресторан, бензин обойдётся компании дороже, чем экономия, полученная от уменьшения налога на эти суммы. Так что мы за здравый смысл.</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Некоторые расходы к расходам для целей налогообложения не относятся — например, расходы на благотворительность.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Прямые и косвенные расходы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Расходы от реализации у компании делятся на прямые и косвенные, и для производственных и торговых организаций есть ряд особенностей — в том числе с учётом транспортных расходов. Это может быть важно для оптимизации налога.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Например, расходы на приобретение наших табуретов будут учтены для целей налогообложения только в момент их продажи — а не тогда, когда мы их приобрели и положили на склад, и не тогда, когда покрасили и учли как готовую продукцию.</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Косвенные расходы — например, покупка канцелярии в офис — можно отразить в расходах сразу, потому что они не являются прямыми для конкретных видов продукции.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Транспортные расходы по доставке табуретов до нашего производственного склада являются прямыми и будут признаны только в момент продажи табуретов. А расходы по доставке табуретов до покупателя, если мы возьмём их на себя, являются косвенными по закону и сразу уменьшат налогооблагаемую базу.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Смысл этого деления для собственника: не всякий расход сразу уменьшает налог. Деньги уже потрачены, товар лежит на складе — а в расходы он попадёт только после продажи. Поэтому в налоговом учёте компания может видеть прибыль при том, что денег на счёте нет: они вложены в запасы.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Перечень прямых расходов организация определяет сама в учётной политике. Закон оставляет здесь выбор за компанией, и этот выбор стоит сделать осознанно: от него зависит, когда расходы уменьшат налог.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Ставка налога на прибыль в 2026 году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Общая ставка — 25%. Она распределяется между бюджетами: 8% зачисляется в федеральный бюджет в 2025–2030 годах, 17% — в бюджет субъекта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Ставка может быть пониженной или нулевой для отдельных видов деятельности или в отдельных регионах: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Образовательные и медицинские организации — 0% при соблюдении условий статьи 284.1 НК РФ.</w:t>
      </w:r>
    </w:p>
    <w:p>
      <w:pPr>
        <w:spacing w:after="60"/>
      </w:pPr>
      <w:r>
        <w:rPr>
          <w:rFonts w:ascii="Times New Roman" w:cs="Times New Roman" w:eastAsia="Times New Roman" w:hAnsi="Times New Roman"/>
          <w:b w:val="false"/>
          <w:bCs w:val="false"/>
          <w:color w:val="000000"/>
          <w:sz w:val="20"/>
          <w:szCs w:val="20"/>
        </w:rPr>
        <w:t xml:space="preserve">• Аккредитованные ИТ-организации — 5% в федеральный бюджет и 0% в региональный в 2025–2030 годах.</w:t>
      </w:r>
    </w:p>
    <w:p>
      <w:pPr>
        <w:spacing w:after="60"/>
      </w:pPr>
      <w:r>
        <w:rPr>
          <w:rFonts w:ascii="Times New Roman" w:cs="Times New Roman" w:eastAsia="Times New Roman" w:hAnsi="Times New Roman"/>
          <w:b w:val="false"/>
          <w:bCs w:val="false"/>
          <w:color w:val="000000"/>
          <w:sz w:val="20"/>
          <w:szCs w:val="20"/>
        </w:rPr>
        <w:t xml:space="preserve">• Регионы вправе понижать свою часть ставки для отдельных категорий налогоплательщиков. Условия смотрите в законе своего субъекта.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платить налог и авансовые платежи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уплачивается не одной суммой в конце года, а авансовыми платежами в течение года — ежеквартально или ежемесячно.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Только ежеквартальные платежи вправе платить организация, у которой доходы от реализации за предыдущие четыре квартала не превышали в среднем 15 млн ₽ за каждый квартал. Если порог превышен, компания переходит на ежемесячные авансовые платежи со следующего отчётного периода; уведомлять об этом налоговую не нужно.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Ежемесячные платежи можно выбрать и добровольно — если выручка и расходы по месяцам неравномерны и компания не хочет переплачивать. Это полезный инструмент, хотя и более трудоёмкий для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Сроки уплаты: авансовый платёж — не позднее 28-го числа месяца, следующего за отчётным периодом; ежемесячные платежи — не позднее 28-го числа каждого месяца; налог за год — не позднее 28 марта следующего года. Если 28-е число выпадает на выходной, срок переносится на следующий рабочий день.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Декларация по налогу на прибыль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Декларация — это расчёт: в ней показано, как получились налоговая база и сумма налога. Сдают её все плательщики налога на прибыль, даже если за период получен убыток и платить нечего.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подаётся: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за отчётный период (квартал, полугодие, девять месяцев) — в течение 25 календарных дней со дня его окончания;</w:t>
      </w:r>
    </w:p>
    <w:p>
      <w:pPr>
        <w:spacing w:after="60"/>
      </w:pPr>
      <w:r>
        <w:rPr>
          <w:rFonts w:ascii="Times New Roman" w:cs="Times New Roman" w:eastAsia="Times New Roman" w:hAnsi="Times New Roman"/>
          <w:b w:val="false"/>
          <w:bCs w:val="false"/>
          <w:color w:val="000000"/>
          <w:sz w:val="20"/>
          <w:szCs w:val="20"/>
        </w:rPr>
        <w:t xml:space="preserve">• при уплате авансов по фактической прибыли — не позднее 25-го числа месяца, следующего за отчётным;</w:t>
      </w:r>
    </w:p>
    <w:p>
      <w:pPr>
        <w:spacing w:after="60"/>
      </w:pPr>
      <w:r>
        <w:rPr>
          <w:rFonts w:ascii="Times New Roman" w:cs="Times New Roman" w:eastAsia="Times New Roman" w:hAnsi="Times New Roman"/>
          <w:b w:val="false"/>
          <w:bCs w:val="false"/>
          <w:color w:val="000000"/>
          <w:sz w:val="20"/>
          <w:szCs w:val="20"/>
        </w:rPr>
        <w:t xml:space="preserve">• за год — не позднее 25 марта следующего года.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Простой способ запомнить: декларация — 25-е, деньги — 28-е. Сначала отчитались, потом заплатили.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Отчётные периоды зависят от того, как компания платит авансы: при квартальных платежах это квартал, полугодие и девять месяцев, при расчёте по фактической прибыли — каждый месяц.</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Налог на прибыль: главное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11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проверяем | Что важно знать в 2026 году</w:t>
      </w:r>
    </w:p>
    <w:p>
      <w:pPr>
        <w:spacing w:after="60"/>
      </w:pPr>
      <w:r>
        <w:rPr>
          <w:rFonts w:ascii="Times New Roman" w:cs="Times New Roman" w:eastAsia="Times New Roman" w:hAnsi="Times New Roman"/>
          <w:b w:val="false"/>
          <w:bCs w:val="false"/>
          <w:color w:val="000000"/>
          <w:sz w:val="20"/>
          <w:szCs w:val="20"/>
        </w:rPr>
        <w:t xml:space="preserve">Кто платит | организации на общей системе; ИП на ОСНО платят НДФЛ</w:t>
      </w:r>
    </w:p>
    <w:p>
      <w:pPr>
        <w:spacing w:after="60"/>
      </w:pPr>
      <w:r>
        <w:rPr>
          <w:rFonts w:ascii="Times New Roman" w:cs="Times New Roman" w:eastAsia="Times New Roman" w:hAnsi="Times New Roman"/>
          <w:b w:val="false"/>
          <w:bCs w:val="false"/>
          <w:color w:val="000000"/>
          <w:sz w:val="20"/>
          <w:szCs w:val="20"/>
        </w:rPr>
        <w:t xml:space="preserve">С чего считается | доходы минус расходы, обязательно без НДС</w:t>
      </w:r>
    </w:p>
    <w:p>
      <w:pPr>
        <w:spacing w:after="60"/>
      </w:pPr>
      <w:r>
        <w:rPr>
          <w:rFonts w:ascii="Times New Roman" w:cs="Times New Roman" w:eastAsia="Times New Roman" w:hAnsi="Times New Roman"/>
          <w:b w:val="false"/>
          <w:bCs w:val="false"/>
          <w:color w:val="000000"/>
          <w:sz w:val="20"/>
          <w:szCs w:val="20"/>
        </w:rPr>
        <w:t xml:space="preserve">Ставка | 25%: 8% в федеральный бюджет, 17% в региональный</w:t>
      </w:r>
    </w:p>
    <w:p>
      <w:pPr>
        <w:spacing w:after="60"/>
      </w:pPr>
      <w:r>
        <w:rPr>
          <w:rFonts w:ascii="Times New Roman" w:cs="Times New Roman" w:eastAsia="Times New Roman" w:hAnsi="Times New Roman"/>
          <w:b w:val="false"/>
          <w:bCs w:val="false"/>
          <w:color w:val="000000"/>
          <w:sz w:val="20"/>
          <w:szCs w:val="20"/>
        </w:rPr>
        <w:t xml:space="preserve">Льготные ставки | 0% у образовательных и медицинских организаций; 5% у аккредитованных ИТ-компаний</w:t>
      </w:r>
    </w:p>
    <w:p>
      <w:pPr>
        <w:spacing w:after="60"/>
      </w:pPr>
      <w:r>
        <w:rPr>
          <w:rFonts w:ascii="Times New Roman" w:cs="Times New Roman" w:eastAsia="Times New Roman" w:hAnsi="Times New Roman"/>
          <w:b w:val="false"/>
          <w:bCs w:val="false"/>
          <w:color w:val="000000"/>
          <w:sz w:val="20"/>
          <w:szCs w:val="20"/>
        </w:rPr>
        <w:t xml:space="preserve">Расходы | только обоснованные и подтверждённые документами</w:t>
      </w:r>
    </w:p>
    <w:p>
      <w:pPr>
        <w:spacing w:after="60"/>
      </w:pPr>
      <w:r>
        <w:rPr>
          <w:rFonts w:ascii="Times New Roman" w:cs="Times New Roman" w:eastAsia="Times New Roman" w:hAnsi="Times New Roman"/>
          <w:b w:val="false"/>
          <w:bCs w:val="false"/>
          <w:color w:val="000000"/>
          <w:sz w:val="20"/>
          <w:szCs w:val="20"/>
        </w:rPr>
        <w:t xml:space="preserve">Прямые расходы | попадают в расходы в момент продажи, а не покупки</w:t>
      </w:r>
    </w:p>
    <w:p>
      <w:pPr>
        <w:spacing w:after="60"/>
      </w:pPr>
      <w:r>
        <w:rPr>
          <w:rFonts w:ascii="Times New Roman" w:cs="Times New Roman" w:eastAsia="Times New Roman" w:hAnsi="Times New Roman"/>
          <w:b w:val="false"/>
          <w:bCs w:val="false"/>
          <w:color w:val="000000"/>
          <w:sz w:val="20"/>
          <w:szCs w:val="20"/>
        </w:rPr>
        <w:t xml:space="preserve">Авансы | ежеквартально, если доходы от реализации в среднем не больше 15 млн ₽ за квартал; иначе ежемесячно</w:t>
      </w:r>
    </w:p>
    <w:p>
      <w:pPr>
        <w:spacing w:after="60"/>
      </w:pPr>
      <w:r>
        <w:rPr>
          <w:rFonts w:ascii="Times New Roman" w:cs="Times New Roman" w:eastAsia="Times New Roman" w:hAnsi="Times New Roman"/>
          <w:b w:val="false"/>
          <w:bCs w:val="false"/>
          <w:color w:val="000000"/>
          <w:sz w:val="20"/>
          <w:szCs w:val="20"/>
        </w:rPr>
        <w:t xml:space="preserve">Срок уплаты | 28-е число; налог за год — 28 марта</w:t>
      </w:r>
    </w:p>
    <w:p>
      <w:pPr>
        <w:spacing w:after="60"/>
      </w:pPr>
      <w:r>
        <w:rPr>
          <w:rFonts w:ascii="Times New Roman" w:cs="Times New Roman" w:eastAsia="Times New Roman" w:hAnsi="Times New Roman"/>
          <w:b w:val="false"/>
          <w:bCs w:val="false"/>
          <w:color w:val="000000"/>
          <w:sz w:val="20"/>
          <w:szCs w:val="20"/>
        </w:rPr>
        <w:t xml:space="preserve">Срок декларации | 25 календарных дней после периода; за год — 25 марта</w:t>
      </w:r>
    </w:p>
    <w:p>
      <w:pPr>
        <w:spacing w:after="60"/>
      </w:pPr>
      <w:r>
        <w:rPr>
          <w:rFonts w:ascii="Times New Roman" w:cs="Times New Roman" w:eastAsia="Times New Roman" w:hAnsi="Times New Roman"/>
          <w:b w:val="false"/>
          <w:bCs w:val="false"/>
          <w:color w:val="000000"/>
          <w:sz w:val="20"/>
          <w:szCs w:val="20"/>
        </w:rPr>
        <w:t xml:space="preserve">Убыток | налог не платится, убыток переносится на будущие периоды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НДС — понятно о самом непонятном налоге — та самая статья про НДС, на пример из которой опирается расчёт выше.</w:t>
      </w:r>
    </w:p>
    <w:p>
      <w:pPr>
        <w:spacing w:after="60"/>
      </w:pPr>
      <w:r>
        <w:rPr>
          <w:rFonts w:ascii="Times New Roman" w:cs="Times New Roman" w:eastAsia="Times New Roman" w:hAnsi="Times New Roman"/>
          <w:b w:val="false"/>
          <w:bCs w:val="false"/>
          <w:color w:val="000000"/>
          <w:sz w:val="20"/>
          <w:szCs w:val="20"/>
        </w:rPr>
        <w:t xml:space="preserve">• Налоговая нагрузка — как понять, много вы платите или нормально для своей отрасли.</w:t>
      </w:r>
    </w:p>
    <w:p>
      <w:pPr>
        <w:spacing w:after="60"/>
      </w:pPr>
      <w:r>
        <w:rPr>
          <w:rFonts w:ascii="Times New Roman" w:cs="Times New Roman" w:eastAsia="Times New Roman" w:hAnsi="Times New Roman"/>
          <w:b w:val="false"/>
          <w:bCs w:val="false"/>
          <w:color w:val="000000"/>
          <w:sz w:val="20"/>
          <w:szCs w:val="20"/>
        </w:rPr>
        <w:t xml:space="preserve">• Как выбрать оптимальный налоговый режим — если вы только решаете, переходить ли на общую систему.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Какая ставка налога на прибыль в 2026 году?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25%. Из них 8% зачисляется в федеральный бюджет в 2025–2030 годах, 17% — в бюджет региона.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Нужно ли включать НДС в доходы и расходы при расчёте?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Для налога на прибыль доходы и расходы берутся без НДС. Это главная ошибка в быстрых прикидках.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Платит ли ИП налог на прибыль?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Индивидуальные предприниматели на общей системе платят НДФЛ, хотя плательщиками НДС при этом быть могут.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делать, если получен убыток?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не платится, но декларацию сдать нужно. Убыток переносится на будущие периоды и уменьшает налог в прибыльных годах.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Когда ежемесячные авансовые платежи становятся обязательными?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доходы от реализации за предыдущие четыре квартала превысили в среднем 15 млн ₽ за каждый квартал. Переход происходит со следующего отчётного периода, уведомлять налоговую не нужно.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Почему товар куплен, деньги потрачены, а налог всё равно есть?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Потому что расходы на товар — прямые: они уменьшают базу только в момент продажи. Пока товар на складе, деньги потрачены, а расхода для налога ещё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9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Ставка 25% и её распределение между бюджетами; ставка для ИТ-организаций | п. 1 и п. 1.15 ст. 284 НК РФ</w:t>
      </w:r>
    </w:p>
    <w:p>
      <w:pPr>
        <w:spacing w:after="60"/>
      </w:pPr>
      <w:r>
        <w:rPr>
          <w:rFonts w:ascii="Times New Roman" w:cs="Times New Roman" w:eastAsia="Times New Roman" w:hAnsi="Times New Roman"/>
          <w:b w:val="false"/>
          <w:bCs w:val="false"/>
          <w:color w:val="000000"/>
          <w:sz w:val="20"/>
          <w:szCs w:val="20"/>
        </w:rPr>
        <w:t xml:space="preserve">Нулевая ставка для образовательных и медицинских организаций | ст. 284.1 НК РФ</w:t>
      </w:r>
    </w:p>
    <w:p>
      <w:pPr>
        <w:spacing w:after="60"/>
      </w:pPr>
      <w:r>
        <w:rPr>
          <w:rFonts w:ascii="Times New Roman" w:cs="Times New Roman" w:eastAsia="Times New Roman" w:hAnsi="Times New Roman"/>
          <w:b w:val="false"/>
          <w:bCs w:val="false"/>
          <w:color w:val="000000"/>
          <w:sz w:val="20"/>
          <w:szCs w:val="20"/>
        </w:rPr>
        <w:t xml:space="preserve">Требование об обоснованности и документальном подтверждении расходов | ст. 252 НК РФ</w:t>
      </w:r>
    </w:p>
    <w:p>
      <w:pPr>
        <w:spacing w:after="60"/>
      </w:pPr>
      <w:r>
        <w:rPr>
          <w:rFonts w:ascii="Times New Roman" w:cs="Times New Roman" w:eastAsia="Times New Roman" w:hAnsi="Times New Roman"/>
          <w:b w:val="false"/>
          <w:bCs w:val="false"/>
          <w:color w:val="000000"/>
          <w:sz w:val="20"/>
          <w:szCs w:val="20"/>
        </w:rPr>
        <w:t xml:space="preserve">Деление расходов на прямые и косвенные, порядок их признания | ст. 318 НК РФ</w:t>
      </w:r>
    </w:p>
    <w:p>
      <w:pPr>
        <w:spacing w:after="60"/>
      </w:pPr>
      <w:r>
        <w:rPr>
          <w:rFonts w:ascii="Times New Roman" w:cs="Times New Roman" w:eastAsia="Times New Roman" w:hAnsi="Times New Roman"/>
          <w:b w:val="false"/>
          <w:bCs w:val="false"/>
          <w:color w:val="000000"/>
          <w:sz w:val="20"/>
          <w:szCs w:val="20"/>
        </w:rPr>
        <w:t xml:space="preserve">Порядок исчисления авансовых платежей и порог 15 млн ₽ | ст. 286 НК РФ</w:t>
      </w:r>
    </w:p>
    <w:p>
      <w:pPr>
        <w:spacing w:after="60"/>
      </w:pPr>
      <w:r>
        <w:rPr>
          <w:rFonts w:ascii="Times New Roman" w:cs="Times New Roman" w:eastAsia="Times New Roman" w:hAnsi="Times New Roman"/>
          <w:b w:val="false"/>
          <w:bCs w:val="false"/>
          <w:color w:val="000000"/>
          <w:sz w:val="20"/>
          <w:szCs w:val="20"/>
        </w:rPr>
        <w:t xml:space="preserve">Сроки уплаты налога и авансовых платежей | ст. 287 НК РФ</w:t>
      </w:r>
    </w:p>
    <w:p>
      <w:pPr>
        <w:spacing w:after="60"/>
      </w:pPr>
      <w:r>
        <w:rPr>
          <w:rFonts w:ascii="Times New Roman" w:cs="Times New Roman" w:eastAsia="Times New Roman" w:hAnsi="Times New Roman"/>
          <w:b w:val="false"/>
          <w:bCs w:val="false"/>
          <w:color w:val="000000"/>
          <w:sz w:val="20"/>
          <w:szCs w:val="20"/>
        </w:rPr>
        <w:t xml:space="preserve">Сроки представления декларации | п. 3 и п. 4 ст. 289 НК РФ</w:t>
      </w:r>
    </w:p>
    <w:p>
      <w:pPr>
        <w:spacing w:after="60"/>
      </w:pPr>
      <w:r>
        <w:rPr>
          <w:rFonts w:ascii="Times New Roman" w:cs="Times New Roman" w:eastAsia="Times New Roman" w:hAnsi="Times New Roman"/>
          <w:b w:val="false"/>
          <w:bCs w:val="false"/>
          <w:color w:val="000000"/>
          <w:sz w:val="20"/>
          <w:szCs w:val="20"/>
        </w:rPr>
        <w:t xml:space="preserve">Ставка НДС 22% с 2026 года | п. 3 ст. 164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28.10.2026.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Обязательно считайте предполагаемые налоги перед началом нового бизнеса или проекта. Если нужно просчитать экономику перехода на общую систему или проверить, как изменится результат при новых ставках, оставьте заявку на налоговый консалтинг: посчитаем на ваших цифрах и покажем, что получится после налогов.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Мариной Даниловой.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«НДС — понятно о самом непонятном налоге» сделать гиперссылкой → https://1-plus-1.ru/news/nds-ponyatno-o-samom-neponyatnom-naloge/】</w:t>
      </w:r>
    </w:p>
    <w:p>
      <w:pPr>
        <w:spacing w:after="60"/>
      </w:pPr>
      <w:r>
        <w:rPr>
          <w:rFonts w:ascii="Consolas" w:cs="Consolas" w:eastAsia="Consolas" w:hAnsi="Consolas"/>
          <w:b w:val="false"/>
          <w:bCs w:val="false"/>
          <w:color w:val="806000"/>
          <w:sz w:val="20"/>
          <w:szCs w:val="20"/>
        </w:rPr>
        <w:t xml:space="preserve">【ССЫЛКА: «Налоговая нагрузка» сделать гиперссылкой → https://1-plus-1.ru/news/nalogovaya-nagruzka/】</w:t>
      </w:r>
    </w:p>
    <w:p>
      <w:pPr>
        <w:spacing w:after="60"/>
      </w:pPr>
      <w:r>
        <w:rPr>
          <w:rFonts w:ascii="Consolas" w:cs="Consolas" w:eastAsia="Consolas" w:hAnsi="Consolas"/>
          <w:b w:val="false"/>
          <w:bCs w:val="false"/>
          <w:color w:val="806000"/>
          <w:sz w:val="20"/>
          <w:szCs w:val="20"/>
        </w:rPr>
        <w:t xml:space="preserve">【ССЫЛКА: «Как выбрать оптимальный налоговый режим» сделать гиперссылкой → https://1-plus-1.ru/news/kak-vybrat-optimalnyy-nalogovyy-rezhim-dlya-svoego-biznesa/】</w:t>
      </w:r>
    </w:p>
    <w:p>
      <w:pPr>
        <w:spacing w:after="60"/>
      </w:pPr>
      <w:r>
        <w:rPr>
          <w:rFonts w:ascii="Consolas" w:cs="Consolas" w:eastAsia="Consolas" w:hAnsi="Consolas"/>
          <w:b w:val="false"/>
          <w:bCs w:val="false"/>
          <w:color w:val="806000"/>
          <w:sz w:val="20"/>
          <w:szCs w:val="20"/>
        </w:rPr>
        <w:t xml:space="preserve">【ССЫЛКА: «п. 1 и п. 1.15 ст. 284 НК РФ» → https://www.consultant.ru/document/cons_doc_LAW_28165/eb9180fc785448d58fe76ef323fb67d1832b9363/】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284.1 НК РФ» → https://www.consultant.ru/document/cons_doc_LAW_28165/9a27ebb827bedf71dea16049203f6645100acf44/】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287 НК РФ» → https://www.consultant.ru/document/cons_doc_LAW_28165/17f089448303baae2053c544b5f1423572c91bda/】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3 и п. 4 ст. 289 НК РФ» → https://www.consultant.ru/document/cons_doc_LAW_28165/e1a5f8ba9742b3e8b843c3ee97e6f6a5bcdcd066/】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3 ст. 164 НК РФ» → https://www.consultant.ru/document/cons_doc_LAW_28165/35cc6698564adc4507baa31c9cfdbb4f2516d068/】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2026-10-29T09:21:55.912Z</dcterms:created>
  <dcterms:modified xsi:type="dcterms:W3CDTF">2026-10-29T09:21:55.912Z</dcterms:modified>
</cp:coreProperties>
</file>

<file path=docProps/custom.xml><?xml version="1.0" encoding="utf-8"?>
<Properties xmlns="http://schemas.openxmlformats.org/officeDocument/2006/custom-properties" xmlns:vt="http://schemas.openxmlformats.org/officeDocument/2006/docPropsVTypes"/>
</file>