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val="false"/>
          <w:bCs w:val="false"/>
          <w:color w:val="806000"/>
          <w:sz w:val="20"/>
          <w:szCs w:val="20"/>
        </w:rPr>
        <w:t xml:space="preserve">ПАМЯТКА ДЛЯ РАЗМЕЩЕНИЯ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1. Всё в квадратных скобках [ ] и в блоках 【 】 — служебное, на страницу не идёт.</w:t>
      </w:r>
    </w:p>
    <w:p>
      <w:pPr>
        <w:spacing w:after="60"/>
      </w:pPr>
      <w:r>
        <w:rPr>
          <w:rFonts w:ascii="Times New Roman" w:cs="Times New Roman" w:eastAsia="Times New Roman" w:hAnsi="Times New Roman"/>
          <w:b w:val="false"/>
          <w:bCs w:val="false"/>
          <w:color w:val="000000"/>
          <w:sz w:val="20"/>
          <w:szCs w:val="20"/>
        </w:rPr>
        <w:t xml:space="preserve">   Перед публикацией очистить текст от служебных пометок.</w:t>
      </w:r>
    </w:p>
    <w:p>
      <w:pPr>
        <w:spacing w:after="60"/>
      </w:pPr>
      <w:r>
        <w:rPr>
          <w:rFonts w:ascii="Times New Roman" w:cs="Times New Roman" w:eastAsia="Times New Roman" w:hAnsi="Times New Roman"/>
          <w:b w:val="false"/>
          <w:bCs w:val="false"/>
          <w:color w:val="000000"/>
          <w:sz w:val="20"/>
          <w:szCs w:val="20"/>
        </w:rPr>
        <w:t xml:space="preserve">2. В статье только один H1.</w:t>
      </w:r>
    </w:p>
    <w:p>
      <w:pPr>
        <w:spacing w:after="60"/>
      </w:pPr>
      <w:r>
        <w:rPr>
          <w:rFonts w:ascii="Times New Roman" w:cs="Times New Roman" w:eastAsia="Times New Roman" w:hAnsi="Times New Roman"/>
          <w:b w:val="false"/>
          <w:bCs w:val="false"/>
          <w:color w:val="000000"/>
          <w:sz w:val="20"/>
          <w:szCs w:val="20"/>
        </w:rPr>
        <w:t xml:space="preserve">3. Заголовки без точки в конце.</w:t>
      </w:r>
    </w:p>
    <w:p>
      <w:pPr>
        <w:spacing w:after="60"/>
      </w:pPr>
      <w:r>
        <w:rPr>
          <w:rFonts w:ascii="Times New Roman" w:cs="Times New Roman" w:eastAsia="Times New Roman" w:hAnsi="Times New Roman"/>
          <w:b w:val="false"/>
          <w:bCs w:val="false"/>
          <w:color w:val="000000"/>
          <w:sz w:val="20"/>
          <w:szCs w:val="20"/>
        </w:rPr>
        <w:t xml:space="preserve">4. Meta title, meta description и URL — в соответствующие поля CMS, не в текст.</w:t>
      </w:r>
    </w:p>
    <w:p>
      <w:pPr>
        <w:spacing w:after="60"/>
      </w:pPr>
      <w:r>
        <w:rPr>
          <w:rFonts w:ascii="Times New Roman" w:cs="Times New Roman" w:eastAsia="Times New Roman" w:hAnsi="Times New Roman"/>
          <w:b w:val="false"/>
          <w:bCs w:val="false"/>
          <w:color w:val="000000"/>
          <w:sz w:val="20"/>
          <w:szCs w:val="20"/>
        </w:rPr>
        <w:t xml:space="preserve">5. Таблицы вставлять таблицами, списки — списками (не картинками и не текстом).</w:t>
      </w:r>
    </w:p>
    <w:p>
      <w:pPr>
        <w:spacing w:after="60"/>
      </w:pPr>
      <w:r>
        <w:rPr>
          <w:rFonts w:ascii="Times New Roman" w:cs="Times New Roman" w:eastAsia="Times New Roman" w:hAnsi="Times New Roman"/>
          <w:b w:val="false"/>
          <w:bCs w:val="false"/>
          <w:color w:val="000000"/>
          <w:sz w:val="20"/>
          <w:szCs w:val="20"/>
        </w:rPr>
        <w:t xml:space="preserve">6. Внутренние ссылки ставить на реальные страницы услуг — адреса проверить.</w:t>
      </w:r>
    </w:p>
    <w:p>
      <w:pPr>
        <w:spacing w:after="60"/>
      </w:pPr>
      <w:r>
        <w:rPr>
          <w:rFonts w:ascii="Times New Roman" w:cs="Times New Roman" w:eastAsia="Times New Roman" w:hAnsi="Times New Roman"/>
          <w:b w:val="false"/>
          <w:bCs w:val="false"/>
          <w:color w:val="000000"/>
          <w:sz w:val="20"/>
          <w:szCs w:val="20"/>
        </w:rPr>
        <w:t xml:space="preserve">7. Внешние ссылки закрыть: rel="nofollow noindex".</w:t>
      </w:r>
    </w:p>
    <w:p>
      <w:pPr>
        <w:spacing w:after="60"/>
      </w:pPr>
      <w:r>
        <w:rPr>
          <w:rFonts w:ascii="Times New Roman" w:cs="Times New Roman" w:eastAsia="Times New Roman" w:hAnsi="Times New Roman"/>
          <w:b w:val="false"/>
          <w:bCs w:val="false"/>
          <w:color w:val="000000"/>
          <w:sz w:val="20"/>
          <w:szCs w:val="20"/>
        </w:rPr>
        <w:t xml:space="preserve">8. Изображений в статье нет. Если добавляете — каждому прописать ALT.</w:t>
      </w:r>
    </w:p>
    <w:p>
      <w:pPr>
        <w:spacing w:after="60"/>
      </w:pPr>
      <w:r>
        <w:rPr>
          <w:rFonts w:ascii="Times New Roman" w:cs="Times New Roman" w:eastAsia="Times New Roman" w:hAnsi="Times New Roman"/>
          <w:b w:val="false"/>
          <w:bCs w:val="false"/>
          <w:color w:val="000000"/>
          <w:sz w:val="20"/>
          <w:szCs w:val="20"/>
        </w:rPr>
        <w:t xml:space="preserve">9. Блок «Вопрос-ответ» вывести с микроразметкой FAQPage (schema.org).</w:t>
      </w:r>
    </w:p>
    <w:p>
      <w:pPr>
        <w:spacing w:after="60"/>
      </w:pPr>
      <w:r>
        <w:rPr>
          <w:rFonts w:ascii="Times New Roman" w:cs="Times New Roman" w:eastAsia="Times New Roman" w:hAnsi="Times New Roman"/>
          <w:b w:val="false"/>
          <w:bCs w:val="false"/>
          <w:color w:val="000000"/>
          <w:sz w:val="20"/>
          <w:szCs w:val="20"/>
        </w:rPr>
        <w:t xml:space="preserve">10. Призыв к действию выделить визуально — рамкой или плашкой. Контактов в нём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【META TITLE: Как проверить бухгалтерию: инициативный аудит компании】</w:t>
      </w:r>
    </w:p>
    <w:p>
      <w:pPr>
        <w:spacing w:after="60"/>
      </w:pPr>
      <w:r>
        <w:rPr>
          <w:rFonts w:ascii="Consolas" w:cs="Consolas" w:eastAsia="Consolas" w:hAnsi="Consolas"/>
          <w:b w:val="false"/>
          <w:bCs w:val="false"/>
          <w:color w:val="806000"/>
          <w:sz w:val="20"/>
          <w:szCs w:val="20"/>
        </w:rPr>
        <w:t xml:space="preserve">【META DESCRIPTION: Зачем проверять работу бухгалтерии, как это сделать самому и что покажет инициативный аудит: виды, порядок проведения и ошибки, которые находят чаще всего.】</w:t>
      </w:r>
    </w:p>
    <w:p>
      <w:pPr>
        <w:spacing w:after="60"/>
      </w:pPr>
      <w:r>
        <w:rPr>
          <w:rFonts w:ascii="Consolas" w:cs="Consolas" w:eastAsia="Consolas" w:hAnsi="Consolas"/>
          <w:b w:val="false"/>
          <w:bCs w:val="false"/>
          <w:color w:val="806000"/>
          <w:sz w:val="20"/>
          <w:szCs w:val="20"/>
        </w:rPr>
        <w:t xml:space="preserve">【URL: /news/kak-proverit-svoyu-bukhgalteriyu/ — адрес прежний, не менять】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[H1] Налоговая нагрузка в 2026 году: как считать, с чем сравнивать и что проверяет ФНС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Коротко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【ВРЕМЯ ЧТЕНИЯ: вывести в шапке статьи】</w:t>
      </w:r>
    </w:p>
    <w:p>
      <w:pPr>
        <w:spacing w:after="60"/>
      </w:pPr>
      <w:r>
        <w:rPr>
          <w:rFonts w:ascii="Times New Roman" w:cs="Times New Roman" w:eastAsia="Times New Roman" w:hAnsi="Times New Roman"/>
          <w:b w:val="false"/>
          <w:bCs w:val="false"/>
          <w:color w:val="000000"/>
          <w:sz w:val="20"/>
          <w:szCs w:val="20"/>
        </w:rPr>
        <w:t xml:space="preserve">⏱ Время чтения: 9 минут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Налоговая нагрузка — доля выручки, которую компания перечисляет в бюджет в виде налогов. ФНС считает её как отношение уплаченных налогов к доходам и ежегодно публикует среднеотраслевые значения: по всем отраслям за 2025 год — 11,9%.</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Зачем это собственнику. Нагрузка заметно ниже среднеотраслевой — общедоступный критерий, по которому компания может попасть в план выездных проверок.</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 чем сравнивать. Не с «нормальным процентом» вообще, а со значением своей отрасли: разброс огромный — от 2,6% в оптовой торговле до 51,7% в добыче топливно-энергетических ископаемых.</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Почему 2026 год считается отдельно. Выросла ставка НДС, снизились пороги УСН и ПСН, изменились тарифы взносов. Нагрузка вырастет у многих механически, и сравнивать её со своим прошлым годом без поправки на это нельзя.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Содержание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Что такое налоговая нагрузка</w:t>
      </w:r>
    </w:p>
    <w:p>
      <w:pPr>
        <w:spacing w:after="60"/>
      </w:pPr>
      <w:r>
        <w:rPr>
          <w:rFonts w:ascii="Times New Roman" w:cs="Times New Roman" w:eastAsia="Times New Roman" w:hAnsi="Times New Roman"/>
          <w:b w:val="false"/>
          <w:bCs w:val="false"/>
          <w:color w:val="000000"/>
          <w:sz w:val="20"/>
          <w:szCs w:val="20"/>
        </w:rPr>
        <w:t xml:space="preserve">• Как её рассчитать</w:t>
      </w:r>
    </w:p>
    <w:p>
      <w:pPr>
        <w:spacing w:after="60"/>
      </w:pPr>
      <w:r>
        <w:rPr>
          <w:rFonts w:ascii="Times New Roman" w:cs="Times New Roman" w:eastAsia="Times New Roman" w:hAnsi="Times New Roman"/>
          <w:b w:val="false"/>
          <w:bCs w:val="false"/>
          <w:color w:val="000000"/>
          <w:sz w:val="20"/>
          <w:szCs w:val="20"/>
        </w:rPr>
        <w:t xml:space="preserve">• С чем сравнивать: показатели по отраслям за 2025 год</w:t>
      </w:r>
    </w:p>
    <w:p>
      <w:pPr>
        <w:spacing w:after="60"/>
      </w:pPr>
      <w:r>
        <w:rPr>
          <w:rFonts w:ascii="Times New Roman" w:cs="Times New Roman" w:eastAsia="Times New Roman" w:hAnsi="Times New Roman"/>
          <w:b w:val="false"/>
          <w:bCs w:val="false"/>
          <w:color w:val="000000"/>
          <w:sz w:val="20"/>
          <w:szCs w:val="20"/>
        </w:rPr>
        <w:t xml:space="preserve">• Почему в 2026 году показатель нужно считать заново</w:t>
      </w:r>
    </w:p>
    <w:p>
      <w:pPr>
        <w:spacing w:after="60"/>
      </w:pPr>
      <w:r>
        <w:rPr>
          <w:rFonts w:ascii="Times New Roman" w:cs="Times New Roman" w:eastAsia="Times New Roman" w:hAnsi="Times New Roman"/>
          <w:b w:val="false"/>
          <w:bCs w:val="false"/>
          <w:color w:val="000000"/>
          <w:sz w:val="20"/>
          <w:szCs w:val="20"/>
        </w:rPr>
        <w:t xml:space="preserve">• Кто и зачем следит за уровнем налоговой нагрузки</w:t>
      </w:r>
    </w:p>
    <w:p>
      <w:pPr>
        <w:spacing w:after="60"/>
      </w:pPr>
      <w:r>
        <w:rPr>
          <w:rFonts w:ascii="Times New Roman" w:cs="Times New Roman" w:eastAsia="Times New Roman" w:hAnsi="Times New Roman"/>
          <w:b w:val="false"/>
          <w:bCs w:val="false"/>
          <w:color w:val="000000"/>
          <w:sz w:val="20"/>
          <w:szCs w:val="20"/>
        </w:rPr>
        <w:t xml:space="preserve">• Чем грозит низкая налоговая нагрузка</w:t>
      </w:r>
    </w:p>
    <w:p>
      <w:pPr>
        <w:spacing w:after="60"/>
      </w:pPr>
      <w:r>
        <w:rPr>
          <w:rFonts w:ascii="Times New Roman" w:cs="Times New Roman" w:eastAsia="Times New Roman" w:hAnsi="Times New Roman"/>
          <w:b w:val="false"/>
          <w:bCs w:val="false"/>
          <w:color w:val="000000"/>
          <w:sz w:val="20"/>
          <w:szCs w:val="20"/>
        </w:rPr>
        <w:t xml:space="preserve">• Как снизить налоговую нагрузку без рисков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Что такое налоговая нагрузка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Знаете ли вы, какая у вашего бизнеса налоговая нагрузка? То есть какую долю от выручки компании вы перечисляете в бюджет в виде налоговых платежей?</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А вот налоговая знает — и сравнивает ваш показатель со средними по отрасли, чтобы определить, в каких компаниях стоит назначить выездную проверку в первую очередь.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Итак, налоговая нагрузка — доля выручки организации, которая в среднем приходится на уплату налогов в бюджет. Рассчитывается как отношение уплаченных налогов к доходам организации.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Уровень налоговой нагрузки может отличаться у разных компаний в зависимости от отрасли, масштабов компании и выбранного налогового режима, а также региональных факторов, которые могут повлиять на ведение бизнеса.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Страховые взносы в расчёт налоговой нагрузки по методике ФНС не входят — в таблице ведомства они идут отдельной справочной графой. Но для внутреннего финансового учёта их стоит принимать во внимание: для компании это такие же деньги, уходящие из оборота.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 рассчитать налоговую нагрузку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Формула, по которой считает ФНС: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Налоговая нагрузка = сумма уплаченных налогов ÷ оборот (выручка) × 100%</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Что важно знать о расчёте: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берутся уплаченные налоги, а не начисленные;</w:t>
      </w:r>
    </w:p>
    <w:p>
      <w:pPr>
        <w:spacing w:after="60"/>
      </w:pPr>
      <w:r>
        <w:rPr>
          <w:rFonts w:ascii="Times New Roman" w:cs="Times New Roman" w:eastAsia="Times New Roman" w:hAnsi="Times New Roman"/>
          <w:b w:val="false"/>
          <w:bCs w:val="false"/>
          <w:color w:val="000000"/>
          <w:sz w:val="20"/>
          <w:szCs w:val="20"/>
        </w:rPr>
        <w:t xml:space="preserve">• страховые взносы в расчёт не входят — они считаются отдельно;</w:t>
      </w:r>
    </w:p>
    <w:p>
      <w:pPr>
        <w:spacing w:after="60"/>
      </w:pPr>
      <w:r>
        <w:rPr>
          <w:rFonts w:ascii="Times New Roman" w:cs="Times New Roman" w:eastAsia="Times New Roman" w:hAnsi="Times New Roman"/>
          <w:b w:val="false"/>
          <w:bCs w:val="false"/>
          <w:color w:val="000000"/>
          <w:sz w:val="20"/>
          <w:szCs w:val="20"/>
        </w:rPr>
        <w:t xml:space="preserve">• оборот берётся без НДС;</w:t>
      </w:r>
    </w:p>
    <w:p>
      <w:pPr>
        <w:spacing w:after="60"/>
      </w:pPr>
      <w:r>
        <w:rPr>
          <w:rFonts w:ascii="Times New Roman" w:cs="Times New Roman" w:eastAsia="Times New Roman" w:hAnsi="Times New Roman"/>
          <w:b w:val="false"/>
          <w:bCs w:val="false"/>
          <w:color w:val="000000"/>
          <w:sz w:val="20"/>
          <w:szCs w:val="20"/>
        </w:rPr>
        <w:t xml:space="preserve">• показатель считается за календарный год.</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Самостоятельно рассчитать свою нагрузку можно с помощью калькулятора на сервисе налоговой «Прозрачный бизнес» (pb.nalog.ru).</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С чем сравнивать: показатели налоговой нагрузки организаций за 2025 год</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Налоговая служба ежегодно размещает среднеотраслевые показатели налоговой нагрузки на своём сайте.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Последние опубликованные данные — за 2025 год (Информация ФНС России от 05.05.2026). По всем отраслям налоговая нагрузка составила 11,9% против 11,6% годом ранее.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Показатели по отраслям, в которых работают наши клиенты: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3 столбца × 17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Отрасль | Налоговая нагрузка, 2025 | Справочно: взносы</w:t>
      </w:r>
    </w:p>
    <w:p>
      <w:pPr>
        <w:spacing w:after="60"/>
      </w:pPr>
      <w:r>
        <w:rPr>
          <w:rFonts w:ascii="Times New Roman" w:cs="Times New Roman" w:eastAsia="Times New Roman" w:hAnsi="Times New Roman"/>
          <w:b w:val="false"/>
          <w:bCs w:val="false"/>
          <w:color w:val="000000"/>
          <w:sz w:val="20"/>
          <w:szCs w:val="20"/>
        </w:rPr>
        <w:t xml:space="preserve">Всего по экономике | 11,9% | 3,9%</w:t>
      </w:r>
    </w:p>
    <w:p>
      <w:pPr>
        <w:spacing w:after="60"/>
      </w:pPr>
      <w:r>
        <w:rPr>
          <w:rFonts w:ascii="Times New Roman" w:cs="Times New Roman" w:eastAsia="Times New Roman" w:hAnsi="Times New Roman"/>
          <w:b w:val="false"/>
          <w:bCs w:val="false"/>
          <w:color w:val="000000"/>
          <w:sz w:val="20"/>
          <w:szCs w:val="20"/>
        </w:rPr>
        <w:t xml:space="preserve">Обрабатывающие производства — всего | 8,7% | 2,6%</w:t>
      </w:r>
    </w:p>
    <w:p>
      <w:pPr>
        <w:spacing w:after="60"/>
      </w:pPr>
      <w:r>
        <w:rPr>
          <w:rFonts w:ascii="Times New Roman" w:cs="Times New Roman" w:eastAsia="Times New Roman" w:hAnsi="Times New Roman"/>
          <w:b w:val="false"/>
          <w:bCs w:val="false"/>
          <w:color w:val="000000"/>
          <w:sz w:val="20"/>
          <w:szCs w:val="20"/>
        </w:rPr>
        <w:t xml:space="preserve">производство пищевых продуктов, напитков, табачных изделий | 18,0% | 2,1%</w:t>
      </w:r>
    </w:p>
    <w:p>
      <w:pPr>
        <w:spacing w:after="60"/>
      </w:pPr>
      <w:r>
        <w:rPr>
          <w:rFonts w:ascii="Times New Roman" w:cs="Times New Roman" w:eastAsia="Times New Roman" w:hAnsi="Times New Roman"/>
          <w:b w:val="false"/>
          <w:bCs w:val="false"/>
          <w:color w:val="000000"/>
          <w:sz w:val="20"/>
          <w:szCs w:val="20"/>
        </w:rPr>
        <w:t xml:space="preserve">производство машин и оборудования | 13,1% | 4,4%</w:t>
      </w:r>
    </w:p>
    <w:p>
      <w:pPr>
        <w:spacing w:after="60"/>
      </w:pPr>
      <w:r>
        <w:rPr>
          <w:rFonts w:ascii="Times New Roman" w:cs="Times New Roman" w:eastAsia="Times New Roman" w:hAnsi="Times New Roman"/>
          <w:b w:val="false"/>
          <w:bCs w:val="false"/>
          <w:color w:val="000000"/>
          <w:sz w:val="20"/>
          <w:szCs w:val="20"/>
        </w:rPr>
        <w:t xml:space="preserve">обработка древесины и изделий из дерева | 5,4% | 3,9%</w:t>
      </w:r>
    </w:p>
    <w:p>
      <w:pPr>
        <w:spacing w:after="60"/>
      </w:pPr>
      <w:r>
        <w:rPr>
          <w:rFonts w:ascii="Times New Roman" w:cs="Times New Roman" w:eastAsia="Times New Roman" w:hAnsi="Times New Roman"/>
          <w:b w:val="false"/>
          <w:bCs w:val="false"/>
          <w:color w:val="000000"/>
          <w:sz w:val="20"/>
          <w:szCs w:val="20"/>
        </w:rPr>
        <w:t xml:space="preserve">металлургия и готовые металлические изделия | 5,2% | 2,6%</w:t>
      </w:r>
    </w:p>
    <w:p>
      <w:pPr>
        <w:spacing w:after="60"/>
      </w:pPr>
      <w:r>
        <w:rPr>
          <w:rFonts w:ascii="Times New Roman" w:cs="Times New Roman" w:eastAsia="Times New Roman" w:hAnsi="Times New Roman"/>
          <w:b w:val="false"/>
          <w:bCs w:val="false"/>
          <w:color w:val="000000"/>
          <w:sz w:val="20"/>
          <w:szCs w:val="20"/>
        </w:rPr>
        <w:t xml:space="preserve">Торговля оптовая и розничная — всего | 3,6% | 1,4%</w:t>
      </w:r>
    </w:p>
    <w:p>
      <w:pPr>
        <w:spacing w:after="60"/>
      </w:pPr>
      <w:r>
        <w:rPr>
          <w:rFonts w:ascii="Times New Roman" w:cs="Times New Roman" w:eastAsia="Times New Roman" w:hAnsi="Times New Roman"/>
          <w:b w:val="false"/>
          <w:bCs w:val="false"/>
          <w:color w:val="000000"/>
          <w:sz w:val="20"/>
          <w:szCs w:val="20"/>
        </w:rPr>
        <w:t xml:space="preserve">оптовая торговля | 2,6% | 0,8%</w:t>
      </w:r>
    </w:p>
    <w:p>
      <w:pPr>
        <w:spacing w:after="60"/>
      </w:pPr>
      <w:r>
        <w:rPr>
          <w:rFonts w:ascii="Times New Roman" w:cs="Times New Roman" w:eastAsia="Times New Roman" w:hAnsi="Times New Roman"/>
          <w:b w:val="false"/>
          <w:bCs w:val="false"/>
          <w:color w:val="000000"/>
          <w:sz w:val="20"/>
          <w:szCs w:val="20"/>
        </w:rPr>
        <w:t xml:space="preserve">розничная торговля | 6,3% | 3,0%</w:t>
      </w:r>
    </w:p>
    <w:p>
      <w:pPr>
        <w:spacing w:after="60"/>
      </w:pPr>
      <w:r>
        <w:rPr>
          <w:rFonts w:ascii="Times New Roman" w:cs="Times New Roman" w:eastAsia="Times New Roman" w:hAnsi="Times New Roman"/>
          <w:b w:val="false"/>
          <w:bCs w:val="false"/>
          <w:color w:val="000000"/>
          <w:sz w:val="20"/>
          <w:szCs w:val="20"/>
        </w:rPr>
        <w:t xml:space="preserve">Строительство | 15,0% | 5,1%</w:t>
      </w:r>
    </w:p>
    <w:p>
      <w:pPr>
        <w:spacing w:after="60"/>
      </w:pPr>
      <w:r>
        <w:rPr>
          <w:rFonts w:ascii="Times New Roman" w:cs="Times New Roman" w:eastAsia="Times New Roman" w:hAnsi="Times New Roman"/>
          <w:b w:val="false"/>
          <w:bCs w:val="false"/>
          <w:color w:val="000000"/>
          <w:sz w:val="20"/>
          <w:szCs w:val="20"/>
        </w:rPr>
        <w:t xml:space="preserve">Транспортировка и хранение | 7,4% | 5,0%</w:t>
      </w:r>
    </w:p>
    <w:p>
      <w:pPr>
        <w:spacing w:after="60"/>
      </w:pPr>
      <w:r>
        <w:rPr>
          <w:rFonts w:ascii="Times New Roman" w:cs="Times New Roman" w:eastAsia="Times New Roman" w:hAnsi="Times New Roman"/>
          <w:b w:val="false"/>
          <w:bCs w:val="false"/>
          <w:color w:val="000000"/>
          <w:sz w:val="20"/>
          <w:szCs w:val="20"/>
        </w:rPr>
        <w:t xml:space="preserve">Информация и связь | 15,6% | 4,5%</w:t>
      </w:r>
    </w:p>
    <w:p>
      <w:pPr>
        <w:spacing w:after="60"/>
      </w:pPr>
      <w:r>
        <w:rPr>
          <w:rFonts w:ascii="Times New Roman" w:cs="Times New Roman" w:eastAsia="Times New Roman" w:hAnsi="Times New Roman"/>
          <w:b w:val="false"/>
          <w:bCs w:val="false"/>
          <w:color w:val="000000"/>
          <w:sz w:val="20"/>
          <w:szCs w:val="20"/>
        </w:rPr>
        <w:t xml:space="preserve">Операции с недвижимым имуществом | 23,2% | 5,5%</w:t>
      </w:r>
    </w:p>
    <w:p>
      <w:pPr>
        <w:spacing w:after="60"/>
      </w:pPr>
      <w:r>
        <w:rPr>
          <w:rFonts w:ascii="Times New Roman" w:cs="Times New Roman" w:eastAsia="Times New Roman" w:hAnsi="Times New Roman"/>
          <w:b w:val="false"/>
          <w:bCs w:val="false"/>
          <w:color w:val="000000"/>
          <w:sz w:val="20"/>
          <w:szCs w:val="20"/>
        </w:rPr>
        <w:t xml:space="preserve">Гостиницы и общественное питание | 11,9% | 7,0%</w:t>
      </w:r>
    </w:p>
    <w:p>
      <w:pPr>
        <w:spacing w:after="60"/>
      </w:pPr>
      <w:r>
        <w:rPr>
          <w:rFonts w:ascii="Times New Roman" w:cs="Times New Roman" w:eastAsia="Times New Roman" w:hAnsi="Times New Roman"/>
          <w:b w:val="false"/>
          <w:bCs w:val="false"/>
          <w:color w:val="000000"/>
          <w:sz w:val="20"/>
          <w:szCs w:val="20"/>
        </w:rPr>
        <w:t xml:space="preserve">Сельское, лесное хозяйство, рыболовство | 5,6% | 5,3%</w:t>
      </w:r>
    </w:p>
    <w:p>
      <w:pPr>
        <w:spacing w:after="60"/>
      </w:pPr>
      <w:r>
        <w:rPr>
          <w:rFonts w:ascii="Times New Roman" w:cs="Times New Roman" w:eastAsia="Times New Roman" w:hAnsi="Times New Roman"/>
          <w:b w:val="false"/>
          <w:bCs w:val="false"/>
          <w:color w:val="000000"/>
          <w:sz w:val="20"/>
          <w:szCs w:val="20"/>
        </w:rPr>
        <w:t xml:space="preserve">Добыча топливно-энергетических полезных ископаемых | 51,7% | 1,3%</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Главное при сравнении — брать свою строку, а не общий показатель. Разброс между отраслями больше чем в двадцать раз: 2,6% в оптовой торговле и 51,7% в добыче. Нагрузка 4% для оптовой торговли — обычное дело, для пищевого производства — причина для вопросов со стороны инспекции.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 показатель влияют ещё три вещи, которые таблица не учитывает: налоговый режим (на упрощёнке нагрузка к выручке почти всегда ниже, чем на общей системе), масштаб бизнеса и регион. Приказ содержит общероссийскую таблицу, но инспекция на месте может смотреть и на региональные данные.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Почему в 2026 году показатель нужно считать заново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 2026 года изменились сразу несколько параметров, от которых зависит сумма налогов: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Основная ставка НДС — 22% вместо 20% с 1 января 2026 года. Пониженные ставки не изменились.</w:t>
      </w:r>
    </w:p>
    <w:p>
      <w:pPr>
        <w:spacing w:after="60"/>
      </w:pPr>
      <w:r>
        <w:rPr>
          <w:rFonts w:ascii="Times New Roman" w:cs="Times New Roman" w:eastAsia="Times New Roman" w:hAnsi="Times New Roman"/>
          <w:b w:val="false"/>
          <w:bCs w:val="false"/>
          <w:color w:val="000000"/>
          <w:sz w:val="20"/>
          <w:szCs w:val="20"/>
        </w:rPr>
        <w:t xml:space="preserve">• Порог освобождения от НДС на упрощёнке снижается. Он считается по доходам за предыдущий год: чтобы не платить НДС в 2026 году, доходы за 2025-й должны быть не больше 20 млн рублей. Дальше порог опускается до 15 млн, затем до 10 млн. Компании, которые раньше НДС не платили, становятся плательщиками.</w:t>
      </w:r>
    </w:p>
    <w:p>
      <w:pPr>
        <w:spacing w:after="60"/>
      </w:pPr>
      <w:r>
        <w:rPr>
          <w:rFonts w:ascii="Times New Roman" w:cs="Times New Roman" w:eastAsia="Times New Roman" w:hAnsi="Times New Roman"/>
          <w:b w:val="false"/>
          <w:bCs w:val="false"/>
          <w:color w:val="000000"/>
          <w:sz w:val="20"/>
          <w:szCs w:val="20"/>
        </w:rPr>
        <w:t xml:space="preserve">• Для патента право утрачивается при доходах свыше 20 млн рублей, и этот порог тоже снижается поэтапно до 10 млн.</w:t>
      </w:r>
    </w:p>
    <w:p>
      <w:pPr>
        <w:spacing w:after="60"/>
      </w:pPr>
      <w:r>
        <w:rPr>
          <w:rFonts w:ascii="Times New Roman" w:cs="Times New Roman" w:eastAsia="Times New Roman" w:hAnsi="Times New Roman"/>
          <w:b w:val="false"/>
          <w:bCs w:val="false"/>
          <w:color w:val="000000"/>
          <w:sz w:val="20"/>
          <w:szCs w:val="20"/>
        </w:rPr>
        <w:t xml:space="preserve">• Пониженные тарифы страховых взносов для МСП сохранены только для приоритетных отраслей, остальные переведены на общий тариф. Для ИТ-компаний единый пониженный тариф поднят до 15% в пределах предельной базы.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Для собственника отсюда следует практический вывод: сравнивать нагрузку 2026 года со своей же за 2025-й без поправки на эти изменения бессмысленно. Рост показателя может не означать, что бизнес стал платить «правильнее» — он может быть механическим следствием новых ставок и порогов.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Обратная ситуация тоже требует внимания: если при таких изменениях нагрузка осталась на прежнем уровне, стоит разобраться в причинах до того, как это сделает инспекция.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Кто и зачем следит за уровнем налоговой нагрузки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Налоговая служба. Для неё налоговая нагрузка — основной индикатор налоговой дисциплины. Инспекция сравнивает показатель компании со среднеотраслевым по её виду деятельности и использует отклонение как один из критериев отбора на выездную проверку.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 бизнес. Показатель показывает, насколько удачно выбран налоговый режим. Нагрузка заметно выше отраслевой — возможно, компания переплачивает и режим подобран неудачно. Заметно ниже — есть риск вопросов.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Банки. Они смотрят не на налоговую нагрузку в понимании ФНС, а на операции по счёту — об этом ниже отдельно.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Контрагенты и инвесторы. Данные о компании доступны в сервисе «Прозрачный бизнес», и при проверке партнёра на них обращают внимание.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Что смотрят банки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Банки действительно оценивают операции клиентов — этого требует закон о противодействии легализации доходов (115-ФЗ). Но оценивают они совокупность признаков, а не один показатель.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Ориентир, на который чаще всего ссылаются, появился не в законе, а в методических рекомендациях Банка России от 21.07.2017 № 18-МР. И речь там о другом показателе: доля налоговых платежей, уплаченных со счёта, в дебетовом обороте по этому счёту. Это не налоговая нагрузка по методике ФНС, где налоги соотносят с выручкой: компания может платить налоги с другого счёта или иметь большой оборот по счёту при небольшой выручке.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Главное: сам по себе этот показатель не является достаточным основанием признать операции сомнительными. Банк оценивает его вместе с другими признаками и вправе установить собственный уровень.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Чем грозит низкая налоговая нагрузка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Само по себе отклонение от среднеотраслевого значения не является достаточным основанием для доначисления налогов. Но если показатель на протяжении нескольких лет находится на стабильно низком уровне, это может стать основанием для проведения выездной налоговой проверки.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Это предусмотрено Концепцией системы планирования выездных налоговых проверок, утверждённой приказом ФНС России от 30.05.2007 № ММ-3-06/333@. Низкая нагрузка — первый из общедоступных критериев, по которым налогоплательщик может самостоятельно оценить свои риски.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Что происходит на практике до проверки: инспекция запрашивает пояснения или приглашает на комиссию. Это не санкция, а возможность объяснить причину. Причины бывают вполне законные: компания вложилась в оборудование и заявила вычеты, работала с убытком, применяет льготу, только начала деятельность или сменила режим. Объяснение с документами на этом этапе закрывает вопрос.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 снизить налоговую нагрузку без рисков для бизнеса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Законная оптимизация складывается из двух частей: выбрать условия, которые закон и так предоставляет, и корректно учесть то, что уже есть.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Что работает: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Выбор налогового режима под реальную экономику бизнеса. Доля расходов, состав контрагентов, нужен ли им НДС — от этого зависит, какой режим выгоднее. С учётом новых порогов 2026 года расчёт стоит сделать заново.</w:t>
      </w:r>
    </w:p>
    <w:p>
      <w:pPr>
        <w:spacing w:after="60"/>
      </w:pPr>
      <w:r>
        <w:rPr>
          <w:rFonts w:ascii="Times New Roman" w:cs="Times New Roman" w:eastAsia="Times New Roman" w:hAnsi="Times New Roman"/>
          <w:b w:val="false"/>
          <w:bCs w:val="false"/>
          <w:color w:val="000000"/>
          <w:sz w:val="20"/>
          <w:szCs w:val="20"/>
        </w:rPr>
        <w:t xml:space="preserve">• Применение льгот, на которые компания имеет право: пониженные региональные ставки, льготные тарифы взносов для приоритетных отраслей, отраслевые льготы по НДС.</w:t>
      </w:r>
    </w:p>
    <w:p>
      <w:pPr>
        <w:spacing w:after="60"/>
      </w:pPr>
      <w:r>
        <w:rPr>
          <w:rFonts w:ascii="Times New Roman" w:cs="Times New Roman" w:eastAsia="Times New Roman" w:hAnsi="Times New Roman"/>
          <w:b w:val="false"/>
          <w:bCs w:val="false"/>
          <w:color w:val="000000"/>
          <w:sz w:val="20"/>
          <w:szCs w:val="20"/>
        </w:rPr>
        <w:t xml:space="preserve">• Полный учёт расходов и вычетов. Самая частая переплата возникает не из-за режима, а из-за документов: расход был, а подтверждающего документа нет, и в базу он не попал.</w:t>
      </w:r>
    </w:p>
    <w:p>
      <w:pPr>
        <w:spacing w:after="60"/>
      </w:pPr>
      <w:r>
        <w:rPr>
          <w:rFonts w:ascii="Times New Roman" w:cs="Times New Roman" w:eastAsia="Times New Roman" w:hAnsi="Times New Roman"/>
          <w:b w:val="false"/>
          <w:bCs w:val="false"/>
          <w:color w:val="000000"/>
          <w:sz w:val="20"/>
          <w:szCs w:val="20"/>
        </w:rPr>
        <w:t xml:space="preserve">• Правильный расчёт себестоимости. Ошибка здесь завышает или занижает налог на прибыль, и собственник не видит реальной маржинальности.</w:t>
      </w:r>
    </w:p>
    <w:p>
      <w:pPr>
        <w:spacing w:after="60"/>
      </w:pPr>
      <w:r>
        <w:rPr>
          <w:rFonts w:ascii="Times New Roman" w:cs="Times New Roman" w:eastAsia="Times New Roman" w:hAnsi="Times New Roman"/>
          <w:b w:val="false"/>
          <w:bCs w:val="false"/>
          <w:color w:val="000000"/>
          <w:sz w:val="20"/>
          <w:szCs w:val="20"/>
        </w:rPr>
        <w:t xml:space="preserve">• Контроль сроков. Пени и штрафы увеличивают налоговую нагрузку, не принося компании ничего взамен.</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Что не является оптимизацией и приводит к доначислениям: разделение бизнеса между несколькими лицами ради сохранения спецрежимов, оформление сотрудников как самозанятых при фактических трудовых отношениях, расходы и вычеты по документам от компаний, которые деятельность не ведут. Все три схемы инспекция выявляет по данным, которые уже есть в её распоряжении.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 ещё одно. Цель — не минимальная нагрузка, а обоснованная: показатель, который вы можете подтвердить документами, безопаснее низкого показателя без объяснения.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Читать ещё</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Налоговые льготы в регионах — как устроены пониженные ставки УСН и кому они доступны с 2026 года.</w:t>
      </w:r>
    </w:p>
    <w:p>
      <w:pPr>
        <w:spacing w:after="60"/>
      </w:pPr>
      <w:r>
        <w:rPr>
          <w:rFonts w:ascii="Times New Roman" w:cs="Times New Roman" w:eastAsia="Times New Roman" w:hAnsi="Times New Roman"/>
          <w:b w:val="false"/>
          <w:bCs w:val="false"/>
          <w:color w:val="000000"/>
          <w:sz w:val="20"/>
          <w:szCs w:val="20"/>
        </w:rPr>
        <w:t xml:space="preserve">• Амнистия за дробление бизнеса — что делать, если оптимизация уже привела к вопросам у инспекции.</w:t>
      </w:r>
    </w:p>
    <w:p>
      <w:pPr>
        <w:spacing w:after="60"/>
      </w:pPr>
      <w:r>
        <w:rPr>
          <w:rFonts w:ascii="Times New Roman" w:cs="Times New Roman" w:eastAsia="Times New Roman" w:hAnsi="Times New Roman"/>
          <w:b w:val="false"/>
          <w:bCs w:val="false"/>
          <w:color w:val="000000"/>
          <w:sz w:val="20"/>
          <w:szCs w:val="20"/>
        </w:rPr>
        <w:t xml:space="preserve">• Ошибки бухгалтера: восемь примеров из практики аудита — почему переплата чаще возникает из-за учёта, а не из-за режима.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Вопрос-ответ</w:t>
      </w:r>
    </w:p>
    <w:p>
      <w:pPr>
        <w:spacing w:after="60"/>
      </w:pPr>
      <w:r>
        <w:rPr>
          <w:rFonts w:ascii="Consolas" w:cs="Consolas" w:eastAsia="Consolas" w:hAnsi="Consolas"/>
          <w:b w:val="false"/>
          <w:bCs w:val="false"/>
          <w:color w:val="806000"/>
          <w:sz w:val="20"/>
          <w:szCs w:val="20"/>
        </w:rPr>
        <w:t xml:space="preserve">【FAQ: вывести с микроразметкой FAQPage】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Какая налоговая нагрузка считается нормальной?</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Единой нормы нет. Сравнивать нужно со значением своей отрасли: по данным за 2025 год разброс — от 2,6% в оптовой торговле до 51,7% в добыче топливно-энергетических ископаемых. Общий показатель по экономике — 11,9%.</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Входят ли страховые взносы в налоговую нагрузку?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Нет. В методике ФНС взносы показаны отдельной справочной графой. Для внутреннего учёта их стоит считать, для сравнения с таблицей ФНС —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Что будет, если нагрузка ниже среднеотраслевой?</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Само по себе отклонение не влечёт доначислений. Инспекция запросит пояснения или пригласит на комиссию. Если причина законная и подтверждена документами, вопрос закрывается.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Правда ли, что при нагрузке меньше 1% банк заблокирует счёт?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Нет, такого правила нет. Банк оценивает операции по совокупности признаков в рамках 115-ФЗ, а ориентир из рекомендаций ЦБ касается доли налоговых платежей в обороте по счёту, а не налоговой нагрузки к выручке.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Где посмотреть данные по своей отрасли?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 сайте ФНС: показатели публикуются ежегодно, последние — за 2025 год. Рассчитать свою нагрузку можно калькулятором сервиса «Прозрачный бизнес».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Источники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2 столбца × 5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Что подтверждает | Документ</w:t>
      </w:r>
    </w:p>
    <w:p>
      <w:pPr>
        <w:spacing w:after="60"/>
      </w:pPr>
      <w:r>
        <w:rPr>
          <w:rFonts w:ascii="Times New Roman" w:cs="Times New Roman" w:eastAsia="Times New Roman" w:hAnsi="Times New Roman"/>
          <w:b w:val="false"/>
          <w:bCs w:val="false"/>
          <w:color w:val="000000"/>
          <w:sz w:val="20"/>
          <w:szCs w:val="20"/>
        </w:rPr>
        <w:t xml:space="preserve">Среднеотраслевые показатели налоговой нагрузки за 2025 год и методика расчёта | Информация ФНС России от 05.05.2026; приложение № 3 к приказу ФНС России от 30.05.2007 № ММ-3-06/333@</w:t>
      </w:r>
    </w:p>
    <w:p>
      <w:pPr>
        <w:spacing w:after="60"/>
      </w:pPr>
      <w:r>
        <w:rPr>
          <w:rFonts w:ascii="Times New Roman" w:cs="Times New Roman" w:eastAsia="Times New Roman" w:hAnsi="Times New Roman"/>
          <w:b w:val="false"/>
          <w:bCs w:val="false"/>
          <w:color w:val="000000"/>
          <w:sz w:val="20"/>
          <w:szCs w:val="20"/>
        </w:rPr>
        <w:t xml:space="preserve">Низкая налоговая нагрузка как критерий отбора на выездную проверку | приказ ФНС России от 30.05.2007 № ММ-3-06/333@ «Об утверждении Концепции системы планирования выездных налоговых проверок»</w:t>
      </w:r>
    </w:p>
    <w:p>
      <w:pPr>
        <w:spacing w:after="60"/>
      </w:pPr>
      <w:r>
        <w:rPr>
          <w:rFonts w:ascii="Times New Roman" w:cs="Times New Roman" w:eastAsia="Times New Roman" w:hAnsi="Times New Roman"/>
          <w:b w:val="false"/>
          <w:bCs w:val="false"/>
          <w:color w:val="000000"/>
          <w:sz w:val="20"/>
          <w:szCs w:val="20"/>
        </w:rPr>
        <w:t xml:space="preserve">Ставка НДС 22%, пороги УСН и ПСН, тарифы страховых взносов с 2026 года | Федеральный закон от 28.11.2025 № 425-ФЗ</w:t>
      </w:r>
    </w:p>
    <w:p>
      <w:pPr>
        <w:spacing w:after="60"/>
      </w:pPr>
      <w:r>
        <w:rPr>
          <w:rFonts w:ascii="Times New Roman" w:cs="Times New Roman" w:eastAsia="Times New Roman" w:hAnsi="Times New Roman"/>
          <w:b w:val="false"/>
          <w:bCs w:val="false"/>
          <w:color w:val="000000"/>
          <w:sz w:val="20"/>
          <w:szCs w:val="20"/>
        </w:rPr>
        <w:t xml:space="preserve">Оценка операций клиентов банками | Федеральный закон от 07.08.2001 № 115-ФЗ; методические рекомендации Банка России от 21.07.2017 № 18-МР</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Информация актуальна на 27.10.2026.</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【CTA: выделить визуально, контактов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Посчитать свою нагрузку несложно, а вот понять, почему она отличается от отраслевой и что с этим делать, — работа на стыке учёта и налогов. Если хотите узнать, как ваш показатель выглядит на фоне отрасли и какие законные способы снизить его подходят именно вам, оставьте заявку на налоговый консалтинг: посчитаем на ваших цифрах и покажем, что можно изменить.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【ПОДПИСЬ: вывести в конце статьи, отдельной строкой】</w:t>
      </w:r>
    </w:p>
    <w:p>
      <w:pPr>
        <w:spacing w:after="60"/>
      </w:pPr>
      <w:r>
        <w:rPr>
          <w:rFonts w:ascii="Times New Roman" w:cs="Times New Roman" w:eastAsia="Times New Roman" w:hAnsi="Times New Roman"/>
          <w:b w:val="false"/>
          <w:bCs w:val="false"/>
          <w:color w:val="000000"/>
          <w:sz w:val="20"/>
          <w:szCs w:val="20"/>
        </w:rPr>
        <w:t xml:space="preserve">Материал подготовлен при помощи ИИ, проверен экспертом 1+1 Еленой Веневцевой.</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ВНУТРЕННИЕ И ВНЕШНИЕ ССЫЛКИ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【ССЫЛКА: «Налоговые льготы в регионах» сделать гиперссылкой → https://1-plus-1.ru/news/nalogovye-lgoty-v-regionakh/】</w:t>
      </w:r>
    </w:p>
    <w:p>
      <w:pPr>
        <w:spacing w:after="60"/>
      </w:pPr>
      <w:r>
        <w:rPr>
          <w:rFonts w:ascii="Consolas" w:cs="Consolas" w:eastAsia="Consolas" w:hAnsi="Consolas"/>
          <w:b w:val="false"/>
          <w:bCs w:val="false"/>
          <w:color w:val="806000"/>
          <w:sz w:val="20"/>
          <w:szCs w:val="20"/>
        </w:rPr>
        <w:t xml:space="preserve">【ССЫЛКА: «Амнистия за дробление бизнеса» сделать гиперссылкой → https://1-plus-1.ru/news/amnistiya-za-droblenie-biznesa-kak-ona-rabotaet-i-chto-uspet-do-kontsa-2026-goda/】</w:t>
      </w:r>
    </w:p>
    <w:p>
      <w:pPr>
        <w:spacing w:after="60"/>
      </w:pPr>
      <w:r>
        <w:rPr>
          <w:rFonts w:ascii="Consolas" w:cs="Consolas" w:eastAsia="Consolas" w:hAnsi="Consolas"/>
          <w:b w:val="false"/>
          <w:bCs w:val="false"/>
          <w:color w:val="806000"/>
          <w:sz w:val="20"/>
          <w:szCs w:val="20"/>
        </w:rPr>
        <w:t xml:space="preserve">【ССЫЛКА: «Ошибки бухгалтера: восемь примеров из практики аудита» сделать гиперссылкой → https://1-plus-1.ru/news/samye-rasprostranennye-kosyaki-v-bukhgalterii-kotorye-my-vyyavlyaem-pri-auditakh-i-chem-oni-grozyat/】</w:t>
      </w:r>
    </w:p>
    <w:p>
      <w:pPr>
        <w:spacing w:after="60"/>
      </w:pPr>
      <w:r>
        <w:rPr>
          <w:rFonts w:ascii="Consolas" w:cs="Consolas" w:eastAsia="Consolas" w:hAnsi="Consolas"/>
          <w:b w:val="false"/>
          <w:bCs w:val="false"/>
          <w:color w:val="806000"/>
          <w:sz w:val="20"/>
          <w:szCs w:val="20"/>
        </w:rPr>
        <w:t xml:space="preserve">【ССЫЛКА: «Информация ФНС России от 05.05.2026» → https://base.garant.ru/414173177/】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«приказу ФНС России от 30.05.2007 № ММ-3-06/333@» → https://www.consultant.ru/document/cons_doc_LAW_55729/2ff7a8c72de3994f30496a0ccbb1ddafdaddf518/】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«приказ ФНС России от 30.05.2007 № ММ-3-06/333@» → https://www.consultant.ru/document/cons_doc_LAW_55729/2ff7a8c72de3994f30496a0ccbb1ddafdaddf518/】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«Федеральный закон от 28.11.2025 № 425-ФЗ» → https://www.consultant.ru/document/cons_doc_LAW_520020/】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«Федеральный закон от 07.08.2001 № 115-ФЗ» → https://www.consultant.ru/document/cons_doc_LAW_32834/】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«методические рекомендации Банка России от 21.07.2017 № 18-МР» → https://www.garant.ru/products/ipo/prime/doc/71629876/】 【ЗАКРЫТЬ ОТ ИНДЕКСАЦИИ: rel="nofollow noindex"】</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【ССЫЛКА: в призыве к действию слова «инициативный аудит» → /finansoviy-konsalting/initsiativnyy-audit-bukhgalterii/ (ПОСТАВИТЬ РЕАЛЬНЫЙ АДРЕС)】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ПЕРЕД ПУБЛИКАЦИЕЙ</w:t>
      </w:r>
    </w:p>
    <w:p>
      <w:pPr>
        <w:spacing w:after="60"/>
      </w:pPr>
      <w:r>
        <w:rPr>
          <w:rFonts w:ascii="Times New Roman" w:cs="Times New Roman" w:eastAsia="Times New Roman" w:hAnsi="Times New Roman"/>
          <w:b w:val="false"/>
          <w:bCs w:val="false"/>
          <w:color w:val="000000"/>
          <w:sz w:val="20"/>
          <w:szCs w:val="20"/>
        </w:rPr>
        <w:t xml:space="preserve">☐ Один H1</w:t>
      </w:r>
    </w:p>
    <w:p>
      <w:pPr>
        <w:spacing w:after="60"/>
      </w:pPr>
      <w:r>
        <w:rPr>
          <w:rFonts w:ascii="Times New Roman" w:cs="Times New Roman" w:eastAsia="Times New Roman" w:hAnsi="Times New Roman"/>
          <w:b w:val="false"/>
          <w:bCs w:val="false"/>
          <w:color w:val="000000"/>
          <w:sz w:val="20"/>
          <w:szCs w:val="20"/>
        </w:rPr>
        <w:t xml:space="preserve">☐ Meta title и description — в поля CMS</w:t>
      </w:r>
    </w:p>
    <w:p>
      <w:pPr>
        <w:spacing w:after="60"/>
      </w:pPr>
      <w:r>
        <w:rPr>
          <w:rFonts w:ascii="Times New Roman" w:cs="Times New Roman" w:eastAsia="Times New Roman" w:hAnsi="Times New Roman"/>
          <w:b w:val="false"/>
          <w:bCs w:val="false"/>
          <w:color w:val="000000"/>
          <w:sz w:val="20"/>
          <w:szCs w:val="20"/>
        </w:rPr>
        <w:t xml:space="preserve">☐ URL задан, прежний адрес сохранён</w:t>
      </w:r>
    </w:p>
    <w:p>
      <w:pPr>
        <w:spacing w:after="60"/>
      </w:pPr>
      <w:r>
        <w:rPr>
          <w:rFonts w:ascii="Times New Roman" w:cs="Times New Roman" w:eastAsia="Times New Roman" w:hAnsi="Times New Roman"/>
          <w:b w:val="false"/>
          <w:bCs w:val="false"/>
          <w:color w:val="000000"/>
          <w:sz w:val="20"/>
          <w:szCs w:val="20"/>
        </w:rPr>
        <w:t xml:space="preserve">☐ Внутренние ссылки ведут на реальные страницы</w:t>
      </w:r>
    </w:p>
    <w:p>
      <w:pPr>
        <w:spacing w:after="60"/>
      </w:pPr>
      <w:r>
        <w:rPr>
          <w:rFonts w:ascii="Times New Roman" w:cs="Times New Roman" w:eastAsia="Times New Roman" w:hAnsi="Times New Roman"/>
          <w:b w:val="false"/>
          <w:bCs w:val="false"/>
          <w:color w:val="000000"/>
          <w:sz w:val="20"/>
          <w:szCs w:val="20"/>
        </w:rPr>
        <w:t xml:space="preserve">☐ Внешние ссылки закрыты nofollow noindex</w:t>
      </w:r>
    </w:p>
    <w:p>
      <w:pPr>
        <w:spacing w:after="60"/>
      </w:pPr>
      <w:r>
        <w:rPr>
          <w:rFonts w:ascii="Times New Roman" w:cs="Times New Roman" w:eastAsia="Times New Roman" w:hAnsi="Times New Roman"/>
          <w:b w:val="false"/>
          <w:bCs w:val="false"/>
          <w:color w:val="000000"/>
          <w:sz w:val="20"/>
          <w:szCs w:val="20"/>
        </w:rPr>
        <w:t xml:space="preserve">☐ Таблицы вставлены таблицами</w:t>
      </w:r>
    </w:p>
    <w:p>
      <w:pPr>
        <w:spacing w:after="60"/>
      </w:pPr>
      <w:r>
        <w:rPr>
          <w:rFonts w:ascii="Times New Roman" w:cs="Times New Roman" w:eastAsia="Times New Roman" w:hAnsi="Times New Roman"/>
          <w:b w:val="false"/>
          <w:bCs w:val="false"/>
          <w:color w:val="000000"/>
          <w:sz w:val="20"/>
          <w:szCs w:val="20"/>
        </w:rPr>
        <w:t xml:space="preserve">☐ Списки оформлены списками</w:t>
      </w:r>
    </w:p>
    <w:p>
      <w:pPr>
        <w:spacing w:after="60"/>
      </w:pPr>
      <w:r>
        <w:rPr>
          <w:rFonts w:ascii="Times New Roman" w:cs="Times New Roman" w:eastAsia="Times New Roman" w:hAnsi="Times New Roman"/>
          <w:b w:val="false"/>
          <w:bCs w:val="false"/>
          <w:color w:val="000000"/>
          <w:sz w:val="20"/>
          <w:szCs w:val="20"/>
        </w:rPr>
        <w:t xml:space="preserve">☐ Вопрос-ответ с разметкой FAQPage</w:t>
      </w:r>
    </w:p>
    <w:p>
      <w:pPr>
        <w:spacing w:after="60"/>
      </w:pPr>
      <w:r>
        <w:rPr>
          <w:rFonts w:ascii="Times New Roman" w:cs="Times New Roman" w:eastAsia="Times New Roman" w:hAnsi="Times New Roman"/>
          <w:b w:val="false"/>
          <w:bCs w:val="false"/>
          <w:color w:val="000000"/>
          <w:sz w:val="20"/>
          <w:szCs w:val="20"/>
        </w:rPr>
        <w:t xml:space="preserve">☐ CTA выделен, контактов в нём нет</w:t>
      </w:r>
    </w:p>
    <w:p>
      <w:pPr>
        <w:spacing w:after="60"/>
      </w:pPr>
      <w:r>
        <w:rPr>
          <w:rFonts w:ascii="Times New Roman" w:cs="Times New Roman" w:eastAsia="Times New Roman" w:hAnsi="Times New Roman"/>
          <w:b w:val="false"/>
          <w:bCs w:val="false"/>
          <w:color w:val="000000"/>
          <w:sz w:val="20"/>
          <w:szCs w:val="20"/>
        </w:rPr>
        <w:t xml:space="preserve">☐ Подпись эксперта выведена в конце статьи</w:t>
      </w:r>
    </w:p>
    <w:p>
      <w:pPr>
        <w:spacing w:after="60"/>
      </w:pPr>
      <w:r>
        <w:rPr>
          <w:rFonts w:ascii="Times New Roman" w:cs="Times New Roman" w:eastAsia="Times New Roman" w:hAnsi="Times New Roman"/>
          <w:b w:val="false"/>
          <w:bCs w:val="false"/>
          <w:color w:val="000000"/>
          <w:sz w:val="20"/>
          <w:szCs w:val="20"/>
        </w:rPr>
        <w:t xml:space="preserve">☐ Служебные пометки [ ] и 【 】 удалены</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размещения</dc:title>
  <dc:creator>1+1</dc:creator>
  <cp:lastModifiedBy>Un-named</cp:lastModifiedBy>
  <cp:revision>1</cp:revision>
  <dcterms:created xsi:type="dcterms:W3CDTF">2026-10-28T10:48:44.943Z</dcterms:created>
  <dcterms:modified xsi:type="dcterms:W3CDTF">2026-10-28T10:48:44.943Z</dcterms:modified>
</cp:coreProperties>
</file>

<file path=docProps/custom.xml><?xml version="1.0" encoding="utf-8"?>
<Properties xmlns="http://schemas.openxmlformats.org/officeDocument/2006/custom-properties" xmlns:vt="http://schemas.openxmlformats.org/officeDocument/2006/docPropsVTypes"/>
</file>