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rPr>
        <w:t xml:space="preserve">Как читать документ</w:t>
      </w:r>
    </w:p>
    <w:p>
      <w:pPr>
        <w:spacing w:after="60"/>
      </w:pPr>
      <w:r>
        <w:rPr>
          <w:rFonts w:ascii="Arial" w:cs="Arial" w:eastAsia="Arial" w:hAnsi="Arial"/>
          <w:sz w:val="20"/>
          <w:szCs w:val="20"/>
        </w:rPr>
        <w:t xml:space="preserve">Белый фон без пометки — текст исходной статьи, не менялся.</w:t>
      </w:r>
    </w:p>
    <w:p>
      <w:pPr>
        <w:shd w:fill="D9EAD3" w:color="auto" w:val="clear"/>
        <w:spacing w:after="60"/>
      </w:pPr>
      <w:r>
        <w:rPr>
          <w:rFonts w:ascii="Arial" w:cs="Arial" w:eastAsia="Arial" w:hAnsi="Arial"/>
          <w:sz w:val="20"/>
          <w:szCs w:val="20"/>
        </w:rPr>
        <w:t xml:space="preserve">   Зелёный — добавлено по ТЗ, этого в статье не было.</w:t>
      </w:r>
    </w:p>
    <w:p>
      <w:pPr>
        <w:shd w:fill="FFF2CC" w:color="auto" w:val="clear"/>
        <w:spacing w:after="60"/>
      </w:pPr>
      <w:r>
        <w:rPr>
          <w:rFonts w:ascii="Arial" w:cs="Arial" w:eastAsia="Arial" w:hAnsi="Arial"/>
          <w:sz w:val="20"/>
          <w:szCs w:val="20"/>
        </w:rPr>
        <w:t xml:space="preserve">   Жёлтый — исправлено по первоисточнику: факт устарел или был неверен. Под каждым таким местом указан документ.</w:t>
      </w:r>
    </w:p>
    <w:p>
      <w:pPr>
        <w:shd w:fill="DEEAF6" w:color="auto" w:val="clear"/>
        <w:spacing w:after="60"/>
      </w:pPr>
      <w:r>
        <w:rPr>
          <w:rFonts w:ascii="Arial" w:cs="Arial" w:eastAsia="Arial" w:hAnsi="Arial"/>
          <w:sz w:val="20"/>
          <w:szCs w:val="20"/>
        </w:rPr>
        <w:t xml:space="preserve">   Голубой — правка языка: смысл прежний, формулировка приведена к голосу компании.</w:t>
      </w:r>
    </w:p>
    <w:p>
      <w:pPr>
        <w:spacing w:after="260"/>
      </w:pPr>
      <w:r>
        <w:rPr>
          <w:rFonts w:ascii="Arial" w:cs="Arial" w:eastAsia="Arial" w:hAnsi="Arial"/>
          <w:i/>
          <w:iCs/>
          <w:color w:val="666666"/>
          <w:sz w:val="20"/>
          <w:szCs w:val="20"/>
        </w:rPr>
        <w:t xml:space="preserve">Серым курсивом с отступом — источник факта. В публикуемый текст эти строки не идут.</w:t>
      </w:r>
    </w:p>
    <w:p>
      <w:pPr>
        <w:pBdr>
          <w:bottom w:val="single" w:color="BBBBBB" w:sz="6"/>
        </w:pBdr>
        <w:spacing w:after="240"/>
      </w:pPr>
    </w:p>
    <w:p>
      <w:pPr>
        <w:spacing w:after="200"/>
      </w:pPr>
      <w:r>
        <w:rPr>
          <w:rFonts w:ascii="Arial" w:cs="Arial" w:eastAsia="Arial" w:hAnsi="Arial"/>
          <w:b/>
          <w:bCs/>
          <w:sz w:val="32"/>
          <w:szCs w:val="32"/>
        </w:rPr>
        <w:t xml:space="preserve">Налоговая нагрузка в 2026 году: как считать, с чем сравнивать и что проверяет ФНС</w:t>
      </w:r>
    </w:p>
    <w:p>
      <w:pPr>
        <w:spacing w:after="240"/>
      </w:pPr>
      <w:r>
        <w:rPr>
          <w:rFonts w:ascii="Arial" w:cs="Arial" w:eastAsia="Arial" w:hAnsi="Arial"/>
          <w:b w:val="false"/>
          <w:bCs w:val="false"/>
          <w:i w:val="false"/>
          <w:iCs w:val="false"/>
          <w:color w:val="666666"/>
          <w:sz w:val="18"/>
          <w:szCs w:val="18"/>
        </w:rPr>
        <w:t xml:space="preserve">Дорабатываем статью: </w:t>
      </w:r>
      <w:hyperlink w:history="1" r:id="rId5yxi2t7tkn3wdi9mivkjw">
        <w:r>
          <w:rPr>
            <w:rFonts w:ascii="Arial" w:cs="Arial" w:eastAsia="Arial" w:hAnsi="Arial"/>
            <w:color w:val="0563C1"/>
            <w:sz w:val="18"/>
            <w:szCs w:val="18"/>
            <w:u w:val="single"/>
          </w:rPr>
          <w:t xml:space="preserve">1-plus-1.ru/news/nalogovaya-nagruzka/</w:t>
        </w:r>
      </w:hyperlink>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bCs/>
          <w:i w:val="false"/>
          <w:iCs w:val="false"/>
          <w:sz w:val="22"/>
          <w:szCs w:val="22"/>
        </w:rPr>
        <w:t xml:space="preserve">Утверждение про банки и порог 1% не подтвердилось.</w:t>
      </w:r>
      <w:r>
        <w:rPr>
          <w:rFonts w:ascii="Times New Roman" w:cs="Times New Roman" w:eastAsia="Times New Roman" w:hAnsi="Times New Roman"/>
          <w:b w:val="false"/>
          <w:bCs w:val="false"/>
          <w:i w:val="false"/>
          <w:iCs w:val="false"/>
          <w:sz w:val="22"/>
          <w:szCs w:val="22"/>
        </w:rPr>
        <w:t xml:space="preserve"> ТЗ просило проверить фразу о том, что по 115-ФЗ налоговая нагрузка менее 1% считается признаком легализации. Неточны все три части: порога нет в самом законе, речь в рекомендациях ЦБ идёт о другом показателе — доле налоговых платежей в обороте по счёту, — и сам по себе он не основание для отказа в обслуживании. Как универсальное правило не оставляем, разбор ниже в своём разделе.</w:t>
      </w:r>
    </w:p>
    <w:p>
      <w:pPr>
        <w:spacing w:after="120" w:before="300"/>
      </w:pPr>
      <w:r>
        <w:rPr>
          <w:rFonts w:ascii="Arial" w:cs="Arial" w:eastAsia="Arial" w:hAnsi="Arial"/>
          <w:b/>
          <w:bCs/>
          <w:color w:val="1F3864"/>
          <w:sz w:val="26"/>
          <w:szCs w:val="26"/>
        </w:rPr>
        <w:t xml:space="preserve">Коротко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 Время чтения: 9 минут</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Налоговая нагрузка — доля выручки, которую компания перечисляет в бюджет в виде налогов. ФНС считает её как отношение уплаченных налогов к доходам и ежегодно публикует среднеотраслевые значения: по всем отраслям за 2025 год — </w:t>
      </w:r>
      <w:r>
        <w:rPr>
          <w:rFonts w:ascii="Times New Roman" w:cs="Times New Roman" w:eastAsia="Times New Roman" w:hAnsi="Times New Roman"/>
          <w:b/>
          <w:bCs/>
          <w:i w:val="false"/>
          <w:iCs w:val="false"/>
          <w:sz w:val="22"/>
          <w:szCs w:val="22"/>
        </w:rPr>
        <w:t xml:space="preserve">11,9%</w:t>
      </w:r>
      <w:r>
        <w:rPr>
          <w:rFonts w:ascii="Times New Roman" w:cs="Times New Roman" w:eastAsia="Times New Roman" w:hAnsi="Times New Roman"/>
          <w:b w:val="false"/>
          <w:bCs w:val="false"/>
          <w:i w:val="false"/>
          <w:iCs w:val="false"/>
          <w:sz w:val="22"/>
          <w:szCs w:val="22"/>
        </w:rPr>
        <w:t xml:space="preserve">.</w:t>
      </w:r>
    </w:p>
    <w:p>
      <w:pPr>
        <w:shd w:fill="D9EAD3" w:color="auto" w:val="clear"/>
        <w:spacing w:after="140" w:line="300"/>
      </w:pPr>
      <w:r>
        <w:rPr>
          <w:rFonts w:ascii="Times New Roman" w:cs="Times New Roman" w:eastAsia="Times New Roman" w:hAnsi="Times New Roman"/>
          <w:b/>
          <w:bCs/>
          <w:i w:val="false"/>
          <w:iCs w:val="false"/>
          <w:sz w:val="22"/>
          <w:szCs w:val="22"/>
        </w:rPr>
        <w:t xml:space="preserve">Зачем это собственнику.</w:t>
      </w:r>
      <w:r>
        <w:rPr>
          <w:rFonts w:ascii="Times New Roman" w:cs="Times New Roman" w:eastAsia="Times New Roman" w:hAnsi="Times New Roman"/>
          <w:b w:val="false"/>
          <w:bCs w:val="false"/>
          <w:i w:val="false"/>
          <w:iCs w:val="false"/>
          <w:sz w:val="22"/>
          <w:szCs w:val="22"/>
        </w:rPr>
        <w:t xml:space="preserve"> Нагрузка заметно ниже среднеотраслевой — общедоступный критерий, по которому компания может попасть в план выездных проверок.</w:t>
      </w:r>
    </w:p>
    <w:p>
      <w:pPr>
        <w:shd w:fill="D9EAD3" w:color="auto" w:val="clear"/>
        <w:spacing w:after="140" w:line="300"/>
      </w:pPr>
      <w:r>
        <w:rPr>
          <w:rFonts w:ascii="Times New Roman" w:cs="Times New Roman" w:eastAsia="Times New Roman" w:hAnsi="Times New Roman"/>
          <w:b/>
          <w:bCs/>
          <w:i w:val="false"/>
          <w:iCs w:val="false"/>
          <w:sz w:val="22"/>
          <w:szCs w:val="22"/>
        </w:rPr>
        <w:t xml:space="preserve">С чем сравнивать.</w:t>
      </w:r>
      <w:r>
        <w:rPr>
          <w:rFonts w:ascii="Times New Roman" w:cs="Times New Roman" w:eastAsia="Times New Roman" w:hAnsi="Times New Roman"/>
          <w:b w:val="false"/>
          <w:bCs w:val="false"/>
          <w:i w:val="false"/>
          <w:iCs w:val="false"/>
          <w:sz w:val="22"/>
          <w:szCs w:val="22"/>
        </w:rPr>
        <w:t xml:space="preserve"> Не с «нормальным процентом» вообще, а со значением своей отрасли: разброс огромный — от 2,6% в оптовой торговле до 51,7% в добыче топливно-энергетических ископаемых.</w:t>
      </w:r>
    </w:p>
    <w:p>
      <w:pPr>
        <w:shd w:fill="D9EAD3" w:color="auto" w:val="clear"/>
        <w:spacing w:after="140" w:line="300"/>
      </w:pPr>
      <w:r>
        <w:rPr>
          <w:rFonts w:ascii="Times New Roman" w:cs="Times New Roman" w:eastAsia="Times New Roman" w:hAnsi="Times New Roman"/>
          <w:b/>
          <w:bCs/>
          <w:i w:val="false"/>
          <w:iCs w:val="false"/>
          <w:sz w:val="22"/>
          <w:szCs w:val="22"/>
        </w:rPr>
        <w:t xml:space="preserve">Почему 2026 год считается отдельно.</w:t>
      </w:r>
      <w:r>
        <w:rPr>
          <w:rFonts w:ascii="Times New Roman" w:cs="Times New Roman" w:eastAsia="Times New Roman" w:hAnsi="Times New Roman"/>
          <w:b w:val="false"/>
          <w:bCs w:val="false"/>
          <w:i w:val="false"/>
          <w:iCs w:val="false"/>
          <w:sz w:val="22"/>
          <w:szCs w:val="22"/>
        </w:rPr>
        <w:t xml:space="preserve"> Выросла ставка НДС, снизились пороги УСН и ПСН, изменились тарифы взносов. Нагрузка вырастет у многих механически, и сравнивать её со своим прошлым годом без поправки на это нельзя.</w:t>
      </w:r>
    </w:p>
    <w:p>
      <w:pPr>
        <w:spacing w:after="160"/>
        <w:ind w:left="200"/>
      </w:pPr>
      <w:r>
        <w:rPr>
          <w:rFonts w:ascii="Arial" w:cs="Arial" w:eastAsia="Arial" w:hAnsi="Arial"/>
          <w:b w:val="false"/>
          <w:bCs w:val="false"/>
          <w:i/>
          <w:iCs/>
          <w:color w:val="666666"/>
          <w:sz w:val="18"/>
          <w:szCs w:val="18"/>
        </w:rPr>
        <w:t xml:space="preserve">Источник: </w:t>
      </w:r>
      <w:hyperlink w:history="1" r:id="rIdauhjkx7rjutuj3abugsax">
        <w:r>
          <w:rPr>
            <w:rFonts w:ascii="Arial" w:cs="Arial" w:eastAsia="Arial" w:hAnsi="Arial"/>
            <w:color w:val="0563C1"/>
            <w:sz w:val="18"/>
            <w:szCs w:val="18"/>
            <w:u w:val="single"/>
          </w:rPr>
          <w:t xml:space="preserve">Информация ФНС России от 05.05.2026</w:t>
        </w:r>
      </w:hyperlink>
      <w:r>
        <w:rPr>
          <w:rFonts w:ascii="Arial" w:cs="Arial" w:eastAsia="Arial" w:hAnsi="Arial"/>
          <w:b w:val="false"/>
          <w:bCs w:val="false"/>
          <w:i/>
          <w:iCs/>
          <w:color w:val="666666"/>
          <w:sz w:val="18"/>
          <w:szCs w:val="18"/>
        </w:rPr>
        <w:t xml:space="preserve"> (приложение № 3 к </w:t>
      </w:r>
      <w:hyperlink w:history="1" r:id="rId-7xjrdhtzjv_kso_lzinb">
        <w:r>
          <w:rPr>
            <w:rFonts w:ascii="Arial" w:cs="Arial" w:eastAsia="Arial" w:hAnsi="Arial"/>
            <w:color w:val="0563C1"/>
            <w:sz w:val="18"/>
            <w:szCs w:val="18"/>
            <w:u w:val="single"/>
          </w:rPr>
          <w:t xml:space="preserve">приказу ФНС от 30.05.2007 № ММ-3-06/333@</w:t>
        </w:r>
      </w:hyperlink>
      <w:r>
        <w:rPr>
          <w:rFonts w:ascii="Arial" w:cs="Arial" w:eastAsia="Arial" w:hAnsi="Arial"/>
          <w:b w:val="false"/>
          <w:bCs w:val="false"/>
          <w:i/>
          <w:iCs/>
          <w:color w:val="666666"/>
          <w:sz w:val="18"/>
          <w:szCs w:val="18"/>
        </w:rPr>
        <w:t xml:space="preserve">); </w:t>
      </w:r>
      <w:hyperlink w:history="1" r:id="rIdlojeh0w1sdn-x_ylxyovq">
        <w:r>
          <w:rPr>
            <w:rFonts w:ascii="Arial" w:cs="Arial" w:eastAsia="Arial" w:hAnsi="Arial"/>
            <w:color w:val="0563C1"/>
            <w:sz w:val="18"/>
            <w:szCs w:val="18"/>
            <w:u w:val="single"/>
          </w:rPr>
          <w:t xml:space="preserve">Федеральный закон от 28.11.2025 № 425-ФЗ</w:t>
        </w:r>
      </w:hyperlink>
    </w:p>
    <w:p>
      <w:pPr>
        <w:spacing w:after="120" w:before="300"/>
      </w:pPr>
      <w:r>
        <w:rPr>
          <w:rFonts w:ascii="Arial" w:cs="Arial" w:eastAsia="Arial" w:hAnsi="Arial"/>
          <w:b/>
          <w:bCs/>
          <w:color w:val="1F3864"/>
          <w:sz w:val="26"/>
          <w:szCs w:val="26"/>
        </w:rPr>
        <w:t xml:space="preserve">Содержание</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Что такое налоговая нагрузка</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Как её рассчитать</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С чем сравнивать: показатели по отраслям за 2025 год</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Почему в 2026 году показатель нужно считать заново</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Кто и зачем следит за уровнем налоговой нагрузки</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Чем грозит низкая налоговая нагрузка</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Как снизить налоговую нагрузку без рисков</w:t>
      </w:r>
    </w:p>
    <w:p>
      <w:pPr>
        <w:spacing w:after="120" w:before="300"/>
      </w:pPr>
      <w:r>
        <w:rPr>
          <w:rFonts w:ascii="Arial" w:cs="Arial" w:eastAsia="Arial" w:hAnsi="Arial"/>
          <w:b/>
          <w:bCs/>
          <w:color w:val="1F3864"/>
          <w:sz w:val="26"/>
          <w:szCs w:val="26"/>
        </w:rPr>
        <w:t xml:space="preserve">Что такое налоговая нагрузка</w:t>
      </w:r>
    </w:p>
    <w:p>
      <w:pPr>
        <w:spacing w:after="140" w:line="300"/>
      </w:pPr>
      <w:r>
        <w:rPr>
          <w:rFonts w:ascii="Times New Roman" w:cs="Times New Roman" w:eastAsia="Times New Roman" w:hAnsi="Times New Roman"/>
          <w:b w:val="false"/>
          <w:bCs w:val="false"/>
          <w:i w:val="false"/>
          <w:iCs w:val="false"/>
          <w:sz w:val="22"/>
          <w:szCs w:val="22"/>
        </w:rPr>
        <w:t xml:space="preserve">Знаете ли вы, какая у вашего бизнеса налоговая нагрузка? То есть какую долю от выручки компании вы перечисляете в бюджет в виде налоговых платежей?</w:t>
      </w:r>
    </w:p>
    <w:p>
      <w:pPr>
        <w:spacing w:after="140" w:line="300"/>
      </w:pPr>
      <w:r>
        <w:rPr>
          <w:rFonts w:ascii="Times New Roman" w:cs="Times New Roman" w:eastAsia="Times New Roman" w:hAnsi="Times New Roman"/>
          <w:b w:val="false"/>
          <w:bCs w:val="false"/>
          <w:i w:val="false"/>
          <w:iCs w:val="false"/>
          <w:sz w:val="22"/>
          <w:szCs w:val="22"/>
        </w:rPr>
        <w:t xml:space="preserve">А вот налоговая знает — и сравнивает ваш показатель со средними по отрасли, чтобы определить, в каких компаниях стоит назначить выездную проверку в первую очередь.</w:t>
      </w:r>
    </w:p>
    <w:p>
      <w:pPr>
        <w:spacing w:after="140" w:line="300"/>
      </w:pPr>
      <w:r>
        <w:rPr>
          <w:rFonts w:ascii="Times New Roman" w:cs="Times New Roman" w:eastAsia="Times New Roman" w:hAnsi="Times New Roman"/>
          <w:b w:val="false"/>
          <w:bCs w:val="false"/>
          <w:i w:val="false"/>
          <w:iCs w:val="false"/>
          <w:sz w:val="22"/>
          <w:szCs w:val="22"/>
        </w:rPr>
        <w:t xml:space="preserve">Итак, налоговая нагрузка — доля выручки организации, которая в среднем приходится на уплату налогов в бюджет. Рассчитывается как отношение уплаченных налогов к доходам организации.</w:t>
      </w:r>
    </w:p>
    <w:p>
      <w:pPr>
        <w:spacing w:after="140" w:line="300"/>
      </w:pPr>
      <w:r>
        <w:rPr>
          <w:rFonts w:ascii="Times New Roman" w:cs="Times New Roman" w:eastAsia="Times New Roman" w:hAnsi="Times New Roman"/>
          <w:b w:val="false"/>
          <w:bCs w:val="false"/>
          <w:i w:val="false"/>
          <w:iCs w:val="false"/>
          <w:sz w:val="22"/>
          <w:szCs w:val="22"/>
        </w:rPr>
        <w:t xml:space="preserve">Уровень налоговой нагрузки может отличаться у разных компаний в зависимости от отрасли, масштабов компании и выбранного налогового режима, а также региональных факторов, которые могут повлиять на ведение бизнеса.</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Страховые взносы в расчёт налоговой нагрузки по методике ФНС не входят — в таблице ведомства они идут отдельной справочной графой. Но для внутреннего финансового учёта их стоит принимать во внимание: для компании это такие же деньги, уходящие из оборота.</w:t>
      </w:r>
    </w:p>
    <w:p>
      <w:pPr>
        <w:shd w:fill="FFF2CC" w:color="auto" w:val="clear"/>
        <w:spacing w:after="140"/>
      </w:pPr>
      <w:r>
        <w:rPr>
          <w:rFonts w:ascii="Arial" w:cs="Arial" w:eastAsia="Arial" w:hAnsi="Arial"/>
          <w:b w:val="false"/>
          <w:bCs w:val="false"/>
          <w:i/>
          <w:iCs/>
          <w:color w:val="666666"/>
          <w:sz w:val="18"/>
          <w:szCs w:val="18"/>
        </w:rPr>
        <w:t xml:space="preserve">Смысл исходной фразы сохранён, добавлено, откуда это видно: в таблице ФНС есть отдельная графа «справочно: фискальная нагрузка по СВ».</w:t>
      </w:r>
    </w:p>
    <w:p>
      <w:pPr>
        <w:spacing w:after="120" w:before="300"/>
      </w:pPr>
      <w:r>
        <w:rPr>
          <w:rFonts w:ascii="Arial" w:cs="Arial" w:eastAsia="Arial" w:hAnsi="Arial"/>
          <w:b/>
          <w:bCs/>
          <w:color w:val="1F3864"/>
          <w:sz w:val="26"/>
          <w:szCs w:val="26"/>
        </w:rPr>
        <w:t xml:space="preserve">Как рассчитать налоговую нагрузку</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Формула, по которой считает ФНС:</w:t>
      </w:r>
    </w:p>
    <w:p>
      <w:pPr>
        <w:shd w:fill="D9EAD3" w:color="auto" w:val="clear"/>
        <w:spacing w:after="140" w:line="300"/>
      </w:pPr>
      <w:r>
        <w:rPr>
          <w:rFonts w:ascii="Times New Roman" w:cs="Times New Roman" w:eastAsia="Times New Roman" w:hAnsi="Times New Roman"/>
          <w:b/>
          <w:bCs/>
          <w:i w:val="false"/>
          <w:iCs w:val="false"/>
          <w:sz w:val="22"/>
          <w:szCs w:val="22"/>
        </w:rPr>
        <w:t xml:space="preserve">Налоговая нагрузка = сумма уплаченных налогов ÷ оборот (выручка) × 100%</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Что важно знать о расчёте:</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берутся уплаченные налоги, а не начисленные;</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страховые взносы в расчёт не входят — они считаются отдельно;</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оборот берётся без НДС;</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показатель считается за календарный год.</w:t>
      </w:r>
    </w:p>
    <w:p>
      <w:pPr>
        <w:spacing w:after="140" w:line="300"/>
      </w:pPr>
      <w:r>
        <w:rPr>
          <w:rFonts w:ascii="Times New Roman" w:cs="Times New Roman" w:eastAsia="Times New Roman" w:hAnsi="Times New Roman"/>
          <w:b w:val="false"/>
          <w:bCs w:val="false"/>
          <w:i w:val="false"/>
          <w:iCs w:val="false"/>
          <w:sz w:val="22"/>
          <w:szCs w:val="22"/>
        </w:rPr>
        <w:t xml:space="preserve">Самостоятельно рассчитать свою нагрузку можно с помощью калькулятора на сервисе налоговой «Прозрачный бизнес» (pb.nalog.ru).</w:t>
      </w:r>
    </w:p>
    <w:p>
      <w:pPr>
        <w:spacing w:after="120" w:before="300"/>
      </w:pPr>
      <w:r>
        <w:rPr>
          <w:rFonts w:ascii="Arial" w:cs="Arial" w:eastAsia="Arial" w:hAnsi="Arial"/>
          <w:b/>
          <w:bCs/>
          <w:color w:val="1F3864"/>
          <w:sz w:val="26"/>
          <w:szCs w:val="26"/>
        </w:rPr>
        <w:t xml:space="preserve">С чем сравнивать: показатели налоговой нагрузки организаций за 2025 год</w:t>
      </w:r>
    </w:p>
    <w:p>
      <w:pPr>
        <w:spacing w:after="140" w:line="300"/>
      </w:pPr>
      <w:r>
        <w:rPr>
          <w:rFonts w:ascii="Times New Roman" w:cs="Times New Roman" w:eastAsia="Times New Roman" w:hAnsi="Times New Roman"/>
          <w:b w:val="false"/>
          <w:bCs w:val="false"/>
          <w:i w:val="false"/>
          <w:iCs w:val="false"/>
          <w:sz w:val="22"/>
          <w:szCs w:val="22"/>
        </w:rPr>
        <w:t xml:space="preserve">Налоговая служба ежегодно размещает среднеотраслевые показатели налоговой нагрузки на своём сайте.</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Последние опубликованные данные — за 2025 год (Информация ФНС России от 05.05.2026). По всем отраслям налоговая нагрузка составила </w:t>
      </w:r>
      <w:r>
        <w:rPr>
          <w:rFonts w:ascii="Times New Roman" w:cs="Times New Roman" w:eastAsia="Times New Roman" w:hAnsi="Times New Roman"/>
          <w:b/>
          <w:bCs/>
          <w:i w:val="false"/>
          <w:iCs w:val="false"/>
          <w:sz w:val="22"/>
          <w:szCs w:val="22"/>
        </w:rPr>
        <w:t xml:space="preserve">11,9%</w:t>
      </w:r>
      <w:r>
        <w:rPr>
          <w:rFonts w:ascii="Times New Roman" w:cs="Times New Roman" w:eastAsia="Times New Roman" w:hAnsi="Times New Roman"/>
          <w:b w:val="false"/>
          <w:bCs w:val="false"/>
          <w:i w:val="false"/>
          <w:iCs w:val="false"/>
          <w:sz w:val="22"/>
          <w:szCs w:val="22"/>
        </w:rPr>
        <w:t xml:space="preserve"> против 11,6% годом ранее.</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Показатели по отраслям, в которых работают наши клиенты: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FEF" w:color="auto" w:val="clear"/>
          </w:tcPr>
          <w:p>
            <w:pPr>
              <w:spacing w:after="40"/>
            </w:pPr>
            <w:r>
              <w:rPr>
                <w:rFonts w:ascii="Times New Roman" w:cs="Times New Roman" w:eastAsia="Times New Roman" w:hAnsi="Times New Roman"/>
                <w:b/>
                <w:bCs/>
                <w:sz w:val="20"/>
                <w:szCs w:val="20"/>
              </w:rPr>
              <w:t xml:space="preserve">Отрасль</w:t>
            </w:r>
          </w:p>
        </w:tc>
        <w:tc>
          <w:tcPr>
            <w:tcW w:type="dxa" w:w="3200"/>
            <w:shd w:fill="EFEFEF" w:color="auto" w:val="clear"/>
          </w:tcPr>
          <w:p>
            <w:pPr>
              <w:spacing w:after="40"/>
            </w:pPr>
            <w:r>
              <w:rPr>
                <w:rFonts w:ascii="Times New Roman" w:cs="Times New Roman" w:eastAsia="Times New Roman" w:hAnsi="Times New Roman"/>
                <w:b/>
                <w:bCs/>
                <w:sz w:val="20"/>
                <w:szCs w:val="20"/>
              </w:rPr>
              <w:t xml:space="preserve">Налоговая нагрузка, 2025</w:t>
            </w:r>
          </w:p>
        </w:tc>
        <w:tc>
          <w:tcPr>
            <w:tcW w:type="dxa" w:w="3200"/>
            <w:shd w:fill="EFEFEF" w:color="auto" w:val="clear"/>
          </w:tcPr>
          <w:p>
            <w:pPr>
              <w:spacing w:after="40"/>
            </w:pPr>
            <w:r>
              <w:rPr>
                <w:rFonts w:ascii="Times New Roman" w:cs="Times New Roman" w:eastAsia="Times New Roman" w:hAnsi="Times New Roman"/>
                <w:b/>
                <w:bCs/>
                <w:sz w:val="20"/>
                <w:szCs w:val="20"/>
              </w:rPr>
              <w:t xml:space="preserve">Справочно: взносы</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Всего по экономике</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11,9%</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3,9%</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Обрабатывающие производства — всего</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8,7%</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2,6%</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производство пищевых продуктов, напитков, табачных изделий</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18,0%</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2,1%</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производство машин и оборудования</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13,1%</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4,4%</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обработка древесины и изделий из дерева</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5,4%</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3,9%</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металлургия и готовые металлические изделия</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5,2%</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2,6%</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Торговля оптовая и розничная — всего</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3,6%</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1,4%</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оптовая торговля</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2,6%</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0,8%</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розничная торговля</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6,3%</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3,0%</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Строительство</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15,0%</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5,1%</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Транспортировка и хранение</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7,4%</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5,0%</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Информация и связь</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15,6%</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Операции с недвижимым имуществом</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23,2%</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5,5%</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Гостиницы и общественное питание</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11,9%</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7,0%</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Сельское, лесное хозяйство, рыболовство</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5,6%</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5,3%</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Добыча топливно-энергетических полезных ископаемых</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51,7%</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1,3%</w:t>
            </w:r>
          </w:p>
        </w:tc>
      </w:tr>
    </w:tbl>
    <w:p>
      <w:pPr>
        <w:spacing w:after="100"/>
      </w:pPr>
      <w:r>
        <w:rPr>
          <w:sz w:val="12"/>
          <w:szCs w:val="12"/>
        </w:rPr>
        <w:t xml:space="preserve"/>
      </w:r>
    </w:p>
    <w:p>
      <w:pPr>
        <w:shd w:fill="FFF2CC" w:color="auto" w:val="clear"/>
        <w:spacing w:after="140"/>
      </w:pPr>
      <w:r>
        <w:rPr>
          <w:rFonts w:ascii="Arial" w:cs="Arial" w:eastAsia="Arial" w:hAnsi="Arial"/>
          <w:b w:val="false"/>
          <w:bCs w:val="false"/>
          <w:i/>
          <w:iCs/>
          <w:color w:val="666666"/>
          <w:sz w:val="18"/>
          <w:szCs w:val="18"/>
        </w:rPr>
        <w:t xml:space="preserve">В статье сейчас стоят данные 2022 года: добыча — 53%, обработка древесины — 2,3%, растениеводство — 3,2%, оптовая торговля — 3,1%. Три из четырёх цифр изменились, а обработка древесины выросла больше чем вдвое — 5,4%. Полный массив ФНС в статью не переносим, как и просило ТЗ: взяты отрасли, которые есть у наших клиентов.</w:t>
      </w:r>
    </w:p>
    <w:p>
      <w:pPr>
        <w:spacing w:after="160"/>
        <w:ind w:left="200"/>
      </w:pPr>
      <w:r>
        <w:rPr>
          <w:rFonts w:ascii="Arial" w:cs="Arial" w:eastAsia="Arial" w:hAnsi="Arial"/>
          <w:b w:val="false"/>
          <w:bCs w:val="false"/>
          <w:i/>
          <w:iCs/>
          <w:color w:val="666666"/>
          <w:sz w:val="18"/>
          <w:szCs w:val="18"/>
        </w:rPr>
        <w:t xml:space="preserve">Источник: </w:t>
      </w:r>
      <w:hyperlink w:history="1" r:id="rIdwuj50alyrlnxjya8l0h4h">
        <w:r>
          <w:rPr>
            <w:rFonts w:ascii="Arial" w:cs="Arial" w:eastAsia="Arial" w:hAnsi="Arial"/>
            <w:color w:val="0563C1"/>
            <w:sz w:val="18"/>
            <w:szCs w:val="18"/>
            <w:u w:val="single"/>
          </w:rPr>
          <w:t xml:space="preserve">Информация ФНС России от 05.05.2026</w:t>
        </w:r>
      </w:hyperlink>
      <w:r>
        <w:rPr>
          <w:rFonts w:ascii="Arial" w:cs="Arial" w:eastAsia="Arial" w:hAnsi="Arial"/>
          <w:b w:val="false"/>
          <w:bCs w:val="false"/>
          <w:i/>
          <w:iCs/>
          <w:color w:val="666666"/>
          <w:sz w:val="18"/>
          <w:szCs w:val="18"/>
        </w:rPr>
        <w:t xml:space="preserve">, приложение № 3 к </w:t>
      </w:r>
      <w:hyperlink w:history="1" r:id="rIdgj4c6odnuwygsu96g-6sc">
        <w:r>
          <w:rPr>
            <w:rFonts w:ascii="Arial" w:cs="Arial" w:eastAsia="Arial" w:hAnsi="Arial"/>
            <w:color w:val="0563C1"/>
            <w:sz w:val="18"/>
            <w:szCs w:val="18"/>
            <w:u w:val="single"/>
          </w:rPr>
          <w:t xml:space="preserve">приказу ФНС России от 30.05.2007 № ММ-3-06/333@</w:t>
        </w:r>
      </w:hyperlink>
      <w:r>
        <w:rPr>
          <w:rFonts w:ascii="Arial" w:cs="Arial" w:eastAsia="Arial" w:hAnsi="Arial"/>
          <w:b w:val="false"/>
          <w:bCs w:val="false"/>
          <w:i/>
          <w:iCs/>
          <w:color w:val="666666"/>
          <w:sz w:val="18"/>
          <w:szCs w:val="18"/>
        </w:rPr>
        <w:t xml:space="preserve">. Цифры сняты с таблицы первоисточника 27.10.2026</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Главное при сравнении — брать свою строку, а не общий показатель. Разброс между отраслями больше чем в двадцать раз: 2,6% в оптовой торговле и 51,7% в добыче. Нагрузка 4% для оптовой торговли — обычное дело, для пищевого производства — причина для вопросов со стороны инспекции.</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На показатель влияют ещё три вещи, которые таблица не учитывает: налоговый режим (на упрощёнке нагрузка к выручке почти всегда ниже, чем на общей системе), масштаб бизнеса и регион. Приказ содержит общероссийскую таблицу, но инспекция на месте может смотреть и на региональные данные.</w:t>
      </w:r>
    </w:p>
    <w:p>
      <w:pPr>
        <w:spacing w:after="120" w:before="300"/>
      </w:pPr>
      <w:r>
        <w:rPr>
          <w:rFonts w:ascii="Arial" w:cs="Arial" w:eastAsia="Arial" w:hAnsi="Arial"/>
          <w:b/>
          <w:bCs/>
          <w:color w:val="1F3864"/>
          <w:sz w:val="26"/>
          <w:szCs w:val="26"/>
        </w:rPr>
        <w:t xml:space="preserve">Почему в 2026 году показатель нужно считать заново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С 2026 года изменились сразу несколько параметров, от которых зависит сумма налогов:</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Основная ставка НДС — 22%</w:t>
      </w:r>
      <w:r>
        <w:rPr>
          <w:rFonts w:ascii="Times New Roman" w:cs="Times New Roman" w:eastAsia="Times New Roman" w:hAnsi="Times New Roman"/>
          <w:b w:val="false"/>
          <w:bCs w:val="false"/>
          <w:i w:val="false"/>
          <w:iCs w:val="false"/>
          <w:sz w:val="22"/>
          <w:szCs w:val="22"/>
        </w:rPr>
        <w:t xml:space="preserve"> вместо 20% с 1 января 2026 года. Пониженные ставки не изменились.</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Порог освобождения от НДС на упрощёнке снижается.</w:t>
      </w:r>
      <w:r>
        <w:rPr>
          <w:rFonts w:ascii="Times New Roman" w:cs="Times New Roman" w:eastAsia="Times New Roman" w:hAnsi="Times New Roman"/>
          <w:b w:val="false"/>
          <w:bCs w:val="false"/>
          <w:i w:val="false"/>
          <w:iCs w:val="false"/>
          <w:sz w:val="22"/>
          <w:szCs w:val="22"/>
        </w:rPr>
        <w:t xml:space="preserve"> Он считается по доходам за предыдущий год: чтобы не платить НДС в 2026 году, доходы за 2025-й должны быть не больше 20 млн рублей. Дальше порог опускается до 15 млн, затем до 10 млн. Компании, которые раньше НДС не платили, становятся плательщиками.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Для патента</w:t>
      </w:r>
      <w:r>
        <w:rPr>
          <w:rFonts w:ascii="Times New Roman" w:cs="Times New Roman" w:eastAsia="Times New Roman" w:hAnsi="Times New Roman"/>
          <w:b w:val="false"/>
          <w:bCs w:val="false"/>
          <w:i w:val="false"/>
          <w:iCs w:val="false"/>
          <w:sz w:val="22"/>
          <w:szCs w:val="22"/>
        </w:rPr>
        <w:t xml:space="preserve"> право утрачивается при доходах свыше 20 млн рублей, и этот порог тоже снижается поэтапно до 10 млн.</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Пониженные тарифы страховых взносов для МСП</w:t>
      </w:r>
      <w:r>
        <w:rPr>
          <w:rFonts w:ascii="Times New Roman" w:cs="Times New Roman" w:eastAsia="Times New Roman" w:hAnsi="Times New Roman"/>
          <w:b w:val="false"/>
          <w:bCs w:val="false"/>
          <w:i w:val="false"/>
          <w:iCs w:val="false"/>
          <w:sz w:val="22"/>
          <w:szCs w:val="22"/>
        </w:rPr>
        <w:t xml:space="preserve"> сохранены только для приоритетных отраслей, остальные переведены на общий тариф. Для ИТ-компаний единый пониженный тариф поднят до 15% в пределах предельной базы.</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Для собственника отсюда следует практический вывод: сравнивать нагрузку 2026 года со своей же за 2025-й без поправки на эти изменения бессмысленно. Рост показателя может не означать, что бизнес стал платить «правильнее» — он может быть механическим следствием новых ставок и порогов.</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Обратная ситуация тоже требует внимания: если при таких изменениях нагрузка осталась на прежнем уровне, стоит разобраться в причинах до того, как это сделает инспекция.</w:t>
      </w:r>
    </w:p>
    <w:p>
      <w:pPr>
        <w:spacing w:after="160"/>
        <w:ind w:left="200"/>
      </w:pPr>
      <w:r>
        <w:rPr>
          <w:rFonts w:ascii="Arial" w:cs="Arial" w:eastAsia="Arial" w:hAnsi="Arial"/>
          <w:b w:val="false"/>
          <w:bCs w:val="false"/>
          <w:i/>
          <w:iCs/>
          <w:color w:val="666666"/>
          <w:sz w:val="18"/>
          <w:szCs w:val="18"/>
        </w:rPr>
        <w:t xml:space="preserve">Источник: </w:t>
      </w:r>
      <w:hyperlink w:history="1" r:id="rIdesyox88znaazublv9hp2k">
        <w:r>
          <w:rPr>
            <w:rFonts w:ascii="Arial" w:cs="Arial" w:eastAsia="Arial" w:hAnsi="Arial"/>
            <w:color w:val="0563C1"/>
            <w:sz w:val="18"/>
            <w:szCs w:val="18"/>
            <w:u w:val="single"/>
          </w:rPr>
          <w:t xml:space="preserve">Федеральный закон от 28.11.2025 № 425-ФЗ</w:t>
        </w:r>
      </w:hyperlink>
      <w:r>
        <w:rPr>
          <w:rFonts w:ascii="Arial" w:cs="Arial" w:eastAsia="Arial" w:hAnsi="Arial"/>
          <w:b w:val="false"/>
          <w:bCs w:val="false"/>
          <w:i/>
          <w:iCs/>
          <w:color w:val="666666"/>
          <w:sz w:val="18"/>
          <w:szCs w:val="18"/>
        </w:rPr>
        <w:t xml:space="preserve"> (действует в редакции от 26.06.2026); ставка НДС — </w:t>
      </w:r>
      <w:hyperlink w:history="1" r:id="rId59fdeeqn17tao_uzdzx4e">
        <w:r>
          <w:rPr>
            <w:rFonts w:ascii="Arial" w:cs="Arial" w:eastAsia="Arial" w:hAnsi="Arial"/>
            <w:color w:val="0563C1"/>
            <w:sz w:val="18"/>
            <w:szCs w:val="18"/>
            <w:u w:val="single"/>
          </w:rPr>
          <w:t xml:space="preserve">ст. 164 НК РФ</w:t>
        </w:r>
      </w:hyperlink>
      <w:r>
        <w:rPr>
          <w:rFonts w:ascii="Arial" w:cs="Arial" w:eastAsia="Arial" w:hAnsi="Arial"/>
          <w:b w:val="false"/>
          <w:bCs w:val="false"/>
          <w:i/>
          <w:iCs/>
          <w:color w:val="666666"/>
          <w:sz w:val="18"/>
          <w:szCs w:val="18"/>
        </w:rPr>
        <w:t xml:space="preserve">; порог освобождения на УСН — </w:t>
      </w:r>
      <w:hyperlink w:history="1" r:id="rId5_m1dfifzi-rkj9b9y-xx">
        <w:r>
          <w:rPr>
            <w:rFonts w:ascii="Arial" w:cs="Arial" w:eastAsia="Arial" w:hAnsi="Arial"/>
            <w:color w:val="0563C1"/>
            <w:sz w:val="18"/>
            <w:szCs w:val="18"/>
            <w:u w:val="single"/>
          </w:rPr>
          <w:t xml:space="preserve">обзор изменений ст. 145 НК РФ</w:t>
        </w:r>
      </w:hyperlink>
      <w:r>
        <w:rPr>
          <w:rFonts w:ascii="Arial" w:cs="Arial" w:eastAsia="Arial" w:hAnsi="Arial"/>
          <w:b w:val="false"/>
          <w:bCs w:val="false"/>
          <w:i/>
          <w:iCs/>
          <w:color w:val="666666"/>
          <w:sz w:val="18"/>
          <w:szCs w:val="18"/>
        </w:rPr>
        <w:t xml:space="preserve">. Проверено 27.10.2026</w:t>
      </w:r>
    </w:p>
    <w:p>
      <w:pPr>
        <w:spacing w:after="120" w:before="300"/>
      </w:pPr>
      <w:r>
        <w:rPr>
          <w:rFonts w:ascii="Arial" w:cs="Arial" w:eastAsia="Arial" w:hAnsi="Arial"/>
          <w:b/>
          <w:bCs/>
          <w:color w:val="1F3864"/>
          <w:sz w:val="26"/>
          <w:szCs w:val="26"/>
        </w:rPr>
        <w:t xml:space="preserve">Кто и зачем следит за уровнем налоговой нагрузки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Налоговая служба.</w:t>
      </w:r>
      <w:r>
        <w:rPr>
          <w:rFonts w:ascii="Times New Roman" w:cs="Times New Roman" w:eastAsia="Times New Roman" w:hAnsi="Times New Roman"/>
          <w:b w:val="false"/>
          <w:bCs w:val="false"/>
          <w:i w:val="false"/>
          <w:iCs w:val="false"/>
          <w:sz w:val="22"/>
          <w:szCs w:val="22"/>
        </w:rPr>
        <w:t xml:space="preserve"> Для неё налоговая нагрузка — основной индикатор налоговой дисциплины. Инспекция сравнивает показатель компании со среднеотраслевым по её виду деятельности и использует отклонение как один из критериев отбора на выездную проверку.</w:t>
      </w:r>
    </w:p>
    <w:p>
      <w:pPr>
        <w:shd w:fill="D9EAD3" w:color="auto" w:val="clear"/>
        <w:spacing w:after="140" w:line="300"/>
      </w:pPr>
      <w:r>
        <w:rPr>
          <w:rFonts w:ascii="Times New Roman" w:cs="Times New Roman" w:eastAsia="Times New Roman" w:hAnsi="Times New Roman"/>
          <w:b/>
          <w:bCs/>
          <w:i w:val="false"/>
          <w:iCs w:val="false"/>
          <w:sz w:val="22"/>
          <w:szCs w:val="22"/>
        </w:rPr>
        <w:t xml:space="preserve">Сам бизнес.</w:t>
      </w:r>
      <w:r>
        <w:rPr>
          <w:rFonts w:ascii="Times New Roman" w:cs="Times New Roman" w:eastAsia="Times New Roman" w:hAnsi="Times New Roman"/>
          <w:b w:val="false"/>
          <w:bCs w:val="false"/>
          <w:i w:val="false"/>
          <w:iCs w:val="false"/>
          <w:sz w:val="22"/>
          <w:szCs w:val="22"/>
        </w:rPr>
        <w:t xml:space="preserve"> Показатель показывает, насколько удачно выбран налоговый режим. Нагрузка заметно выше отраслевой — возможно, компания переплачивает и режим подобран неудачно. Заметно ниже — есть риск вопросов.</w:t>
      </w:r>
    </w:p>
    <w:p>
      <w:pPr>
        <w:shd w:fill="D9EAD3" w:color="auto" w:val="clear"/>
        <w:spacing w:after="140" w:line="300"/>
      </w:pPr>
      <w:r>
        <w:rPr>
          <w:rFonts w:ascii="Times New Roman" w:cs="Times New Roman" w:eastAsia="Times New Roman" w:hAnsi="Times New Roman"/>
          <w:b/>
          <w:bCs/>
          <w:i w:val="false"/>
          <w:iCs w:val="false"/>
          <w:sz w:val="22"/>
          <w:szCs w:val="22"/>
        </w:rPr>
        <w:t xml:space="preserve">Банки.</w:t>
      </w:r>
      <w:r>
        <w:rPr>
          <w:rFonts w:ascii="Times New Roman" w:cs="Times New Roman" w:eastAsia="Times New Roman" w:hAnsi="Times New Roman"/>
          <w:b w:val="false"/>
          <w:bCs w:val="false"/>
          <w:i w:val="false"/>
          <w:iCs w:val="false"/>
          <w:sz w:val="22"/>
          <w:szCs w:val="22"/>
        </w:rPr>
        <w:t xml:space="preserve"> Они смотрят не на налоговую нагрузку в понимании ФНС, а на операции по счёту — об этом ниже отдельно.</w:t>
      </w:r>
    </w:p>
    <w:p>
      <w:pPr>
        <w:shd w:fill="D9EAD3" w:color="auto" w:val="clear"/>
        <w:spacing w:after="140" w:line="300"/>
      </w:pPr>
      <w:r>
        <w:rPr>
          <w:rFonts w:ascii="Times New Roman" w:cs="Times New Roman" w:eastAsia="Times New Roman" w:hAnsi="Times New Roman"/>
          <w:b/>
          <w:bCs/>
          <w:i w:val="false"/>
          <w:iCs w:val="false"/>
          <w:sz w:val="22"/>
          <w:szCs w:val="22"/>
        </w:rPr>
        <w:t xml:space="preserve">Контрагенты и инвесторы.</w:t>
      </w:r>
      <w:r>
        <w:rPr>
          <w:rFonts w:ascii="Times New Roman" w:cs="Times New Roman" w:eastAsia="Times New Roman" w:hAnsi="Times New Roman"/>
          <w:b w:val="false"/>
          <w:bCs w:val="false"/>
          <w:i w:val="false"/>
          <w:iCs w:val="false"/>
          <w:sz w:val="22"/>
          <w:szCs w:val="22"/>
        </w:rPr>
        <w:t xml:space="preserve"> Данные о компании доступны в сервисе «Прозрачный бизнес», и при проверке партнёра на них обращают внимание.</w:t>
      </w:r>
    </w:p>
    <w:p>
      <w:pPr>
        <w:spacing w:after="120" w:before="300"/>
      </w:pPr>
      <w:r>
        <w:rPr>
          <w:rFonts w:ascii="Arial" w:cs="Arial" w:eastAsia="Arial" w:hAnsi="Arial"/>
          <w:b/>
          <w:bCs/>
          <w:color w:val="1F3864"/>
          <w:sz w:val="26"/>
          <w:szCs w:val="26"/>
        </w:rPr>
        <w:t xml:space="preserve">Что смотрят банки</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Банки действительно оценивают операции клиентов — этого требует закон о противодействии легализации доходов (115-ФЗ). Но оценивают они совокупность признаков, а не один показатель.</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Ориентир, на который чаще всего ссылаются, появился не в законе, а в методических рекомендациях Банка России от 21.07.2017 № 18-МР. И речь там о другом показателе: доля налоговых платежей, уплаченных со счёта, в </w:t>
      </w:r>
      <w:r>
        <w:rPr>
          <w:rFonts w:ascii="Times New Roman" w:cs="Times New Roman" w:eastAsia="Times New Roman" w:hAnsi="Times New Roman"/>
          <w:b/>
          <w:bCs/>
          <w:i w:val="false"/>
          <w:iCs w:val="false"/>
          <w:sz w:val="22"/>
          <w:szCs w:val="22"/>
        </w:rPr>
        <w:t xml:space="preserve">дебетовом обороте по этому счёту</w:t>
      </w:r>
      <w:r>
        <w:rPr>
          <w:rFonts w:ascii="Times New Roman" w:cs="Times New Roman" w:eastAsia="Times New Roman" w:hAnsi="Times New Roman"/>
          <w:b w:val="false"/>
          <w:bCs w:val="false"/>
          <w:i w:val="false"/>
          <w:iCs w:val="false"/>
          <w:sz w:val="22"/>
          <w:szCs w:val="22"/>
        </w:rPr>
        <w:t xml:space="preserve">. Это не налоговая нагрузка по методике ФНС, где налоги соотносят с выручкой: компания может платить налоги с другого счёта или иметь большой оборот по счёту при небольшой выручке.</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Главное: сам по себе этот показатель не является достаточным основанием признать операции сомнительными. Банк оценивает его вместе с другими признаками и вправе установить собственный уровень.</w:t>
      </w:r>
    </w:p>
    <w:p>
      <w:pPr>
        <w:shd w:fill="FFF2CC" w:color="auto" w:val="clear"/>
        <w:spacing w:after="140"/>
      </w:pPr>
      <w:r>
        <w:rPr>
          <w:rFonts w:ascii="Arial" w:cs="Arial" w:eastAsia="Arial" w:hAnsi="Arial"/>
          <w:b w:val="false"/>
          <w:bCs w:val="false"/>
          <w:i/>
          <w:iCs/>
          <w:color w:val="666666"/>
          <w:sz w:val="18"/>
          <w:szCs w:val="18"/>
        </w:rPr>
        <w:t xml:space="preserve">В статье сейчас: «Согласно требованиям закона 115-ФЗ налоговая нагрузка менее 1% считается одним из признаков легализации и может повлечь за собой отказ банка обслуживать вашу компанию». ТЗ просило это проверить. Неточны три вещи: порога нет в законе; показатель другой (0,9% от оборота по счёту, а не нагрузка к выручке); сам по себе он не основание для отказа. Кроме того, подтвердить, что рекомендации 2017 года действуют в прежнем виде на 2026 год, по доступным источникам не удалось, поэтому конкретную цифру как действующую норму не приводим.</w:t>
      </w:r>
    </w:p>
    <w:p>
      <w:pPr>
        <w:spacing w:after="120" w:before="300"/>
      </w:pPr>
      <w:r>
        <w:rPr>
          <w:rFonts w:ascii="Arial" w:cs="Arial" w:eastAsia="Arial" w:hAnsi="Arial"/>
          <w:b/>
          <w:bCs/>
          <w:color w:val="1F3864"/>
          <w:sz w:val="26"/>
          <w:szCs w:val="26"/>
        </w:rPr>
        <w:t xml:space="preserve">Чем грозит низкая налоговая нагрузка</w:t>
      </w:r>
    </w:p>
    <w:p>
      <w:pPr>
        <w:spacing w:after="140" w:line="300"/>
      </w:pPr>
      <w:r>
        <w:rPr>
          <w:rFonts w:ascii="Times New Roman" w:cs="Times New Roman" w:eastAsia="Times New Roman" w:hAnsi="Times New Roman"/>
          <w:b w:val="false"/>
          <w:bCs w:val="false"/>
          <w:i w:val="false"/>
          <w:iCs w:val="false"/>
          <w:sz w:val="22"/>
          <w:szCs w:val="22"/>
        </w:rPr>
        <w:t xml:space="preserve">Само по себе отклонение от среднеотраслевого значения не является достаточным основанием для доначисления налогов. Но если показатель на протяжении нескольких лет находится на стабильно низком уровне, это может стать основанием для проведения выездной налоговой проверки.</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Это предусмотрено Концепцией системы планирования выездных налоговых проверок, утверждённой приказом ФНС России от 30.05.2007 № ММ-3-06/333@. Низкая нагрузка — первый из общедоступных критериев, по которым налогоплательщик может самостоятельно оценить свои риски.</w:t>
      </w:r>
    </w:p>
    <w:p>
      <w:pPr>
        <w:shd w:fill="FFF2CC" w:color="auto" w:val="clear"/>
        <w:spacing w:after="140"/>
      </w:pPr>
      <w:r>
        <w:rPr>
          <w:rFonts w:ascii="Arial" w:cs="Arial" w:eastAsia="Arial" w:hAnsi="Arial"/>
          <w:b w:val="false"/>
          <w:bCs w:val="false"/>
          <w:i/>
          <w:iCs/>
          <w:color w:val="666666"/>
          <w:sz w:val="18"/>
          <w:szCs w:val="18"/>
        </w:rPr>
        <w:t xml:space="preserve">В статье приказ назван без номера. Добавлен номер и указано, что это критерий самостоятельной оценки рисков — у него есть официальное название.</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Что происходит на практике до проверки: инспекция запрашивает пояснения или приглашает на комиссию. Это не санкция, а возможность объяснить причину. Причины бывают вполне законные: компания вложилась в оборудование и заявила вычеты, работала с убытком, применяет льготу, только начала деятельность или сменила режим. Объяснение с документами на этом этапе закрывает вопрос.</w:t>
      </w:r>
    </w:p>
    <w:p>
      <w:pPr>
        <w:spacing w:after="120" w:before="300"/>
      </w:pPr>
      <w:r>
        <w:rPr>
          <w:rFonts w:ascii="Arial" w:cs="Arial" w:eastAsia="Arial" w:hAnsi="Arial"/>
          <w:b/>
          <w:bCs/>
          <w:color w:val="1F3864"/>
          <w:sz w:val="26"/>
          <w:szCs w:val="26"/>
        </w:rPr>
        <w:t xml:space="preserve">Как снизить налоговую нагрузку без рисков для бизнеса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Законная оптимизация складывается из двух частей: выбрать условия, которые закон и так предоставляет, и корректно учесть то, что уже есть.</w:t>
      </w:r>
    </w:p>
    <w:p>
      <w:pPr>
        <w:shd w:fill="D9EAD3" w:color="auto" w:val="clear"/>
        <w:spacing w:after="140" w:line="300"/>
      </w:pPr>
      <w:r>
        <w:rPr>
          <w:rFonts w:ascii="Times New Roman" w:cs="Times New Roman" w:eastAsia="Times New Roman" w:hAnsi="Times New Roman"/>
          <w:b/>
          <w:bCs/>
          <w:i w:val="false"/>
          <w:iCs w:val="false"/>
          <w:sz w:val="22"/>
          <w:szCs w:val="22"/>
        </w:rPr>
        <w:t xml:space="preserve">Что работает:</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Выбор налогового режима под реальную экономику бизнеса.</w:t>
      </w:r>
      <w:r>
        <w:rPr>
          <w:rFonts w:ascii="Times New Roman" w:cs="Times New Roman" w:eastAsia="Times New Roman" w:hAnsi="Times New Roman"/>
          <w:b w:val="false"/>
          <w:bCs w:val="false"/>
          <w:i w:val="false"/>
          <w:iCs w:val="false"/>
          <w:sz w:val="22"/>
          <w:szCs w:val="22"/>
        </w:rPr>
        <w:t xml:space="preserve"> Доля расходов, состав контрагентов, нужен ли им НДС — от этого зависит, какой режим выгоднее. С учётом новых порогов 2026 года расчёт стоит сделать заново.</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Применение льгот, на которые компания имеет право:</w:t>
      </w:r>
      <w:r>
        <w:rPr>
          <w:rFonts w:ascii="Times New Roman" w:cs="Times New Roman" w:eastAsia="Times New Roman" w:hAnsi="Times New Roman"/>
          <w:b w:val="false"/>
          <w:bCs w:val="false"/>
          <w:i w:val="false"/>
          <w:iCs w:val="false"/>
          <w:sz w:val="22"/>
          <w:szCs w:val="22"/>
        </w:rPr>
        <w:t xml:space="preserve"> пониженные региональные ставки, льготные тарифы взносов для приоритетных отраслей, отраслевые льготы по НДС.</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Полный учёт расходов и вычетов.</w:t>
      </w:r>
      <w:r>
        <w:rPr>
          <w:rFonts w:ascii="Times New Roman" w:cs="Times New Roman" w:eastAsia="Times New Roman" w:hAnsi="Times New Roman"/>
          <w:b w:val="false"/>
          <w:bCs w:val="false"/>
          <w:i w:val="false"/>
          <w:iCs w:val="false"/>
          <w:sz w:val="22"/>
          <w:szCs w:val="22"/>
        </w:rPr>
        <w:t xml:space="preserve"> Самая частая переплата возникает не из-за режима, а из-за документов: расход был, а подтверждающего документа нет, и в базу он не попал.</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Правильный расчёт себестоимости.</w:t>
      </w:r>
      <w:r>
        <w:rPr>
          <w:rFonts w:ascii="Times New Roman" w:cs="Times New Roman" w:eastAsia="Times New Roman" w:hAnsi="Times New Roman"/>
          <w:b w:val="false"/>
          <w:bCs w:val="false"/>
          <w:i w:val="false"/>
          <w:iCs w:val="false"/>
          <w:sz w:val="22"/>
          <w:szCs w:val="22"/>
        </w:rPr>
        <w:t xml:space="preserve"> Ошибка здесь завышает или занижает налог на прибыль, и собственник не видит реальной маржинальности.</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Контроль сроков.</w:t>
      </w:r>
      <w:r>
        <w:rPr>
          <w:rFonts w:ascii="Times New Roman" w:cs="Times New Roman" w:eastAsia="Times New Roman" w:hAnsi="Times New Roman"/>
          <w:b w:val="false"/>
          <w:bCs w:val="false"/>
          <w:i w:val="false"/>
          <w:iCs w:val="false"/>
          <w:sz w:val="22"/>
          <w:szCs w:val="22"/>
        </w:rPr>
        <w:t xml:space="preserve"> Пени и штрафы увеличивают налоговую нагрузку, не принося компании ничего взамен.</w:t>
      </w:r>
    </w:p>
    <w:p>
      <w:pPr>
        <w:shd w:fill="D9EAD3" w:color="auto" w:val="clear"/>
        <w:spacing w:after="140" w:line="300"/>
      </w:pPr>
      <w:r>
        <w:rPr>
          <w:rFonts w:ascii="Times New Roman" w:cs="Times New Roman" w:eastAsia="Times New Roman" w:hAnsi="Times New Roman"/>
          <w:b/>
          <w:bCs/>
          <w:i w:val="false"/>
          <w:iCs w:val="false"/>
          <w:sz w:val="22"/>
          <w:szCs w:val="22"/>
        </w:rPr>
        <w:t xml:space="preserve">Что не является оптимизацией</w:t>
      </w:r>
      <w:r>
        <w:rPr>
          <w:rFonts w:ascii="Times New Roman" w:cs="Times New Roman" w:eastAsia="Times New Roman" w:hAnsi="Times New Roman"/>
          <w:b w:val="false"/>
          <w:bCs w:val="false"/>
          <w:i w:val="false"/>
          <w:iCs w:val="false"/>
          <w:sz w:val="22"/>
          <w:szCs w:val="22"/>
        </w:rPr>
        <w:t xml:space="preserve"> и приводит к доначислениям: разделение бизнеса между несколькими лицами ради сохранения спецрежимов, оформление сотрудников как самозанятых при фактических трудовых отношениях, расходы и вычеты по документам от компаний, которые деятельность не ведут. Все три схемы инспекция выявляет по данным, которые уже есть в её распоряжении.</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И ещё одно. Цель — не минимальная нагрузка, а обоснованная: показатель, который вы можете подтвердить документами, безопаснее низкого показателя без объяснения.</w:t>
      </w:r>
    </w:p>
    <w:p>
      <w:pPr>
        <w:spacing w:after="120" w:before="300"/>
      </w:pPr>
      <w:r>
        <w:rPr>
          <w:rFonts w:ascii="Arial" w:cs="Arial" w:eastAsia="Arial" w:hAnsi="Arial"/>
          <w:b/>
          <w:bCs/>
          <w:color w:val="1F3864"/>
          <w:sz w:val="26"/>
          <w:szCs w:val="26"/>
        </w:rPr>
        <w:t xml:space="preserve">Читать ещё</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hyperlink w:history="1" r:id="rIdf6lecu4-h3hzwyspcz5go">
        <w:r>
          <w:rPr>
            <w:rFonts w:ascii="Times New Roman" w:cs="Times New Roman" w:eastAsia="Times New Roman" w:hAnsi="Times New Roman"/>
            <w:color w:val="0563C1"/>
            <w:sz w:val="22"/>
            <w:szCs w:val="22"/>
            <w:u w:val="single"/>
          </w:rPr>
          <w:t xml:space="preserve">Налоговые льготы в регионах</w:t>
        </w:r>
      </w:hyperlink>
      <w:r>
        <w:rPr>
          <w:rFonts w:ascii="Times New Roman" w:cs="Times New Roman" w:eastAsia="Times New Roman" w:hAnsi="Times New Roman"/>
          <w:b w:val="false"/>
          <w:bCs w:val="false"/>
          <w:i w:val="false"/>
          <w:iCs w:val="false"/>
          <w:sz w:val="22"/>
          <w:szCs w:val="22"/>
        </w:rPr>
        <w:t xml:space="preserve"> — как устроены пониженные ставки УСН и кому они доступны с 2026 года.</w:t>
      </w:r>
    </w:p>
    <w:p>
      <w:pPr>
        <w:pStyle w:val="ListParagraph"/>
        <w:numPr>
          <w:ilvl w:val="0"/>
          <w:numId w:val="1"/>
        </w:numPr>
        <w:shd w:fill="D9EAD3" w:color="auto" w:val="clear"/>
        <w:spacing w:after="80" w:line="300"/>
      </w:pPr>
      <w:hyperlink w:history="1" r:id="rId3bwa2h3kpiczjufeaht-s">
        <w:r>
          <w:rPr>
            <w:rFonts w:ascii="Times New Roman" w:cs="Times New Roman" w:eastAsia="Times New Roman" w:hAnsi="Times New Roman"/>
            <w:color w:val="0563C1"/>
            <w:sz w:val="22"/>
            <w:szCs w:val="22"/>
            <w:u w:val="single"/>
          </w:rPr>
          <w:t xml:space="preserve">Амнистия за дробление бизнеса</w:t>
        </w:r>
      </w:hyperlink>
      <w:r>
        <w:rPr>
          <w:rFonts w:ascii="Times New Roman" w:cs="Times New Roman" w:eastAsia="Times New Roman" w:hAnsi="Times New Roman"/>
          <w:b w:val="false"/>
          <w:bCs w:val="false"/>
          <w:i w:val="false"/>
          <w:iCs w:val="false"/>
          <w:sz w:val="22"/>
          <w:szCs w:val="22"/>
        </w:rPr>
        <w:t xml:space="preserve"> — что делать, если оптимизация уже привела к вопросам у инспекции.</w:t>
      </w:r>
    </w:p>
    <w:p>
      <w:pPr>
        <w:pStyle w:val="ListParagraph"/>
        <w:numPr>
          <w:ilvl w:val="0"/>
          <w:numId w:val="1"/>
        </w:numPr>
        <w:shd w:fill="D9EAD3" w:color="auto" w:val="clear"/>
        <w:spacing w:after="80" w:line="300"/>
      </w:pPr>
      <w:hyperlink w:history="1" r:id="rIdzqzipdpb6usy0rzph8zva">
        <w:r>
          <w:rPr>
            <w:rFonts w:ascii="Times New Roman" w:cs="Times New Roman" w:eastAsia="Times New Roman" w:hAnsi="Times New Roman"/>
            <w:color w:val="0563C1"/>
            <w:sz w:val="22"/>
            <w:szCs w:val="22"/>
            <w:u w:val="single"/>
          </w:rPr>
          <w:t xml:space="preserve">Ошибки бухгалтера: восемь примеров из практики аудита</w:t>
        </w:r>
      </w:hyperlink>
      <w:r>
        <w:rPr>
          <w:rFonts w:ascii="Times New Roman" w:cs="Times New Roman" w:eastAsia="Times New Roman" w:hAnsi="Times New Roman"/>
          <w:b w:val="false"/>
          <w:bCs w:val="false"/>
          <w:i w:val="false"/>
          <w:iCs w:val="false"/>
          <w:sz w:val="22"/>
          <w:szCs w:val="22"/>
        </w:rPr>
        <w:t xml:space="preserve"> — почему переплата чаще возникает из-за учёта, а не из-за режима.</w:t>
      </w:r>
    </w:p>
    <w:p>
      <w:pPr>
        <w:spacing w:after="120" w:before="300"/>
      </w:pPr>
      <w:r>
        <w:rPr>
          <w:rFonts w:ascii="Arial" w:cs="Arial" w:eastAsia="Arial" w:hAnsi="Arial"/>
          <w:b/>
          <w:bCs/>
          <w:color w:val="1F3864"/>
          <w:sz w:val="26"/>
          <w:szCs w:val="26"/>
        </w:rPr>
        <w:t xml:space="preserve">Вопрос-ответ</w:t>
      </w:r>
    </w:p>
    <w:p>
      <w:pPr>
        <w:spacing w:after="120" w:before="200"/>
      </w:pPr>
      <w:r>
        <w:rPr>
          <w:rFonts w:ascii="Arial" w:cs="Arial" w:eastAsia="Arial" w:hAnsi="Arial"/>
          <w:b/>
          <w:bCs/>
          <w:color w:val="23251F"/>
          <w:sz w:val="22"/>
          <w:szCs w:val="22"/>
        </w:rPr>
        <w:t xml:space="preserve">Какая налоговая нагрузка считается нормальной?</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Единой нормы нет. Сравнивать нужно со значением своей отрасли: по данным за 2025 год разброс — от 2,6% в оптовой торговле до 51,7% в добыче топливно-энергетических ископаемых. Общий показатель по экономике — 11,9%.</w:t>
      </w:r>
    </w:p>
    <w:p>
      <w:pPr>
        <w:spacing w:after="120" w:before="200"/>
      </w:pPr>
      <w:r>
        <w:rPr>
          <w:rFonts w:ascii="Arial" w:cs="Arial" w:eastAsia="Arial" w:hAnsi="Arial"/>
          <w:b/>
          <w:bCs/>
          <w:color w:val="23251F"/>
          <w:sz w:val="22"/>
          <w:szCs w:val="22"/>
        </w:rPr>
        <w:t xml:space="preserve">Входят ли страховые взносы в налоговую нагрузку?</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Нет. В методике ФНС взносы показаны отдельной справочной графой. Для внутреннего учёта их стоит считать, для сравнения с таблицей ФНС — нет.</w:t>
      </w:r>
    </w:p>
    <w:p>
      <w:pPr>
        <w:spacing w:after="120" w:before="200"/>
      </w:pPr>
      <w:r>
        <w:rPr>
          <w:rFonts w:ascii="Arial" w:cs="Arial" w:eastAsia="Arial" w:hAnsi="Arial"/>
          <w:b/>
          <w:bCs/>
          <w:color w:val="23251F"/>
          <w:sz w:val="22"/>
          <w:szCs w:val="22"/>
        </w:rPr>
        <w:t xml:space="preserve">Что будет, если нагрузка ниже среднеотраслевой?</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Само по себе отклонение не влечёт доначислений. Инспекция запросит пояснения или пригласит на комиссию. Если причина законная и подтверждена документами, вопрос закрывается.</w:t>
      </w:r>
    </w:p>
    <w:p>
      <w:pPr>
        <w:spacing w:after="120" w:before="200"/>
      </w:pPr>
      <w:r>
        <w:rPr>
          <w:rFonts w:ascii="Arial" w:cs="Arial" w:eastAsia="Arial" w:hAnsi="Arial"/>
          <w:b/>
          <w:bCs/>
          <w:color w:val="23251F"/>
          <w:sz w:val="22"/>
          <w:szCs w:val="22"/>
        </w:rPr>
        <w:t xml:space="preserve">Правда ли, что при нагрузке меньше 1% банк заблокирует счёт?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Нет, такого правила нет. Банк оценивает операции по совокупности признаков в рамках 115-ФЗ, а ориентир из рекомендаций ЦБ касается доли налоговых платежей в обороте по счёту, а не налоговой нагрузки к выручке.</w:t>
      </w:r>
    </w:p>
    <w:p>
      <w:pPr>
        <w:spacing w:after="120" w:before="200"/>
      </w:pPr>
      <w:r>
        <w:rPr>
          <w:rFonts w:ascii="Arial" w:cs="Arial" w:eastAsia="Arial" w:hAnsi="Arial"/>
          <w:b/>
          <w:bCs/>
          <w:color w:val="23251F"/>
          <w:sz w:val="22"/>
          <w:szCs w:val="22"/>
        </w:rPr>
        <w:t xml:space="preserve">Где посмотреть данные по своей отрасли?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На сайте ФНС: показатели публикуются ежегодно, последние — за 2025 год. Рассчитать свою нагрузку можно калькулятором сервиса «Прозрачный бизнес».</w:t>
      </w:r>
    </w:p>
    <w:p>
      <w:pPr>
        <w:spacing w:after="120" w:before="300"/>
      </w:pPr>
      <w:r>
        <w:rPr>
          <w:rFonts w:ascii="Arial" w:cs="Arial" w:eastAsia="Arial" w:hAnsi="Arial"/>
          <w:b/>
          <w:bCs/>
          <w:color w:val="1F3864"/>
          <w:sz w:val="26"/>
          <w:szCs w:val="26"/>
        </w:rPr>
        <w:t xml:space="preserve">Источники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FEFEF" w:color="auto" w:val="clear"/>
          </w:tcPr>
          <w:p>
            <w:pPr>
              <w:spacing w:after="40"/>
            </w:pPr>
            <w:r>
              <w:rPr>
                <w:rFonts w:ascii="Times New Roman" w:cs="Times New Roman" w:eastAsia="Times New Roman" w:hAnsi="Times New Roman"/>
                <w:b/>
                <w:bCs/>
                <w:sz w:val="20"/>
                <w:szCs w:val="20"/>
              </w:rPr>
              <w:t xml:space="preserve">Что подтверждает</w:t>
            </w:r>
          </w:p>
        </w:tc>
        <w:tc>
          <w:tcPr>
            <w:tcW w:type="dxa" w:w="4400"/>
            <w:shd w:fill="EFEFEF" w:color="auto" w:val="clear"/>
          </w:tcPr>
          <w:p>
            <w:pPr>
              <w:spacing w:after="40"/>
            </w:pPr>
            <w:r>
              <w:rPr>
                <w:rFonts w:ascii="Times New Roman" w:cs="Times New Roman" w:eastAsia="Times New Roman" w:hAnsi="Times New Roman"/>
                <w:b/>
                <w:bCs/>
                <w:sz w:val="20"/>
                <w:szCs w:val="20"/>
              </w:rPr>
              <w:t xml:space="preserve">Документ</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Среднеотраслевые показатели налоговой нагрузки за 2025 год и методика расчёта</w:t>
            </w:r>
          </w:p>
        </w:tc>
        <w:tc>
          <w:tcPr>
            <w:tcW w:type="dxa" w:w="4400"/>
            <w:shd w:fill="D9EAD3" w:color="auto" w:val="clear"/>
          </w:tcPr>
          <w:p>
            <w:pPr>
              <w:spacing w:after="40"/>
            </w:pPr>
            <w:hyperlink w:history="1" r:id="rId5pijkkxlto1z0luwtoyyw">
              <w:r>
                <w:rPr>
                  <w:rFonts w:ascii="Times New Roman" w:cs="Times New Roman" w:eastAsia="Times New Roman" w:hAnsi="Times New Roman"/>
                  <w:color w:val="0563C1"/>
                  <w:sz w:val="20"/>
                  <w:szCs w:val="20"/>
                  <w:u w:val="single"/>
                </w:rPr>
                <w:t xml:space="preserve">Информация ФНС России от 05.05.2026</w:t>
              </w:r>
            </w:hyperlink>
            <w:r>
              <w:rPr>
                <w:rFonts w:ascii="Times New Roman" w:cs="Times New Roman" w:eastAsia="Times New Roman" w:hAnsi="Times New Roman"/>
                <w:b w:val="false"/>
                <w:bCs w:val="false"/>
                <w:i w:val="false"/>
                <w:iCs w:val="false"/>
                <w:sz w:val="20"/>
                <w:szCs w:val="20"/>
              </w:rPr>
              <w:t xml:space="preserve">; приложение № 3 к </w:t>
            </w:r>
            <w:hyperlink w:history="1" r:id="rIdhgmmayz-qezdgrkik2ckm">
              <w:r>
                <w:rPr>
                  <w:rFonts w:ascii="Times New Roman" w:cs="Times New Roman" w:eastAsia="Times New Roman" w:hAnsi="Times New Roman"/>
                  <w:color w:val="0563C1"/>
                  <w:sz w:val="20"/>
                  <w:szCs w:val="20"/>
                  <w:u w:val="single"/>
                </w:rPr>
                <w:t xml:space="preserve">приказу ФНС России от 30.05.2007 № ММ-3-06/333@</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Низкая налоговая нагрузка как критерий отбора на выездную проверку</w:t>
            </w:r>
          </w:p>
        </w:tc>
        <w:tc>
          <w:tcPr>
            <w:tcW w:type="dxa" w:w="4400"/>
            <w:shd w:fill="D9EAD3" w:color="auto" w:val="clear"/>
          </w:tcPr>
          <w:p>
            <w:pPr>
              <w:spacing w:after="40"/>
            </w:pPr>
            <w:hyperlink w:history="1" r:id="rIdmm6muvhnb0lys5ho3-lm4">
              <w:r>
                <w:rPr>
                  <w:rFonts w:ascii="Times New Roman" w:cs="Times New Roman" w:eastAsia="Times New Roman" w:hAnsi="Times New Roman"/>
                  <w:color w:val="0563C1"/>
                  <w:sz w:val="20"/>
                  <w:szCs w:val="20"/>
                  <w:u w:val="single"/>
                </w:rPr>
                <w:t xml:space="preserve">приказ ФНС России от 30.05.2007 № ММ-3-06/333@</w:t>
              </w:r>
            </w:hyperlink>
            <w:r>
              <w:rPr>
                <w:rFonts w:ascii="Times New Roman" w:cs="Times New Roman" w:eastAsia="Times New Roman" w:hAnsi="Times New Roman"/>
                <w:b w:val="false"/>
                <w:bCs w:val="false"/>
                <w:i w:val="false"/>
                <w:iCs w:val="false"/>
                <w:sz w:val="20"/>
                <w:szCs w:val="20"/>
              </w:rPr>
              <w:t xml:space="preserve"> «Об утверждении Концепции системы планирования выездных налоговых проверок»</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Ставка НДС 22%, пороги УСН и ПСН, тарифы страховых взносов с 2026 года</w:t>
            </w:r>
          </w:p>
        </w:tc>
        <w:tc>
          <w:tcPr>
            <w:tcW w:type="dxa" w:w="4400"/>
            <w:shd w:fill="D9EAD3" w:color="auto" w:val="clear"/>
          </w:tcPr>
          <w:p>
            <w:pPr>
              <w:spacing w:after="40"/>
            </w:pPr>
            <w:hyperlink w:history="1" r:id="rIdrq2efw1ywcastcne0u2ng">
              <w:r>
                <w:rPr>
                  <w:rFonts w:ascii="Times New Roman" w:cs="Times New Roman" w:eastAsia="Times New Roman" w:hAnsi="Times New Roman"/>
                  <w:color w:val="0563C1"/>
                  <w:sz w:val="20"/>
                  <w:szCs w:val="20"/>
                  <w:u w:val="single"/>
                </w:rPr>
                <w:t xml:space="preserve">Федеральный закон от 28.11.2025 № 425-ФЗ</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Оценка операций клиентов банками</w:t>
            </w:r>
          </w:p>
        </w:tc>
        <w:tc>
          <w:tcPr>
            <w:tcW w:type="dxa" w:w="4400"/>
            <w:shd w:fill="D9EAD3" w:color="auto" w:val="clear"/>
          </w:tcPr>
          <w:p>
            <w:pPr>
              <w:spacing w:after="40"/>
            </w:pPr>
            <w:hyperlink w:history="1" r:id="rIdw0pixadx_b4ray3sdgnal">
              <w:r>
                <w:rPr>
                  <w:rFonts w:ascii="Times New Roman" w:cs="Times New Roman" w:eastAsia="Times New Roman" w:hAnsi="Times New Roman"/>
                  <w:color w:val="0563C1"/>
                  <w:sz w:val="20"/>
                  <w:szCs w:val="20"/>
                  <w:u w:val="single"/>
                </w:rPr>
                <w:t xml:space="preserve">Федеральный закон от 07.08.2001 № 115-ФЗ</w:t>
              </w:r>
            </w:hyperlink>
            <w:r>
              <w:rPr>
                <w:rFonts w:ascii="Times New Roman" w:cs="Times New Roman" w:eastAsia="Times New Roman" w:hAnsi="Times New Roman"/>
                <w:b w:val="false"/>
                <w:bCs w:val="false"/>
                <w:i w:val="false"/>
                <w:iCs w:val="false"/>
                <w:sz w:val="20"/>
                <w:szCs w:val="20"/>
              </w:rPr>
              <w:t xml:space="preserve">; </w:t>
            </w:r>
            <w:hyperlink w:history="1" r:id="rIdk9y1gzlfz-kywnnnlmznf">
              <w:r>
                <w:rPr>
                  <w:rFonts w:ascii="Times New Roman" w:cs="Times New Roman" w:eastAsia="Times New Roman" w:hAnsi="Times New Roman"/>
                  <w:color w:val="0563C1"/>
                  <w:sz w:val="20"/>
                  <w:szCs w:val="20"/>
                  <w:u w:val="single"/>
                </w:rPr>
                <w:t xml:space="preserve">методические рекомендации Банка России от 21.07.2017 № 18-МР</w:t>
              </w:r>
            </w:hyperlink>
          </w:p>
        </w:tc>
      </w:tr>
    </w:tbl>
    <w:p>
      <w:pPr>
        <w:spacing w:after="100"/>
      </w:pPr>
      <w:r>
        <w:rPr>
          <w:sz w:val="12"/>
          <w:szCs w:val="12"/>
        </w:rPr>
        <w:t xml:space="preserve"/>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Фактура сверена 27.10.2026.</w:t>
      </w:r>
    </w:p>
    <w:p>
      <w:pPr>
        <w:spacing w:after="120" w:before="300"/>
      </w:pPr>
      <w:r>
        <w:rPr>
          <w:rFonts w:ascii="Arial" w:cs="Arial" w:eastAsia="Arial" w:hAnsi="Arial"/>
          <w:b/>
          <w:bCs/>
          <w:color w:val="1F3864"/>
          <w:sz w:val="26"/>
          <w:szCs w:val="26"/>
        </w:rPr>
        <w:t xml:space="preserve">Призыв к действию</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Посчитать свою нагрузку несложно, а вот понять, почему она отличается от отраслевой и что с этим делать, — работа на стыке учёта и налогов. Если хотите узнать, как ваш показатель выглядит на фоне отрасли и какие законные способы снизить его подходят именно вам, оставьте заявку на налоговый консалтинг: посчитаем на ваших цифрах и покажем, что можно изменить.</w:t>
      </w:r>
    </w:p>
    <w:p>
      <w:pPr>
        <w:shd w:fill="D9EAD3" w:color="auto" w:val="clear"/>
        <w:spacing w:after="140"/>
      </w:pPr>
      <w:r>
        <w:rPr>
          <w:rFonts w:ascii="Arial" w:cs="Arial" w:eastAsia="Arial" w:hAnsi="Arial"/>
          <w:b w:val="false"/>
          <w:bCs w:val="false"/>
          <w:i/>
          <w:iCs/>
          <w:color w:val="666666"/>
          <w:sz w:val="18"/>
          <w:szCs w:val="18"/>
        </w:rPr>
        <w:t xml:space="preserve">Слова «налоговый консалтинг» сделать ссылкой на /finansoviy-konsalting/optimizatsiya-nalogooblozheniya/</w:t>
      </w:r>
    </w:p>
    <w:p>
      <w:pPr>
        <w:spacing w:after="120" w:before="300"/>
      </w:pPr>
      <w:r>
        <w:rPr>
          <w:rFonts w:ascii="Arial" w:cs="Arial" w:eastAsia="Arial" w:hAnsi="Arial"/>
          <w:b/>
          <w:bCs/>
          <w:color w:val="1F3864"/>
          <w:sz w:val="26"/>
          <w:szCs w:val="26"/>
        </w:rPr>
        <w:t xml:space="preserve">Что нужно от вас</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1. Отрасли в таблице.</w:t>
      </w:r>
      <w:r>
        <w:rPr>
          <w:rFonts w:ascii="Times New Roman" w:cs="Times New Roman" w:eastAsia="Times New Roman" w:hAnsi="Times New Roman"/>
          <w:b w:val="false"/>
          <w:bCs w:val="false"/>
          <w:i w:val="false"/>
          <w:iCs w:val="false"/>
          <w:sz w:val="22"/>
          <w:szCs w:val="22"/>
        </w:rPr>
        <w:t xml:space="preserve"> Я взял те, что чаще встречаются у наших клиентов. Если нужны другие — скажите какие, добавлю из той же таблицы ФНС.</w:t>
      </w:r>
    </w:p>
    <w:p>
      <w:pPr>
        <w:shd w:fill="D9EAD3" w:color="auto" w:val="clear"/>
        <w:spacing w:after="140" w:line="300"/>
      </w:pPr>
      <w:r>
        <w:rPr>
          <w:rFonts w:ascii="Times New Roman" w:cs="Times New Roman" w:eastAsia="Times New Roman" w:hAnsi="Times New Roman"/>
          <w:b/>
          <w:bCs/>
          <w:i w:val="false"/>
          <w:iCs w:val="false"/>
          <w:sz w:val="22"/>
          <w:szCs w:val="22"/>
        </w:rPr>
        <w:t xml:space="preserve">2. Блок про банки.</w:t>
      </w:r>
      <w:r>
        <w:rPr>
          <w:rFonts w:ascii="Times New Roman" w:cs="Times New Roman" w:eastAsia="Times New Roman" w:hAnsi="Times New Roman"/>
          <w:b w:val="false"/>
          <w:bCs w:val="false"/>
          <w:i w:val="false"/>
          <w:iCs w:val="false"/>
          <w:sz w:val="22"/>
          <w:szCs w:val="22"/>
        </w:rPr>
        <w:t xml:space="preserve"> Я переписал его на то, что проверяется, и убрал цифру. Если у наших юристов есть свежая практика по отказам в обслуживании, блок можно усилить — из нормы этого не видно.</w:t>
      </w:r>
    </w:p>
    <w:p>
      <w:pPr>
        <w:shd w:fill="D9EAD3" w:color="auto" w:val="clear"/>
        <w:spacing w:after="140" w:line="300"/>
      </w:pPr>
      <w:r>
        <w:rPr>
          <w:rFonts w:ascii="Times New Roman" w:cs="Times New Roman" w:eastAsia="Times New Roman" w:hAnsi="Times New Roman"/>
          <w:b/>
          <w:bCs/>
          <w:i w:val="false"/>
          <w:iCs w:val="false"/>
          <w:sz w:val="22"/>
          <w:szCs w:val="22"/>
        </w:rPr>
        <w:t xml:space="preserve">3. Приоритетные отрасли для льготных взносов.</w:t>
      </w:r>
      <w:r>
        <w:rPr>
          <w:rFonts w:ascii="Times New Roman" w:cs="Times New Roman" w:eastAsia="Times New Roman" w:hAnsi="Times New Roman"/>
          <w:b w:val="false"/>
          <w:bCs w:val="false"/>
          <w:i w:val="false"/>
          <w:iCs w:val="false"/>
          <w:sz w:val="22"/>
          <w:szCs w:val="22"/>
        </w:rPr>
        <w:t xml:space="preserve"> В статье сказано, что тарифы сохранены для приоритетных отраслей. Перечень я не приводил — если он нужен читателю, доберу фактуру.</w:t>
      </w:r>
    </w:p>
    <w:p>
      <w:pPr>
        <w:spacing w:after="120" w:before="300"/>
      </w:pPr>
      <w:r>
        <w:rPr>
          <w:rFonts w:ascii="Arial" w:cs="Arial" w:eastAsia="Arial" w:hAnsi="Arial"/>
          <w:b/>
          <w:bCs/>
          <w:color w:val="1F3864"/>
          <w:sz w:val="26"/>
          <w:szCs w:val="26"/>
        </w:rPr>
        <w:t xml:space="preserve">Метаданные для размещения</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bCs/>
          <w:i w:val="false"/>
          <w:iCs w:val="false"/>
          <w:sz w:val="22"/>
          <w:szCs w:val="22"/>
        </w:rPr>
        <w:t xml:space="preserve">Title</w:t>
      </w:r>
      <w:r>
        <w:rPr>
          <w:rFonts w:ascii="Times New Roman" w:cs="Times New Roman" w:eastAsia="Times New Roman" w:hAnsi="Times New Roman"/>
          <w:b w:val="false"/>
          <w:bCs w:val="false"/>
          <w:i w:val="false"/>
          <w:iCs w:val="false"/>
          <w:sz w:val="22"/>
          <w:szCs w:val="22"/>
        </w:rPr>
        <w:t xml:space="preserve"> (58 знаков): Налоговая нагрузка 2026: расчёт и показатели по отраслям</w:t>
      </w:r>
    </w:p>
    <w:p>
      <w:pPr>
        <w:shd w:fill="D9EAD3" w:color="auto" w:val="clear"/>
        <w:spacing w:after="140" w:line="300"/>
      </w:pPr>
      <w:r>
        <w:rPr>
          <w:rFonts w:ascii="Times New Roman" w:cs="Times New Roman" w:eastAsia="Times New Roman" w:hAnsi="Times New Roman"/>
          <w:b/>
          <w:bCs/>
          <w:i w:val="false"/>
          <w:iCs w:val="false"/>
          <w:sz w:val="22"/>
          <w:szCs w:val="22"/>
        </w:rPr>
        <w:t xml:space="preserve">Description</w:t>
      </w:r>
      <w:r>
        <w:rPr>
          <w:rFonts w:ascii="Times New Roman" w:cs="Times New Roman" w:eastAsia="Times New Roman" w:hAnsi="Times New Roman"/>
          <w:b w:val="false"/>
          <w:bCs w:val="false"/>
          <w:i w:val="false"/>
          <w:iCs w:val="false"/>
          <w:sz w:val="22"/>
          <w:szCs w:val="22"/>
        </w:rPr>
        <w:t xml:space="preserve"> (156 знаков): Как рассчитать налоговую нагрузку организации, с какими показателями её сравнивать по данным ФНС за 2025 год и что делать, если она ниже среднеотраслевой.</w:t>
      </w:r>
    </w:p>
    <w:p>
      <w:pPr>
        <w:shd w:fill="D9EAD3" w:color="auto" w:val="clear"/>
        <w:spacing w:after="140" w:line="300"/>
      </w:pPr>
      <w:r>
        <w:rPr>
          <w:rFonts w:ascii="Times New Roman" w:cs="Times New Roman" w:eastAsia="Times New Roman" w:hAnsi="Times New Roman"/>
          <w:b/>
          <w:bCs/>
          <w:i w:val="false"/>
          <w:iCs w:val="false"/>
          <w:sz w:val="22"/>
          <w:szCs w:val="22"/>
        </w:rPr>
        <w:t xml:space="preserve">URL:</w:t>
      </w:r>
      <w:r>
        <w:rPr>
          <w:rFonts w:ascii="Times New Roman" w:cs="Times New Roman" w:eastAsia="Times New Roman" w:hAnsi="Times New Roman"/>
          <w:b w:val="false"/>
          <w:bCs w:val="false"/>
          <w:i w:val="false"/>
          <w:iCs w:val="false"/>
          <w:sz w:val="22"/>
          <w:szCs w:val="22"/>
        </w:rPr>
        <w:t xml:space="preserve"> оставить прежний — /news/nalogovaya-nagruzka/</w:t>
      </w:r>
    </w:p>
    <w:p>
      <w:pPr>
        <w:shd w:fill="D9EAD3" w:color="auto" w:val="clear"/>
        <w:spacing w:after="140" w:line="300"/>
      </w:pPr>
      <w:r>
        <w:rPr>
          <w:rFonts w:ascii="Times New Roman" w:cs="Times New Roman" w:eastAsia="Times New Roman" w:hAnsi="Times New Roman"/>
          <w:b/>
          <w:bCs/>
          <w:i w:val="false"/>
          <w:iCs w:val="false"/>
          <w:sz w:val="22"/>
          <w:szCs w:val="22"/>
        </w:rPr>
        <w:t xml:space="preserve">Ключи:</w:t>
      </w:r>
      <w:r>
        <w:rPr>
          <w:rFonts w:ascii="Times New Roman" w:cs="Times New Roman" w:eastAsia="Times New Roman" w:hAnsi="Times New Roman"/>
          <w:b w:val="false"/>
          <w:bCs w:val="false"/>
          <w:i w:val="false"/>
          <w:iCs w:val="false"/>
          <w:sz w:val="22"/>
          <w:szCs w:val="22"/>
        </w:rPr>
        <w:t xml:space="preserve"> налоговая нагрузка 2026 · налоговой нагрузки организации · показатели налоговой нагрузки организации — все три встали по смыслу.</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yxi2t7tkn3wdi9mivkjw" Type="http://schemas.openxmlformats.org/officeDocument/2006/relationships/hyperlink" Target="https://1-plus-1.ru/news/nalogovaya-nagruzka/" TargetMode="External"/><Relationship Id="rIdauhjkx7rjutuj3abugsax" Type="http://schemas.openxmlformats.org/officeDocument/2006/relationships/hyperlink" Target="https://base.garant.ru/414173177/" TargetMode="External"/><Relationship Id="rId-7xjrdhtzjv_kso_lzinb" Type="http://schemas.openxmlformats.org/officeDocument/2006/relationships/hyperlink" Target="https://www.consultant.ru/document/cons_doc_LAW_55729/2ff7a8c72de3994f30496a0ccbb1ddafdaddf518/" TargetMode="External"/><Relationship Id="rIdlojeh0w1sdn-x_ylxyovq" Type="http://schemas.openxmlformats.org/officeDocument/2006/relationships/hyperlink" Target="https://www.consultant.ru/document/cons_doc_LAW_520020/" TargetMode="External"/><Relationship Id="rIdwuj50alyrlnxjya8l0h4h" Type="http://schemas.openxmlformats.org/officeDocument/2006/relationships/hyperlink" Target="https://base.garant.ru/414173177/" TargetMode="External"/><Relationship Id="rIdgj4c6odnuwygsu96g-6sc" Type="http://schemas.openxmlformats.org/officeDocument/2006/relationships/hyperlink" Target="https://www.consultant.ru/document/cons_doc_LAW_55729/2ff7a8c72de3994f30496a0ccbb1ddafdaddf518/" TargetMode="External"/><Relationship Id="rIdesyox88znaazublv9hp2k" Type="http://schemas.openxmlformats.org/officeDocument/2006/relationships/hyperlink" Target="https://www.consultant.ru/document/cons_doc_LAW_520020/" TargetMode="External"/><Relationship Id="rId59fdeeqn17tao_uzdzx4e" Type="http://schemas.openxmlformats.org/officeDocument/2006/relationships/hyperlink" Target="https://www.consultant.ru/document/cons_doc_LAW_28165/35cc6698564adc4507baa31c9cfdbb4f2516d068/" TargetMode="External"/><Relationship Id="rId5_m1dfifzi-rkj9b9y-xx" Type="http://schemas.openxmlformats.org/officeDocument/2006/relationships/hyperlink" Target="https://www.consultant.ru/document/cons_doc_LAW_517272/935811499d6ea5e9f52ef2da5ceec3d293fde589/" TargetMode="External"/><Relationship Id="rIdf6lecu4-h3hzwyspcz5go" Type="http://schemas.openxmlformats.org/officeDocument/2006/relationships/hyperlink" Target="https://1-plus-1.ru/news/nalogovye-lgoty-v-regionakh/" TargetMode="External"/><Relationship Id="rId3bwa2h3kpiczjufeaht-s" Type="http://schemas.openxmlformats.org/officeDocument/2006/relationships/hyperlink" Target="https://1-plus-1.ru/news/amnistiya-za-droblenie-biznesa-kak-ona-rabotaet-i-chto-uspet-do-kontsa-2026-goda/" TargetMode="External"/><Relationship Id="rIdzqzipdpb6usy0rzph8zva" Type="http://schemas.openxmlformats.org/officeDocument/2006/relationships/hyperlink" Target="https://1-plus-1.ru/news/samye-rasprostranennye-kosyaki-v-bukhgalterii-kotorye-my-vyyavlyaem-pri-auditakh-i-chem-oni-grozyat/" TargetMode="External"/><Relationship Id="rId5pijkkxlto1z0luwtoyyw" Type="http://schemas.openxmlformats.org/officeDocument/2006/relationships/hyperlink" Target="https://base.garant.ru/414173177/" TargetMode="External"/><Relationship Id="rIdhgmmayz-qezdgrkik2ckm" Type="http://schemas.openxmlformats.org/officeDocument/2006/relationships/hyperlink" Target="https://www.consultant.ru/document/cons_doc_LAW_55729/2ff7a8c72de3994f30496a0ccbb1ddafdaddf518/" TargetMode="External"/><Relationship Id="rIdmm6muvhnb0lys5ho3-lm4" Type="http://schemas.openxmlformats.org/officeDocument/2006/relationships/hyperlink" Target="https://www.consultant.ru/document/cons_doc_LAW_55729/2ff7a8c72de3994f30496a0ccbb1ddafdaddf518/" TargetMode="External"/><Relationship Id="rIdrq2efw1ywcastcne0u2ng" Type="http://schemas.openxmlformats.org/officeDocument/2006/relationships/hyperlink" Target="https://www.consultant.ru/document/cons_doc_LAW_520020/" TargetMode="External"/><Relationship Id="rIdw0pixadx_b4ray3sdgnal" Type="http://schemas.openxmlformats.org/officeDocument/2006/relationships/hyperlink" Target="https://www.consultant.ru/document/cons_doc_LAW_32834/" TargetMode="External"/><Relationship Id="rIdk9y1gzlfz-kywnnnlmznf" Type="http://schemas.openxmlformats.org/officeDocument/2006/relationships/hyperlink" Target="https://www.garant.ru/products/ipo/prime/doc/71629876/"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Налоговая нагрузка</dc:title>
  <dc:creator>1+1</dc:creator>
  <cp:lastModifiedBy>Un-named</cp:lastModifiedBy>
  <cp:revision>1</cp:revision>
  <dcterms:created xsi:type="dcterms:W3CDTF">2026-10-28T10:48:44.724Z</dcterms:created>
  <dcterms:modified xsi:type="dcterms:W3CDTF">2026-10-28T10:48:44.724Z</dcterms:modified>
</cp:coreProperties>
</file>

<file path=docProps/custom.xml><?xml version="1.0" encoding="utf-8"?>
<Properties xmlns="http://schemas.openxmlformats.org/officeDocument/2006/custom-properties" xmlns:vt="http://schemas.openxmlformats.org/officeDocument/2006/docPropsVTypes"/>
</file>