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4819"/>
      </w:pPr>
      <w:r>
        <w:rPr>
          <w:b/>
        </w:rPr>
        <w:t>В Федеральную службу по интеллектуальной собственности</w:t>
      </w:r>
    </w:p>
    <w:p>
      <w:pPr>
        <w:spacing w:after="0"/>
        <w:ind w:left="4819"/>
      </w:pPr>
      <w:r>
        <w:rPr>
          <w:b/>
        </w:rPr>
        <w:t>ФГБУ «Федеральный институт промышленной собственности» (ФИПС)</w:t>
      </w:r>
    </w:p>
    <w:p>
      <w:pPr>
        <w:spacing w:after="0"/>
        <w:ind w:left="4819"/>
      </w:pPr>
      <w:r>
        <w:rPr>
          <w:b w:val="0"/>
        </w:rPr>
        <w:t>Бережковская наб., д. 30, корп. 1, Москва, Г-59, ГСП-1, 119991</w:t>
      </w:r>
    </w:p>
    <w:p>
      <w:pPr>
        <w:spacing w:after="0"/>
        <w:ind w:left="4819"/>
      </w:pPr>
    </w:p>
    <w:p>
      <w:pPr>
        <w:spacing w:after="0"/>
        <w:ind w:left="4819"/>
      </w:pPr>
      <w:r>
        <w:rPr>
          <w:b/>
        </w:rPr>
        <w:t>Заявитель:</w:t>
      </w:r>
      <w:r>
        <w:rPr>
          <w:b w:val="0"/>
        </w:rPr>
        <w:t xml:space="preserve"> Кирюшин Илья Александрович</w:t>
      </w:r>
    </w:p>
    <w:p>
      <w:pPr>
        <w:spacing w:after="0"/>
        <w:ind w:left="4819"/>
      </w:pPr>
      <w:r>
        <w:rPr>
          <w:b w:val="0"/>
        </w:rPr>
        <w:t>656045, Алтайский край, г. Барнаул, проезд Фиалковый, д. 11</w:t>
      </w:r>
    </w:p>
    <w:p>
      <w:pPr>
        <w:spacing w:after="0"/>
        <w:ind w:left="4819"/>
      </w:pPr>
    </w:p>
    <w:p>
      <w:pPr>
        <w:spacing w:after="0"/>
        <w:ind w:left="4819"/>
      </w:pPr>
      <w:r>
        <w:rPr>
          <w:b/>
        </w:rPr>
        <w:t>Заявка № 2026710849</w:t>
      </w:r>
    </w:p>
    <w:p>
      <w:pPr>
        <w:spacing w:after="0"/>
        <w:ind w:left="4819"/>
      </w:pPr>
      <w:r>
        <w:rPr>
          <w:b w:val="0"/>
        </w:rPr>
        <w:t>На уведомление исх. № 2026710849/50(W26009676) от 02.09.2026</w:t>
      </w:r>
    </w:p>
    <w:p/>
    <w:p>
      <w:pPr>
        <w:spacing w:after="0"/>
        <w:jc w:val="center"/>
      </w:pPr>
      <w:r>
        <w:rPr>
          <w:b/>
        </w:rPr>
        <w:t>ОТВЕТ НА УВЕДОМЛЕНИЕ</w:t>
      </w:r>
    </w:p>
    <w:p>
      <w:pPr>
        <w:spacing w:after="0"/>
        <w:jc w:val="center"/>
      </w:pPr>
      <w:r>
        <w:rPr>
          <w:b/>
        </w:rPr>
        <w:t>о результатах проверки соответствия заявленного обозначения требованиям законодательства</w:t>
      </w:r>
    </w:p>
    <w:p>
      <w:pPr>
        <w:jc w:val="center"/>
      </w:pPr>
      <w:r>
        <w:rPr>
          <w:b w:val="0"/>
        </w:rPr>
        <w:t>(доводы заявителя в порядке п. 3 ст. 1499 ГК РФ)</w:t>
      </w:r>
    </w:p>
    <w:p>
      <w:pPr>
        <w:keepNext/>
        <w:spacing w:before="240"/>
      </w:pPr>
      <w:r>
        <w:rPr>
          <w:b/>
        </w:rPr>
        <w:t>1. Существо уведомления</w:t>
      </w:r>
    </w:p>
    <w:p>
      <w:pPr>
        <w:ind w:firstLine="709"/>
        <w:jc w:val="both"/>
      </w:pPr>
      <w:r>
        <w:rPr>
          <w:b w:val="0"/>
        </w:rPr>
        <w:t>В уведомлении от 02.09.2026 сделан вывод о невозможности регистрации комбинированного обозначения «DETAILING CARBRO22 АВТОМОЙКА» (далее — заявленное обозначение) в качестве знака обслуживания в отношении всех заявленных услуг 37 класса МКТУ на основании п. 6 (1, 2) ст. 1483 ГК РФ. Экспертиза сочла заявленное обозначение сходным до степени смешения:</w:t>
      </w:r>
    </w:p>
    <w:p>
      <w:pPr>
        <w:ind w:left="709" w:hanging="340"/>
        <w:jc w:val="both"/>
      </w:pPr>
      <w:r>
        <w:rPr>
          <w:b w:val="0"/>
        </w:rPr>
        <w:t>1)</w:t>
        <w:tab/>
        <w:t>с обозначением, включающим изобразительный элемент, по заявке № 2025838448 (приоритет 16.12.2025, заявитель Маричев А. В.);</w:t>
      </w:r>
    </w:p>
    <w:p>
      <w:pPr>
        <w:ind w:left="709" w:hanging="340"/>
        <w:jc w:val="both"/>
      </w:pPr>
      <w:r>
        <w:rPr>
          <w:b w:val="0"/>
        </w:rPr>
        <w:t>2)</w:t>
        <w:tab/>
        <w:t>с товарным знаком, включающим изобразительный элемент, по свидетельству № 1188297 (приоритет 02.10.2025);</w:t>
      </w:r>
    </w:p>
    <w:p>
      <w:pPr>
        <w:ind w:left="709" w:hanging="340"/>
        <w:jc w:val="both"/>
      </w:pPr>
      <w:r>
        <w:rPr>
          <w:b w:val="0"/>
        </w:rPr>
        <w:t>3)</w:t>
        <w:tab/>
        <w:t>с обозначением «BROCAR» по заявке № 2025837104 (приоритет 12.12.2025, заявитель Лыга М. Б.; в настоящее время зарегистрирован, свидетельство № 1261074).</w:t>
      </w:r>
    </w:p>
    <w:p>
      <w:pPr>
        <w:ind w:firstLine="709"/>
        <w:jc w:val="both"/>
      </w:pPr>
      <w:r>
        <w:rPr>
          <w:b w:val="0"/>
        </w:rPr>
        <w:t>Перечень заявленных услуг 37 класса МКТУ: мытье транспортных средств; обработка антикоррозионная транспортных средств; обслуживание техническое транспортных средств; полирование транспортных средств; ремонт и техническое обслуживание автотранспортных средств; смазка транспортных средств; тюнинг кузовов автомобилей; услуги по балансировке колес; услуги по ремонту неисправностей транспортных средств; чистка транспортных средств.</w:t>
      </w:r>
    </w:p>
    <w:p>
      <w:pPr>
        <w:ind w:firstLine="709"/>
        <w:jc w:val="both"/>
      </w:pPr>
      <w:r>
        <w:rPr>
          <w:b w:val="0"/>
        </w:rPr>
        <w:t>Словесные элементы «DETAILING» и «АВТОМОЙКА» признаны неохраняемыми на основании п. 1 ст. 1483 ГК РФ.</w:t>
      </w:r>
    </w:p>
    <w:p>
      <w:pPr>
        <w:ind w:firstLine="709"/>
        <w:jc w:val="both"/>
      </w:pPr>
      <w:r>
        <w:rPr>
          <w:b w:val="0"/>
        </w:rPr>
        <w:t>Заявитель не согласен с выводом о сходстве до степени смешения и приводит доводы ниже.</w:t>
      </w:r>
    </w:p>
    <w:p>
      <w:pPr>
        <w:keepNext/>
        <w:spacing w:before="240"/>
      </w:pPr>
      <w:r>
        <w:rPr>
          <w:b/>
        </w:rPr>
        <w:t>2. О неохраняемых элементах</w:t>
      </w:r>
    </w:p>
    <w:p>
      <w:pPr>
        <w:ind w:firstLine="709"/>
        <w:jc w:val="both"/>
      </w:pPr>
      <w:r>
        <w:rPr>
          <w:b w:val="0"/>
        </w:rPr>
        <w:t>Заявитель согласен с тем, что словесные элементы «DETAILING» и «АВТОМОЙКА» характеризуют заявленные услуги. Заявитель сам указал их в заявке как неохраняемые и не возражает против их исключения из самостоятельной правовой охраны.</w:t>
      </w:r>
    </w:p>
    <w:p>
      <w:pPr>
        <w:keepNext/>
        <w:spacing w:before="240"/>
      </w:pPr>
      <w:r>
        <w:rPr>
          <w:b/>
        </w:rPr>
        <w:t>3. Описание заявленного обозначения и его сильных элементов</w:t>
      </w:r>
    </w:p>
    <w:p>
      <w:pPr>
        <w:ind w:firstLine="709"/>
        <w:jc w:val="both"/>
      </w:pPr>
      <w:r>
        <w:rPr>
          <w:b w:val="0"/>
        </w:rPr>
        <w:t>Заявленное обозначение комбинированное. Оно выполнено в виде горизонтальной прямоугольной полосы черного цвета. Слева на полосе размещен словесный элемент «DETAILING», справа — «АВТОМОЙКА», оба белыми заглавными буквами жирного рубленого шрифта. В центре находится логотип:</w:t>
      </w:r>
    </w:p>
    <w:p>
      <w:pPr>
        <w:ind w:left="709" w:hanging="340"/>
        <w:jc w:val="both"/>
      </w:pPr>
      <w:r>
        <w:rPr>
          <w:b w:val="0"/>
        </w:rPr>
        <w:t>–</w:t>
        <w:tab/>
        <w:t>контурный стилизованный силуэт легкового автомобиля в профиль, выполненный тонкими белыми линиями, передней частью вправо;</w:t>
      </w:r>
    </w:p>
    <w:p>
      <w:pPr>
        <w:ind w:left="709" w:hanging="340"/>
        <w:jc w:val="both"/>
      </w:pPr>
      <w:r>
        <w:rPr>
          <w:b w:val="0"/>
        </w:rPr>
        <w:t>–</w:t>
        <w:tab/>
        <w:t>над крышей автомобиля — дугообразная шкала из отдельных сегментов, напоминающая шкалу спидометра или тахометра;</w:t>
      </w:r>
    </w:p>
    <w:p>
      <w:pPr>
        <w:ind w:left="709" w:hanging="340"/>
        <w:jc w:val="both"/>
      </w:pPr>
      <w:r>
        <w:rPr>
          <w:b w:val="0"/>
        </w:rPr>
        <w:t>–</w:t>
        <w:tab/>
        <w:t>под силуэтом — словесный элемент «CARBRO22», выполненный белыми заглавными буквами наклонного (курсивного) шрифта.</w:t>
      </w:r>
    </w:p>
    <w:p>
      <w:pPr>
        <w:ind w:firstLine="709"/>
        <w:jc w:val="both"/>
      </w:pPr>
      <w:r>
        <w:rPr>
          <w:b w:val="0"/>
        </w:rPr>
        <w:t>Логотип занимает около одной седьмой длины полосы и по размеру заметно уступает каждому из слов «DETAILING» и «АВТОМОЙКА». Индивидуализирующую функцию в обозначении выполняет прежде всего оригинальный словесный элемент «CARBRO22». Именно по нему потребитель называет, запоминает и ищет заявителя. Силуэт автомобиля со шкалой играет вспомогательную, оформительскую роль: это распространенный в сфере автоуслуг шаблонный элемент (см. раздел 5), который лишь указывает на связь услуг с автомобилями.</w:t>
      </w:r>
    </w:p>
    <w:p>
      <w:pPr>
        <w:ind w:firstLine="709"/>
        <w:jc w:val="both"/>
      </w:pPr>
      <w:r>
        <w:rPr>
          <w:b w:val="0"/>
        </w:rPr>
        <w:t>Сходство обозначений оценивается по общему зрительному впечатлению, которое они производят на рядового потребителя соответствующих услуг, с учетом их звукового, графического и смыслового сходства (п. 41–44 Правил составления, подачи и рассмотрения документов, являющихся основанием для совершения юридически значимых действий по государственной регистрации товарных знаков, знаков обслуживания, коллективных знаков, утв. приказом Минэкономразвития России от 20.07.2015 № 482, далее — Правила; п. 162 постановления Пленума Верховного Суда РФ от 23.04.2019 № 10). Сравнение проводится с учетом сильных элементов обозначений. Совпадение слабых или описательных элементов сходства до степени смешения не создает.</w:t>
      </w:r>
    </w:p>
    <w:p>
      <w:pPr>
        <w:keepNext/>
        <w:spacing w:before="240"/>
      </w:pPr>
      <w:r>
        <w:rPr>
          <w:b/>
        </w:rPr>
        <w:t>4. Отсутствие сходства с обозначением «BROCAR» (свидетельство № 1261074, заявка № 2025837104)</w:t>
      </w:r>
    </w:p>
    <w:p>
      <w:pPr>
        <w:jc w:val="both"/>
      </w:pPr>
      <w:r>
        <w:rPr>
          <w:b/>
        </w:rPr>
        <w:t>4.1. Звуковое (фонетическое) сходство отсутствует.</w:t>
      </w:r>
    </w:p>
    <w:p>
      <w:pPr>
        <w:ind w:firstLine="709"/>
        <w:jc w:val="both"/>
      </w:pPr>
      <w:r>
        <w:rPr>
          <w:b w:val="0"/>
        </w:rPr>
        <w:t xml:space="preserve">Заявленный элемент произносится </w:t>
      </w:r>
      <w:r>
        <w:rPr>
          <w:b w:val="0"/>
        </w:rPr>
        <w:t>[КАРБРÓ ДВÁДЦАТЬ ДВА]</w:t>
      </w:r>
      <w:r>
        <w:rPr>
          <w:b w:val="0"/>
        </w:rPr>
        <w:t xml:space="preserve">, противопоставленное обозначение — </w:t>
      </w:r>
      <w:r>
        <w:rPr>
          <w:b w:val="0"/>
        </w:rPr>
        <w:t>[БРОКÁР]</w:t>
      </w:r>
      <w:r>
        <w:rPr>
          <w:b w:val="0"/>
        </w:rPr>
        <w:t>. Согласно п. 42 Правил учитываются, в частности, количество слогов и звуков, место совпадающих звукосочетаний, характер совпадающих частей обозначений, начальные части.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Начальные части разные.</w:t>
      </w:r>
      <w:r>
        <w:rPr>
          <w:b w:val="0"/>
        </w:rPr>
        <w:t xml:space="preserve"> Заявленное обозначение начинается со звукосочетания </w:t>
      </w:r>
      <w:r>
        <w:rPr>
          <w:b w:val="0"/>
        </w:rPr>
        <w:t>[КАР]</w:t>
      </w:r>
      <w:r>
        <w:rPr>
          <w:b w:val="0"/>
        </w:rPr>
        <w:t xml:space="preserve">, противопоставленное — с </w:t>
      </w:r>
      <w:r>
        <w:rPr>
          <w:b w:val="0"/>
        </w:rPr>
        <w:t>[БРО]</w:t>
      </w:r>
      <w:r>
        <w:rPr>
          <w:b w:val="0"/>
        </w:rPr>
        <w:t>. Внимание потребителя в первую очередь фиксирует начальную часть слова.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Разный порядок слогов и ударение.</w:t>
      </w:r>
      <w:r>
        <w:rPr>
          <w:b w:val="0"/>
        </w:rPr>
        <w:t xml:space="preserve"> Совпадающие слоги стоят в обратном порядке и произносятся с разным ударением, поэтому ритмика слов не совпадает.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Разная длина.</w:t>
      </w:r>
      <w:r>
        <w:rPr>
          <w:b w:val="0"/>
        </w:rPr>
        <w:t xml:space="preserve"> Элемент «CARBRO22» произносится вместе с числительным «двадцать два» и содержит около пяти слогов. «BROCAR» содержит два слога. Числительное — заметная и запоминающаяся часть обозначения, у противопоставленного обозначения ее нет.</w:t>
      </w:r>
    </w:p>
    <w:p>
      <w:pPr>
        <w:ind w:firstLine="709"/>
        <w:jc w:val="both"/>
      </w:pPr>
      <w:r>
        <w:rPr>
          <w:b w:val="0"/>
        </w:rPr>
        <w:t>Само по себе совпадение набора слогов «CAR» и «BRO» не делает обозначения сходными. В коротких двусложных словах перестановка слогов меняет начало слова, ударение, ритм и смысл. Потребитель воспринимает слово целиком, а не раскладывает его на части и не сравнивает их набор. «КАР-БРО-ДВАДЦАТЬ-ДВА» и «БРО-КАР» звучат как разные слова: у них разные первые слоги, разная длина, и в заявленном обозначении есть числительное. Кроме того, один из двух совпадающих слогов, «CAR», — слабый элемент для автоуслуг (см. п. 4.4), поэтому фактически совпадает лишь одно короткое звукосочетание «BRO», стоящее в словах на разных местах.</w:t>
      </w:r>
    </w:p>
    <w:p>
      <w:pPr>
        <w:jc w:val="both"/>
      </w:pPr>
      <w:r>
        <w:rPr>
          <w:b/>
        </w:rPr>
        <w:t>4.2. Графическое (визуальное) сходство отсутствует.</w:t>
      </w:r>
    </w:p>
    <w:p>
      <w:pPr>
        <w:ind w:firstLine="709"/>
        <w:jc w:val="both"/>
      </w:pPr>
      <w:r>
        <w:rPr>
          <w:b w:val="0"/>
        </w:rPr>
        <w:t>Противопоставленное обозначение комбинированное. На черном фоне расположен крупный оранжевый силуэт спортивного автомобиля, нарисованный размашистыми линиями переменной толщины, похожими на росчерк кисти. Внутри силуэта — крупное слово «BROCAR» оранжевыми жирными широкими буквами, под ним мелкое слово «SERVICE» и горизонтальная линия.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Цвет.</w:t>
      </w:r>
      <w:r>
        <w:rPr>
          <w:b w:val="0"/>
        </w:rPr>
        <w:t xml:space="preserve"> Противопоставленное обозначение выполнено в ярком оранжевом цвете, заявленное — монохромное (белое на черном).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Шрифт.</w:t>
      </w:r>
      <w:r>
        <w:rPr>
          <w:b w:val="0"/>
        </w:rPr>
        <w:t xml:space="preserve"> «BROCAR» написано прямым жирным широким шрифтом. «CARBRO22» — наклонным шрифтом и с цифрами «22», которых в противопоставленном обозначении нет.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Изображение.</w:t>
      </w:r>
      <w:r>
        <w:rPr>
          <w:b w:val="0"/>
        </w:rPr>
        <w:t xml:space="preserve"> В противопоставленном обозначении — обобщенный силуэт-«росчерк» без деталей. В заявленном — детализированный контур с колесной аркой и фарой и шкала спидометра, которой в противопоставленном обозначении нет.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Композиция.</w:t>
      </w:r>
      <w:r>
        <w:rPr>
          <w:b w:val="0"/>
        </w:rPr>
        <w:t xml:space="preserve"> В противопоставленном обозначении крупное слово вписано внутрь силуэта и занимает центр знака. В заявленном «CARBRO22» — мелкая подпись под изображением, а весь логотип — лишь центральная часть узкой полосы между словами «DETAILING» и «АВТОМОЙКА».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Общее впечатление.</w:t>
      </w:r>
      <w:r>
        <w:rPr>
          <w:b w:val="0"/>
        </w:rPr>
        <w:t xml:space="preserve"> Противопоставленное обозначение воспринимается как яркий оранжевый компактный логотип с одним словом, заявленное — как длинная черно-белая вывеска с тремя элементами в ряд.</w:t>
      </w:r>
    </w:p>
    <w:p>
      <w:pPr>
        <w:jc w:val="both"/>
      </w:pPr>
      <w:r>
        <w:rPr>
          <w:b/>
        </w:rPr>
        <w:t>4.3. Смысловое (семантическое) сходство отсутствует.</w:t>
      </w:r>
    </w:p>
    <w:p>
      <w:pPr>
        <w:ind w:left="709" w:hanging="340"/>
        <w:jc w:val="both"/>
      </w:pPr>
      <w:r>
        <w:rPr>
          <w:b w:val="0"/>
        </w:rPr>
        <w:t>–</w:t>
        <w:tab/>
        <w:t>Оба обозначения — слова, которых нет в словарях русского и английского языков. Их смысл складывается из порядка составных частей. По правилам английского словосложения главное слово стоит последним. «CARBRO» воспринимается как «bro» (разг. «брат, приятель») из мира автомобилей — «автобрат», член автомобильного сообщества. «BROCAR» воспринимается как «машина для своих, “братская” машина» либо как самостоятельное слово: «brocar» в португальском языке означает «сверлить, буравить». Смысловые образы разные.</w:t>
      </w:r>
    </w:p>
    <w:p>
      <w:pPr>
        <w:ind w:left="709" w:hanging="340"/>
        <w:jc w:val="both"/>
      </w:pPr>
      <w:r>
        <w:rPr>
          <w:b w:val="0"/>
        </w:rPr>
        <w:t>–</w:t>
        <w:tab/>
        <w:t>Число «22» — известный код Алтайского края в автомобильных номерах. Поэтому заявленное обозначение связывает услугу с конкретным регионом, где работает заявитель (г. Барнаул), и с сообществом местных автовладельцев. В противопоставленном обозначении такой ассоциации нет.</w:t>
      </w:r>
    </w:p>
    <w:p>
      <w:pPr>
        <w:ind w:firstLine="709"/>
        <w:jc w:val="both"/>
      </w:pPr>
      <w:r>
        <w:rPr>
          <w:b w:val="0"/>
        </w:rPr>
        <w:t>Обозначение «CARBRO22» заявитель придумал самостоятельно. Оно составлено из английского «car» («автомобиль»), разговорного «bro» («брат») и числа «22» — кода Алтайского края, где заявитель оказывает услуги. Замысел — «автобрат из 22-го региона», то есть свой человек для местных автовладельцев. Этот образ не совпадает с образом противопоставленного обозначения.</w:t>
      </w:r>
    </w:p>
    <w:p>
      <w:pPr>
        <w:jc w:val="both"/>
      </w:pPr>
      <w:r>
        <w:rPr>
          <w:b/>
        </w:rPr>
        <w:t>4.4. Совпадающая часть «CAR» — слабый элемент.</w:t>
      </w:r>
    </w:p>
    <w:p>
      <w:pPr>
        <w:ind w:firstLine="709"/>
        <w:jc w:val="both"/>
      </w:pPr>
      <w:r>
        <w:rPr>
          <w:b w:val="0"/>
        </w:rPr>
        <w:t xml:space="preserve">Для услуг 37 класса МКТУ, связанных с обслуживанием, ремонтом, мойкой и детейлингом автомобилей, слово «car» («автомобиль») прямо указывает на объект услуг. Такой элемент обладает слабой различительной способностью. Его совпадение не может само по себе вызвать смешение обозначений. В Государственном реестре товарных знаков для услуг 37 класса на имя разных правообладателей зарегистрировано множество обозначений с элементом «CAR», например: </w:t>
      </w:r>
      <w:r>
        <w:rPr>
          <w:b w:val="0"/>
          <w:highlight w:val="yellow"/>
        </w:rPr>
        <w:t>[№ ___, № ___, № ___ — привести 5–10 примеров]</w:t>
      </w:r>
      <w:r>
        <w:rPr>
          <w:b w:val="0"/>
        </w:rPr>
        <w:t xml:space="preserve"> (Приложение 2). Это подтверждает, что потребители различают такие обозначения по их другим, оригинальным частям.</w:t>
      </w:r>
    </w:p>
    <w:p>
      <w:pPr>
        <w:ind w:firstLine="709"/>
        <w:jc w:val="both"/>
      </w:pPr>
      <w:r>
        <w:rPr>
          <w:b/>
        </w:rPr>
        <w:t>4.5. Вывод.</w:t>
      </w:r>
      <w:r>
        <w:rPr>
          <w:b w:val="0"/>
        </w:rPr>
        <w:t xml:space="preserve"> Обозначения «DETAILING CARBRO22 АВТОМОЙКА» (комбинированное) и «BROCAR» не сходны по звуку, графике и смыслу и производят разное общее впечатление. Поэтому они не сходны до степени смешения.</w:t>
      </w:r>
    </w:p>
    <w:p>
      <w:pPr>
        <w:keepNext/>
        <w:spacing w:before="240"/>
      </w:pPr>
      <w:r>
        <w:rPr>
          <w:b/>
        </w:rPr>
        <w:t>5. Отсутствие сходства до степени смешения с товарным знаком по свидетельству № 1188297</w:t>
      </w:r>
    </w:p>
    <w:p>
      <w:pPr>
        <w:ind w:firstLine="709"/>
        <w:jc w:val="both"/>
      </w:pPr>
      <w:r>
        <w:rPr>
          <w:b/>
        </w:rPr>
        <w:t>Описание противопоставленного знака.</w:t>
      </w:r>
      <w:r>
        <w:rPr>
          <w:b w:val="0"/>
        </w:rPr>
        <w:t xml:space="preserve"> Знак комбинированный, выполнен на черном прямоугольном фоне. Центральное место занимает крупный словесный элемент «АВТОПОДБОР66» — жирный рубленый шрифт оригинальной графики, часть «АВТО» белого цвета, часть «ПОДБОР66» красного. Под ним серыми буквами расположен элемент «ЦЕНТР КУЗОВНОГО РЕМОНТА». Над словесным элементом — белый контурный силуэт легкового автомобиля и серая шкала спидометра с красной стрелкой. </w:t>
      </w:r>
      <w:r>
        <w:rPr>
          <w:b w:val="0"/>
          <w:highlight w:val="yellow"/>
        </w:rPr>
        <w:t>[Уточнить по реестру, какие элементы исключены из охраны.]</w:t>
      </w:r>
    </w:p>
    <w:p>
      <w:pPr>
        <w:jc w:val="both"/>
      </w:pPr>
      <w:r>
        <w:rPr>
          <w:b/>
        </w:rPr>
        <w:t>5.1. Словесные элементы не имеют ничего общего.</w:t>
      </w:r>
    </w:p>
    <w:p>
      <w:pPr>
        <w:ind w:left="709" w:hanging="340"/>
        <w:jc w:val="both"/>
      </w:pPr>
      <w:r>
        <w:rPr>
          <w:b w:val="0"/>
        </w:rPr>
        <w:t>–</w:t>
        <w:tab/>
        <w:t xml:space="preserve">«АВТОПОДБОР66» и «CARBRO22» не совпадают ни по одному звуку в значимой части: </w:t>
      </w:r>
      <w:r>
        <w:rPr>
          <w:b w:val="0"/>
        </w:rPr>
        <w:t>[АФТОПОДБОР ШЕСТЬДЕСЯТ ШЕСТЬ]</w:t>
      </w:r>
      <w:r>
        <w:rPr>
          <w:b w:val="0"/>
        </w:rPr>
        <w:t xml:space="preserve"> и </w:t>
      </w:r>
      <w:r>
        <w:rPr>
          <w:b w:val="0"/>
        </w:rPr>
        <w:t>[КАРБРО ДВАДЦАТЬ ДВА]</w:t>
      </w:r>
      <w:r>
        <w:rPr>
          <w:b w:val="0"/>
        </w:rPr>
        <w:t>.</w:t>
      </w:r>
    </w:p>
    <w:p>
      <w:pPr>
        <w:ind w:left="709" w:hanging="340"/>
        <w:jc w:val="both"/>
      </w:pPr>
      <w:r>
        <w:rPr>
          <w:b w:val="0"/>
        </w:rPr>
        <w:t>–</w:t>
        <w:tab/>
        <w:t>Они выполнены буквами разных алфавитов: кириллицей и латиницей.</w:t>
      </w:r>
    </w:p>
    <w:p>
      <w:pPr>
        <w:ind w:left="709" w:hanging="340"/>
        <w:jc w:val="both"/>
      </w:pPr>
      <w:r>
        <w:rPr>
          <w:b w:val="0"/>
        </w:rPr>
        <w:t>–</w:t>
        <w:tab/>
        <w:t>Смысл разный. «Автоподбор» — русское слово, означающее услугу по подбору автомобиля для покупки, а «66» — код Свердловской области. «CARBRO» — вымышленное слово с образом «автобрата», а «22» — код Алтайского края.</w:t>
      </w:r>
    </w:p>
    <w:p>
      <w:pPr>
        <w:ind w:left="709" w:hanging="340"/>
        <w:jc w:val="both"/>
      </w:pPr>
      <w:r>
        <w:rPr>
          <w:b w:val="0"/>
        </w:rPr>
        <w:t>–</w:t>
        <w:tab/>
        <w:t>Остальные словесные элементы тоже не совпадают: «ЦЕНТР КУЗОВНОГО РЕМОНТА» и «DETAILING», «АВТОМОЙКА».</w:t>
      </w:r>
    </w:p>
    <w:p>
      <w:pPr>
        <w:ind w:firstLine="709"/>
        <w:jc w:val="both"/>
      </w:pPr>
      <w:r>
        <w:rPr>
          <w:b/>
        </w:rPr>
        <w:t>5.2. В противопоставленном знаке доминирует словесный элемент.</w:t>
      </w:r>
      <w:r>
        <w:rPr>
          <w:b w:val="0"/>
        </w:rPr>
        <w:t xml:space="preserve"> Элемент «АВТОПОДБОР66» занимает бóльшую часть площади знака. Он выполнен самым крупным и контрастным шрифтом, красный цвет выделяет его, и потребитель читает его первым. Изображение автомобиля расположено над словом и обрамляет его, то есть играет вспомогательную роль. Потребитель запоминает знак и обращается за услугой по словесному элементу «АВТОПОДБОР66», а не по силуэту машины (п. 42 Правил).</w:t>
      </w:r>
    </w:p>
    <w:p>
      <w:pPr>
        <w:ind w:firstLine="709"/>
        <w:jc w:val="both"/>
      </w:pPr>
      <w:r>
        <w:rPr>
          <w:b/>
        </w:rPr>
        <w:t>5.3. Изображение автомобиля со шкалой спидометра — распространенный шаблонный элемент.</w:t>
      </w:r>
      <w:r>
        <w:rPr>
          <w:b w:val="0"/>
        </w:rPr>
        <w:t xml:space="preserve"> Силуэт легкового автомобиля в сочетании со шкалой спидометра — типовое решение, которое свободно распространяется на фотобанках и в конструкторах логотипов. Его широко используют автосервисы, автомойки и детейлинг-центры в разных регионах России </w:t>
      </w:r>
      <w:r>
        <w:rPr>
          <w:b w:val="0"/>
          <w:highlight w:val="yellow"/>
        </w:rPr>
        <w:t>[приложить скриншоты фотобанков и примеры использования третьими лицами — Приложения 1 и 3]</w:t>
      </w:r>
      <w:r>
        <w:rPr>
          <w:b w:val="0"/>
        </w:rPr>
        <w:t>. Такой элемент не связывается у потребителя с конкретным лицом и обладает слабой различительной способностью для услуг, связанных с автомобилями. Совпадение шаблонного элемента не может само по себе привести к смешению обозначений, если различаются их индивидуализирующие (словесные) элементы.</w:t>
      </w:r>
    </w:p>
    <w:p>
      <w:pPr>
        <w:ind w:firstLine="709"/>
        <w:jc w:val="both"/>
      </w:pPr>
      <w:r>
        <w:rPr>
          <w:b w:val="0"/>
        </w:rPr>
        <w:t>Распространенность этого шаблона подтверждается материалами самой экспертизы. То же изображение содержит противопоставленное обозначение «CHECK OFF» по заявке № 2025838448, поданной другим лицом (Маричев А. В., Калужская область). Таким образом, один и тот же шаблон независимо друг от друга используют как минимум три несвязанных лица из разных регионов: судя по коду «66» — Свердловская область, затем Калужская область и Алтайский край. Потребители автоуслуг привыкли видеть это изображение у разных исполнителей и не связывают его с одним источником.</w:t>
      </w:r>
    </w:p>
    <w:p>
      <w:pPr>
        <w:jc w:val="both"/>
      </w:pPr>
      <w:r>
        <w:rPr>
          <w:b/>
        </w:rPr>
        <w:t>5.4. Композиция и цвет различаются.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154"/>
          </w:tcPr>
          <w:p>
            <w:pPr>
              <w:spacing w:after="40"/>
            </w:pPr>
            <w:r>
              <w:rPr>
                <w:b/>
                <w:sz w:val="22"/>
              </w:rPr>
              <w:t>Признак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22"/>
              </w:rPr>
              <w:t>Заявленное обозначение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/>
                <w:sz w:val="22"/>
              </w:rPr>
              <w:t>Свидетельство № 1188297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b w:val="0"/>
                <w:sz w:val="22"/>
              </w:rPr>
              <w:t>Форма и композиция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 w:val="0"/>
                <w:sz w:val="22"/>
              </w:rPr>
              <w:t>Узкая горизонтальная полоса, три блока в ряд: «DETAILING» — логотип — «АВТОМОЙКА»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 w:val="0"/>
                <w:sz w:val="22"/>
              </w:rPr>
              <w:t>Прямоугольник, двухуровневая композиция: изображение сверху, крупное слово под ним, подпись внизу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b w:val="0"/>
                <w:sz w:val="22"/>
              </w:rPr>
              <w:t>Роль изображения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 w:val="0"/>
                <w:sz w:val="22"/>
              </w:rPr>
              <w:t>Небольшой элемент в центре полосы: занимает около одной седьмой ее длины и меньше каждого из соседних слов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 w:val="0"/>
                <w:sz w:val="22"/>
              </w:rPr>
              <w:t>Обрамление над крупным словесным элементом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b w:val="0"/>
                <w:sz w:val="22"/>
              </w:rPr>
              <w:t>Словесные элементы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 w:val="0"/>
                <w:sz w:val="22"/>
              </w:rPr>
              <w:t>«CARBRO22» (латиница, наклонный шрифт), «DETAILING», «АВТОМОЙКА»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 w:val="0"/>
                <w:sz w:val="22"/>
              </w:rPr>
              <w:t>«АВТОПОДБОР66» (кириллица, жирный шрифт), «ЦЕНТР КУЗОВНОГО РЕМОНТА»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b w:val="0"/>
                <w:sz w:val="22"/>
              </w:rPr>
              <w:t>Цвет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 w:val="0"/>
                <w:sz w:val="22"/>
              </w:rPr>
              <w:t>Монохромное: белое на черном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b w:val="0"/>
                <w:sz w:val="22"/>
              </w:rPr>
              <w:t>Черный, белый, серый и акцентный красный (стрелка, «ПОДБОР66»)</w:t>
            </w:r>
          </w:p>
        </w:tc>
      </w:tr>
    </w:tbl>
    <w:p/>
    <w:p>
      <w:pPr>
        <w:ind w:firstLine="709"/>
        <w:jc w:val="both"/>
      </w:pPr>
      <w:r>
        <w:rPr>
          <w:b/>
        </w:rPr>
        <w:t>5.5. Вывод.</w:t>
      </w:r>
      <w:r>
        <w:rPr>
          <w:b w:val="0"/>
        </w:rPr>
        <w:t xml:space="preserve"> Сравниваемые обозначения совпадают лишь в шаблонном изображении автомобиля, которое широко используется в сфере автоуслуг и слабо индивидуализирует. Доминирующие словесные элементы, композиция и цвет у них разные, поэтому общее зрительное впечатление тоже разное. Обозначения не сходны до степени смешения.</w:t>
      </w:r>
    </w:p>
    <w:p>
      <w:pPr>
        <w:keepNext/>
        <w:spacing w:before="240"/>
      </w:pPr>
      <w:r>
        <w:rPr>
          <w:b/>
        </w:rPr>
        <w:t>6. Отсутствие сходства до степени смешения с обозначением «CHECK OFF» (заявка № 2025838448)</w:t>
      </w:r>
    </w:p>
    <w:p>
      <w:pPr>
        <w:ind w:firstLine="709"/>
        <w:jc w:val="both"/>
      </w:pPr>
      <w:r>
        <w:rPr>
          <w:b/>
        </w:rPr>
        <w:t>Описание противопоставленного обозначения.</w:t>
      </w:r>
      <w:r>
        <w:rPr>
          <w:b w:val="0"/>
        </w:rPr>
        <w:t xml:space="preserve"> Обозначение комбинированное, выполнено на черном фоне. В верхней части — серебристо-серый контурный силуэт легкового автомобиля и шкала спидометра с красной стрелкой. Под ними — крупный словесный элемент «CHECK OFF» наклонным жирным шрифтом: «CHECK» белым цветом, «OFF» серым.</w:t>
      </w:r>
    </w:p>
    <w:p>
      <w:pPr>
        <w:jc w:val="both"/>
      </w:pPr>
      <w:r>
        <w:rPr>
          <w:b/>
        </w:rPr>
        <w:t>6.1. Словесные элементы не имеют ничего общего.</w:t>
      </w:r>
    </w:p>
    <w:p>
      <w:pPr>
        <w:ind w:left="709" w:hanging="340"/>
        <w:jc w:val="both"/>
      </w:pPr>
      <w:r>
        <w:rPr>
          <w:b w:val="0"/>
        </w:rPr>
        <w:t>–</w:t>
        <w:tab/>
        <w:t xml:space="preserve">Звучание: </w:t>
      </w:r>
      <w:r>
        <w:rPr>
          <w:b w:val="0"/>
        </w:rPr>
        <w:t>[ЧЕК ОФФ]</w:t>
      </w:r>
      <w:r>
        <w:rPr>
          <w:b w:val="0"/>
        </w:rPr>
        <w:t xml:space="preserve"> и </w:t>
      </w:r>
      <w:r>
        <w:rPr>
          <w:b w:val="0"/>
        </w:rPr>
        <w:t>[КАРБРО ДВАДЦАТЬ ДВА]</w:t>
      </w:r>
      <w:r>
        <w:rPr>
          <w:b w:val="0"/>
        </w:rPr>
        <w:t xml:space="preserve"> — общих звукосочетаний нет.</w:t>
      </w:r>
    </w:p>
    <w:p>
      <w:pPr>
        <w:ind w:left="709" w:hanging="340"/>
        <w:jc w:val="both"/>
      </w:pPr>
      <w:r>
        <w:rPr>
          <w:b w:val="0"/>
        </w:rPr>
        <w:t>–</w:t>
        <w:tab/>
        <w:t>Смысл: «check off» — английское словосочетание «отметить галочкой, вычеркнуть из списка». «CARBRO22» — «автобрат из 22-го региона». Смысловые образы разные.</w:t>
      </w:r>
    </w:p>
    <w:p>
      <w:pPr>
        <w:ind w:left="709" w:hanging="340"/>
        <w:jc w:val="both"/>
      </w:pPr>
      <w:r>
        <w:rPr>
          <w:b w:val="0"/>
        </w:rPr>
        <w:t>–</w:t>
        <w:tab/>
        <w:t>Графика: два слова без цифр и одно слово с цифрами, совпадающих букв практически нет.</w:t>
      </w:r>
    </w:p>
    <w:p>
      <w:pPr>
        <w:ind w:firstLine="709"/>
        <w:jc w:val="both"/>
      </w:pPr>
      <w:r>
        <w:rPr>
          <w:b/>
        </w:rPr>
        <w:t>6.2. Изображение — тот же распространенный шаблон.</w:t>
      </w:r>
      <w:r>
        <w:rPr>
          <w:b w:val="0"/>
        </w:rPr>
        <w:t xml:space="preserve"> Противопоставленное обозначение содержит то же шаблонное изображение автомобиля со шкалой спидометра, что и знак по свидетельству № 1188297. По изложенным в разделе 5 причинам совпадение этого элемента не создает сходства до степени смешения. Потребитель различает такие обозначения по словесным элементам: «CHECK OFF», «АВТОПОДБОР66», «CARBRO22».</w:t>
      </w:r>
    </w:p>
    <w:p>
      <w:pPr>
        <w:ind w:firstLine="709"/>
        <w:jc w:val="both"/>
      </w:pPr>
      <w:r>
        <w:rPr>
          <w:b/>
        </w:rPr>
        <w:t>6.3. Вывод.</w:t>
      </w:r>
      <w:r>
        <w:rPr>
          <w:b w:val="0"/>
        </w:rPr>
        <w:t xml:space="preserve"> Словесные элементы, цветовое решение и композиция обозначений различаются, а совпадает лишь шаблонный слабый элемент. Обозначения не сходны до степени смешения.</w:t>
      </w:r>
    </w:p>
    <w:p>
      <w:pPr>
        <w:keepNext/>
        <w:spacing w:before="240"/>
      </w:pPr>
      <w:r>
        <w:rPr>
          <w:b/>
        </w:rPr>
        <w:t>7. Об однородности услуг</w:t>
      </w:r>
    </w:p>
    <w:p>
      <w:pPr>
        <w:ind w:firstLine="709"/>
        <w:jc w:val="both"/>
      </w:pPr>
      <w:r>
        <w:rPr>
          <w:b/>
        </w:rPr>
        <w:t>С обозначением «CHECK OFF» по заявке № 2025838448.</w:t>
      </w:r>
      <w:r>
        <w:rPr>
          <w:b w:val="0"/>
        </w:rPr>
        <w:t xml:space="preserve"> Перечень этого обозначения охватывает только ремонт, восстановление, техническое обслуживание и тюнинг транспортных средств, помощь при поломке и услуги станций технического обслуживания. Услуг по мытью, чистке и полированию транспортных средств в нем нет. От ремонтных услуг они отличаются: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назначением:</w:t>
      </w:r>
      <w:r>
        <w:rPr>
          <w:b w:val="0"/>
        </w:rPr>
        <w:t xml:space="preserve"> поддерживают внешний вид и сохранность покрытия, а не исправность автомобиля;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характером:</w:t>
      </w:r>
      <w:r>
        <w:rPr>
          <w:b w:val="0"/>
        </w:rPr>
        <w:t xml:space="preserve"> не требуют вмешательства в конструкцию транспортного средства;</w:t>
      </w:r>
    </w:p>
    <w:p>
      <w:pPr>
        <w:ind w:left="709" w:hanging="340"/>
        <w:jc w:val="both"/>
      </w:pPr>
      <w:r>
        <w:rPr>
          <w:b w:val="0"/>
        </w:rPr>
        <w:t>–</w:t>
        <w:tab/>
      </w:r>
      <w:r>
        <w:rPr>
          <w:b/>
        </w:rPr>
        <w:t>исполнителями и оборудованием:</w:t>
      </w:r>
      <w:r>
        <w:rPr>
          <w:b w:val="0"/>
        </w:rPr>
        <w:t xml:space="preserve"> их оказывают автомойки и детейлинг-студии, а не станции технического обслуживания.</w:t>
      </w:r>
    </w:p>
    <w:p>
      <w:pPr>
        <w:ind w:firstLine="709"/>
        <w:jc w:val="both"/>
      </w:pPr>
      <w:r>
        <w:rPr>
          <w:b w:val="0"/>
        </w:rPr>
        <w:t>Таким образом, услуги «мытье транспортных средств; обработка антикоррозионная транспортных средств; полирование транспортных средств; чистка транспортных средств» (защитная обработка кузова входит в типовой комплекс детейлинга) не однородны услугам противопоставленного обозначения.</w:t>
      </w:r>
    </w:p>
    <w:p>
      <w:pPr>
        <w:ind w:firstLine="709"/>
        <w:jc w:val="both"/>
      </w:pPr>
      <w:r>
        <w:rPr>
          <w:b/>
        </w:rPr>
        <w:t>С товарными знаками по свидетельствам № 1188297 и № 1261074.</w:t>
      </w:r>
      <w:r>
        <w:rPr>
          <w:b w:val="0"/>
        </w:rPr>
        <w:t xml:space="preserve"> Для этих знаков вопрос об отсутствии вероятности смешения решается сравнением самих обозначений, приведенным в разделах 4 и 5.</w:t>
      </w:r>
    </w:p>
    <w:p>
      <w:pPr>
        <w:ind w:firstLine="709"/>
        <w:jc w:val="both"/>
      </w:pPr>
      <w:r>
        <w:rPr>
          <w:b/>
        </w:rPr>
        <w:t>В целом.</w:t>
      </w:r>
      <w:r>
        <w:rPr>
          <w:b w:val="0"/>
        </w:rPr>
        <w:t xml:space="preserve"> Вероятность смешения возникает только при совокупности сходства обозначений и однородности услуг (п. 162 постановления Пленума ВС РФ № 10). Как показано выше, сходства до степени смешения нет, поэтому противопоставления не препятствуют регистрации и в отношении однородных услуг.</w:t>
      </w:r>
    </w:p>
    <w:p>
      <w:pPr>
        <w:ind w:firstLine="709"/>
        <w:jc w:val="both"/>
      </w:pPr>
      <w:r>
        <w:rPr>
          <w:b w:val="0"/>
        </w:rPr>
        <w:t>Если экспертиза сохранит мнение о сходстве, заявитель готов ограничить перечень заявленных услуг услугами мойки и детейлинга транспортных средств: «мытье транспортных средств; обработка антикоррозионная транспортных средств; полирование транспортных средств; чистка транспортных средств».</w:t>
      </w:r>
    </w:p>
    <w:p>
      <w:pPr>
        <w:keepNext/>
        <w:spacing w:before="240"/>
      </w:pPr>
      <w:r>
        <w:rPr>
          <w:b/>
        </w:rPr>
        <w:t>8. О статусе противопоставленных обозначений</w:t>
      </w:r>
    </w:p>
    <w:p>
      <w:pPr>
        <w:ind w:firstLine="709"/>
        <w:jc w:val="both"/>
      </w:pPr>
      <w:r>
        <w:rPr>
          <w:b w:val="0"/>
        </w:rPr>
        <w:t>На дату настоящего ответа по заявке № 2025838448 («CHECK OFF», приоритет 16.12.2025) решение не принято. Ее приоритет позже приоритета знака № 1188297 (02.10.2025), а изображение в ней то же. Поэтому экспертиза по этой заявке решает тот же вопрос, что и по заявленному обозначению: препятствует ли общий шаблонный элемент регистрации, если словесные элементы разные. Заявитель просит применить к обоим обозначениям единый подход. Если в регистрации по заявке № 2025838448 будет отказано, противопоставление по ней отпадет.</w:t>
      </w:r>
    </w:p>
    <w:p>
      <w:pPr>
        <w:ind w:firstLine="709"/>
        <w:jc w:val="both"/>
      </w:pPr>
      <w:r>
        <w:rPr>
          <w:b w:val="0"/>
        </w:rPr>
        <w:t>По заявке № 2025837104 («BROCAR») после направления уведомления знак зарегистрирован, ему присвоено свидетельство № 1261074. Доводы раздела 4 относятся к этому товарному знаку.</w:t>
      </w:r>
    </w:p>
    <w:p>
      <w:pPr>
        <w:keepNext/>
        <w:spacing w:before="240"/>
      </w:pPr>
      <w:r>
        <w:rPr>
          <w:b/>
        </w:rPr>
        <w:t>9. Просительная часть</w:t>
      </w:r>
    </w:p>
    <w:p>
      <w:pPr>
        <w:ind w:firstLine="709"/>
        <w:jc w:val="both"/>
      </w:pPr>
      <w:r>
        <w:rPr>
          <w:b w:val="0"/>
        </w:rPr>
        <w:t>На основании изложенного, руководствуясь п. 3 ст. 1499 ГК РФ, заявитель просит:</w:t>
      </w:r>
    </w:p>
    <w:p>
      <w:pPr>
        <w:ind w:left="709" w:hanging="340"/>
        <w:jc w:val="both"/>
      </w:pPr>
      <w:r>
        <w:rPr>
          <w:b w:val="0"/>
        </w:rPr>
        <w:t>1.</w:t>
        <w:tab/>
        <w:t>Признать заявленное обозначение не сходным до степени смешения с товарным знаком по свидетельству № 1188297, обозначением «CHECK OFF» по заявке № 2025838448 и товарным знаком «BROCAR» по свидетельству № 1261074 (заявка № 2025837104).</w:t>
      </w:r>
    </w:p>
    <w:p>
      <w:pPr>
        <w:ind w:left="709" w:hanging="340"/>
        <w:jc w:val="both"/>
      </w:pPr>
      <w:r>
        <w:rPr>
          <w:b w:val="0"/>
        </w:rPr>
        <w:t>2.</w:t>
        <w:tab/>
        <w:t>Зарегистрировать обозначение по заявке № 2026710849 в качестве знака обслуживания в отношении всех заявленных услуг 37 класса МКТУ. Словесные элементы «DETAILING» и «АВТОМОЙКА» исключить из самостоятельной правовой охраны.</w:t>
      </w:r>
    </w:p>
    <w:p>
      <w:pPr>
        <w:ind w:left="709" w:hanging="340"/>
        <w:jc w:val="both"/>
      </w:pPr>
      <w:r>
        <w:rPr>
          <w:b w:val="0"/>
        </w:rPr>
        <w:t>3.</w:t>
        <w:tab/>
        <w:t>Если экспертиза сохранит противопоставление по заявке № 2025838448 («CHECK OFF») — зарегистрировать обозначение в отношении услуг 37 класса МКТУ: «мытье транспортных средств; обработка антикоррозионная транспортных средств; полирование транспортных средств; чистка транспортных средств».</w:t>
      </w:r>
    </w:p>
    <w:p>
      <w:pPr>
        <w:ind w:left="709" w:hanging="340"/>
        <w:jc w:val="both"/>
      </w:pPr>
      <w:r>
        <w:rPr>
          <w:b w:val="0"/>
        </w:rPr>
        <w:t>4.</w:t>
        <w:tab/>
        <w:t>Принять решение с учетом окончательных результатов экспертизы по заявке № 2025838448.</w:t>
      </w:r>
    </w:p>
    <w:p>
      <w:pPr>
        <w:keepNext/>
        <w:spacing w:before="240"/>
      </w:pPr>
      <w:r>
        <w:rPr>
          <w:b/>
        </w:rPr>
        <w:t>Приложения:</w:t>
      </w:r>
    </w:p>
    <w:p>
      <w:pPr>
        <w:ind w:left="709" w:hanging="340"/>
        <w:jc w:val="both"/>
      </w:pPr>
      <w:r>
        <w:rPr>
          <w:b w:val="0"/>
        </w:rPr>
        <w:t>1.</w:t>
        <w:tab/>
        <w:t xml:space="preserve">Скриншоты фотобанков с изображением автомобиля со шкалой спидометра и примеры его использования третьими лицами в сфере автоуслуг — на </w:t>
      </w:r>
      <w:r>
        <w:rPr>
          <w:b w:val="0"/>
          <w:highlight w:val="yellow"/>
        </w:rPr>
        <w:t>[__]</w:t>
      </w:r>
      <w:r>
        <w:rPr>
          <w:b w:val="0"/>
        </w:rPr>
        <w:t xml:space="preserve"> л.</w:t>
      </w:r>
    </w:p>
    <w:p>
      <w:pPr>
        <w:ind w:left="709" w:hanging="340"/>
        <w:jc w:val="both"/>
      </w:pPr>
      <w:r>
        <w:rPr>
          <w:b w:val="0"/>
        </w:rPr>
        <w:t>2.</w:t>
        <w:tab/>
        <w:t xml:space="preserve">Сведения из Государственного реестра о товарных знаках с элементом «CAR», зарегистрированных для услуг 37 класса МКТУ на имя разных лиц, — на </w:t>
      </w:r>
      <w:r>
        <w:rPr>
          <w:b w:val="0"/>
          <w:highlight w:val="yellow"/>
        </w:rPr>
        <w:t>[__]</w:t>
      </w:r>
      <w:r>
        <w:rPr>
          <w:b w:val="0"/>
        </w:rPr>
        <w:t xml:space="preserve"> л.</w:t>
      </w:r>
    </w:p>
    <w:p>
      <w:pPr>
        <w:ind w:left="709" w:hanging="340"/>
        <w:jc w:val="both"/>
      </w:pPr>
      <w:r>
        <w:rPr>
          <w:b w:val="0"/>
        </w:rPr>
        <w:t>3.</w:t>
        <w:tab/>
        <w:t xml:space="preserve">Сведения из Государственного реестра о товарных знаках с изображением автомобиля, зарегистрированных для услуг 37 класса МКТУ на имя разных лиц, — на </w:t>
      </w:r>
      <w:r>
        <w:rPr>
          <w:b w:val="0"/>
          <w:highlight w:val="yellow"/>
        </w:rPr>
        <w:t>[__]</w:t>
      </w:r>
      <w:r>
        <w:rPr>
          <w:b w:val="0"/>
        </w:rPr>
        <w:t xml:space="preserve"> л.</w:t>
      </w:r>
    </w:p>
    <w:p>
      <w:pPr>
        <w:ind w:left="709" w:hanging="340"/>
        <w:jc w:val="both"/>
      </w:pPr>
      <w:r>
        <w:rPr>
          <w:b w:val="0"/>
        </w:rPr>
        <w:t>4.</w:t>
        <w:tab/>
      </w:r>
      <w:r>
        <w:rPr>
          <w:b w:val="0"/>
          <w:highlight w:val="yellow"/>
        </w:rPr>
        <w:t>[Письма-согласия правообладателей противопоставленных знаков — при наличии.]</w:t>
      </w:r>
    </w:p>
    <w:p/>
    <w:p>
      <w:pPr>
        <w:jc w:val="left"/>
      </w:pPr>
      <w:r>
        <w:rPr>
          <w:b w:val="0"/>
        </w:rPr>
        <w:t>Заявитель ______________________ / И. А. Кирюшин /</w:t>
      </w:r>
    </w:p>
    <w:p>
      <w:pPr>
        <w:jc w:val="left"/>
      </w:pPr>
      <w:r>
        <w:rPr>
          <w:b w:val="0"/>
        </w:rPr>
        <w:t>«___» ____________ 20___ г.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