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Сверка статей с ТЗ</w:t>
      </w:r>
    </w:p>
    <w:p>
      <w:pPr>
        <w:pStyle w:val="BodyText"/>
      </w:pPr>
      <w:r>
        <w:t xml:space="preserve">Внутренняя проверка</w:t>
      </w:r>
    </w:p>
    <w:bookmarkStart w:id="32" w:name="сверка-шести-готовых-статей-с-тз"/>
    <w:p>
      <w:pPr>
        <w:pStyle w:val="Heading1"/>
      </w:pPr>
      <w:r>
        <w:t xml:space="preserve">Сверка шести готовых статей с ТЗ</w:t>
      </w:r>
    </w:p>
    <w:p>
      <w:pPr>
        <w:pStyle w:val="FirstParagraph"/>
      </w:pPr>
      <w:r>
        <w:t xml:space="preserve">Проверено 29.10.2026 · по файлу</w:t>
      </w:r>
      <w:r>
        <w:t xml:space="preserve"> </w:t>
      </w:r>
      <w:r>
        <w:rPr>
          <w:rStyle w:val="VerbatimChar"/>
        </w:rPr>
        <w:t xml:space="preserve">tz-dorabotka-8-statey.xlsx</w:t>
      </w:r>
      <w:r>
        <w:t xml:space="preserve"> </w:t>
      </w:r>
      <w:r>
        <w:t xml:space="preserve">· 36 пунктов ТЗ, 19 ключей · время чтения ~7 минут</w:t>
      </w:r>
    </w:p>
    <w:p>
      <w:pPr>
        <w:pStyle w:val="BodyText"/>
      </w:pPr>
      <w:r>
        <w:rPr>
          <w:bCs/>
          <w:b/>
        </w:rPr>
        <w:t xml:space="preserve">33</w:t>
      </w:r>
      <w:r>
        <w:t xml:space="preserve">пункта выполнены</w:t>
      </w:r>
    </w:p>
    <w:p>
      <w:pPr>
        <w:pStyle w:val="BodyText"/>
      </w:pPr>
      <w:r>
        <w:rPr>
          <w:bCs/>
          <w:b/>
        </w:rPr>
        <w:t xml:space="preserve">2</w:t>
      </w:r>
      <w:r>
        <w:t xml:space="preserve">исправлены сейчас</w:t>
      </w:r>
    </w:p>
    <w:p>
      <w:pPr>
        <w:pStyle w:val="BodyText"/>
      </w:pPr>
      <w:r>
        <w:rPr>
          <w:bCs/>
          <w:b/>
        </w:rPr>
        <w:t xml:space="preserve">1</w:t>
      </w:r>
      <w:r>
        <w:t xml:space="preserve">нужен ваш ответ</w:t>
      </w:r>
    </w:p>
    <w:p>
      <w:pPr>
        <w:pStyle w:val="BodyText"/>
      </w:pPr>
      <w:r>
        <w:rPr>
          <w:bCs/>
          <w:b/>
        </w:rPr>
        <w:t xml:space="preserve">19/19</w:t>
      </w:r>
      <w:r>
        <w:t xml:space="preserve">ключей ТЗ в текстах</w:t>
      </w:r>
    </w:p>
    <w:p>
      <w:pPr>
        <w:pStyle w:val="BodyText"/>
      </w:pPr>
      <w:r>
        <w:rPr>
          <w:bCs/>
          <w:b/>
        </w:rPr>
        <w:t xml:space="preserve">Главное.</w:t>
      </w:r>
      <w:r>
        <w:t xml:space="preserve"> </w:t>
      </w:r>
      <w:r>
        <w:t xml:space="preserve">Из 36 пунктов ТЗ по шести статьям не было выполнено два — оба в статье 4, оба исправлены сейчас. Один пункт в статье 3 выполнен по смыслу, но в самом ТЗ фраза обрывается, и я не могу сверить его дословно. Все 19 ключей, которые заданы в ТЗ, в текстах присутствуют.</w:t>
      </w:r>
    </w:p>
    <w:p>
      <w:pPr>
        <w:pStyle w:val="BodyText"/>
      </w:pPr>
      <w:r>
        <w:t xml:space="preserve">Отдельно: в присланном файле ТЗ ключей нет у трёх статей из девяти — 4, 6 и 8. Ключи для них я взял из таблицы ключей на 2026 год — по одному на статью, столько, сколько встаёт в речь без добавочных фраз; для статьи 8 отложил до её написания. Список — в конце.</w:t>
      </w:r>
    </w:p>
    <w:bookmarkStart w:id="20" w:name="статья-1.-как-проверить-свою-бухгалтерию"/>
    <w:p>
      <w:pPr>
        <w:pStyle w:val="Heading2"/>
      </w:pPr>
      <w:r>
        <w:t xml:space="preserve">Статья 1. Как проверить свою бухгалтерию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Пункт 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в статье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Блок «Зачем проверять работу бухгалтерии»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«Зачем проверять работу бухгалтерии»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Блок «Как провести проверку бухгалтерии» + разница между оценкой руководителя и профессиональной проверкой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«Как провести проверку бухгалтерии»; абзац «Здесь важно разделить два разных действия…» и перечень того, что руководитель может посмотреть сам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«Кратко о процессе инициативного аудита»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«Как проходит инициативный аудит» — название изменено, содержание 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«Типичные ошибки и нарушения»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«Типичные ошибки и нарушения, которые выявляет проверка»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Виды инициативного аудита, не дублируя перечень задач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«Виды инициативного аудита» + таблица; оставлены только те виды, которые компания проводит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Дополнить преимущества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«Преимущества инициативного аудита»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Ключи (7 из 7):</w:t>
      </w:r>
      <w:r>
        <w:t xml:space="preserve"> </w:t>
      </w:r>
      <w:r>
        <w:t xml:space="preserve">как проверить бухгалтерию организации · как провести проверку бухгалтерии · проверка бухгалтерии · проверка работы бухгалтерии · инициативный аудит · инициативный аудит виды · провести инициативный аудит</w:t>
      </w:r>
    </w:p>
    <w:bookmarkEnd w:id="20"/>
    <w:bookmarkStart w:id="21" w:name="статья-2.-налоговые-льготы-в-регионах"/>
    <w:p>
      <w:pPr>
        <w:pStyle w:val="Heading2"/>
      </w:pPr>
      <w:r>
        <w:t xml:space="preserve">Статья 2. Налоговые льготы в регионах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Пункт 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в статье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Актуализировать блок о региональных льготах: условия, полномочия регионов, категории и виды деятельности, примеры ставок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«Что изменилось в региональных льготах с 2026 года» и «Какую ставку УСН может установить регион» + таблица ставок; примеры сверены по региональным законам, а не перенесены как 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Доработать раздел о налоговых каникулах по изменениям в законе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«Налоговые каникулы в 2026 году»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Блок «Как узнать, какие льготы действуют в вашем регионе»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с этим названием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Раздел «Налоги в новых регионах в 2026 году», кратко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с этим названием, четыре региона и переходный период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Проверить все примеры на актуальность 2026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ставок; отдельно H2 «Переезд в льготный регион: почему это больше не даёт экономии» — исходное утверждение оказалось неверным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Ключи (6 из 6):</w:t>
      </w:r>
      <w:r>
        <w:t xml:space="preserve"> </w:t>
      </w:r>
      <w:r>
        <w:t xml:space="preserve">льготы по налогам в регионах · налоги в новых регионах 2026 · налоговые каникулы в 2026 · налоговые каникулы какие регионы · налоговые каникулы по регионам · налоговые льготы в регионе</w:t>
      </w:r>
    </w:p>
    <w:bookmarkEnd w:id="21"/>
    <w:bookmarkStart w:id="22" w:name="статья-3.-налоговая-нагрузка"/>
    <w:p>
      <w:pPr>
        <w:pStyle w:val="Heading2"/>
      </w:pPr>
      <w:r>
        <w:t xml:space="preserve">Статья 3. Налоговая нагрузка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Пункт 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в статье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Небольшой актуальный раздел: почему показатель важен именно в 2026 году; сравнивать не с «нормальным процентом», а с сопоставимыми; влияют отрасль, режим, масштаб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«Почему в 2026 году показатель нужно считать заново»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«Кто и зачем следит за уровнем налоговой нагрузки»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с этим названием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Блок об оптимизации без рисков, «основной акцент на двух группах:»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«Как снизить налоговую нагрузку без рисков для бизнеса». Сделано две группы: выбор режима и использование льгот — и работа с расходами и документами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ваш ответ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Обновить блок со среднеотраслевыми показателями по данным ФНС за 2025 год, компактно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«С чем сравнивать: показатели налоговой нагрузки организаций за 2025 год» + таблица на 8 отраслей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Проверить информацию о пороге 1% и банках; не оставлять 1% как универсальное правило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«Что смотрят банки» + вопрос в блоке «Вопрос-ответ». Утверждение про 1% как общее правило снято: оно не подтверждается ни 115-ФЗ, ни методическими рекомендациями Банка России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Структура: что такое → как рассчитывается → с чем сравнивать → кто следит → риски → как посчитать → как оптимизировать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Соблюдена. Расчёт стоит сразу после определения, отдельного блока «как посчитать» в конце нет — иначе он дублировал бы раздел «Как рассчитать налоговую нагрузку»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Ключи (3 из 3):</w:t>
      </w:r>
      <w:r>
        <w:t xml:space="preserve"> </w:t>
      </w:r>
      <w:r>
        <w:t xml:space="preserve">налоговая нагрузка 2026 · налоговой нагрузки организации · показатели налоговой нагрузки организации</w:t>
      </w:r>
    </w:p>
    <w:p>
      <w:pPr>
        <w:pStyle w:val="BodyText"/>
      </w:pPr>
      <w:r>
        <w:rPr>
          <w:bCs/>
          <w:b/>
        </w:rPr>
        <w:t xml:space="preserve">Что нужно от вас по пункту 3.</w:t>
      </w:r>
      <w:r>
        <w:t xml:space="preserve"> </w:t>
      </w:r>
      <w:r>
        <w:t xml:space="preserve">В файле ТЗ фраза «Основной акцент сделать на двух группах:» обрывается — самих групп в ячейке нет. Я разделил блок на выбор режима с льготами и работу с расходами. Если имелись в виду другие две группы, напишите какие — перестрою раздел.</w:t>
      </w:r>
    </w:p>
    <w:bookmarkEnd w:id="22"/>
    <w:bookmarkStart w:id="23" w:name="X716f3d70d1adfebda38bc8c1df7de4506a115fc"/>
    <w:p>
      <w:pPr>
        <w:pStyle w:val="Heading2"/>
      </w:pPr>
      <w:r>
        <w:t xml:space="preserve">Статья 4. Дефицит кадров и зарплатные налоги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Пункт 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в статье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Полностью актуализировать цифры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Единый тариф 30% и 15,1% сверх базы, предельная база 2 979 000 ₽, пятиступенчатая шкала НДФЛ, МРОТ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Блок о НДФЛ: налог физлица, работодатель — налоговый агент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«НДФЛ — налог работника, а не работодателя»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Блок о МСП + один конкретный расчёт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«Расчёт: сколько стоит сотрудник с зарплатой 60 000 ₽» + таблица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«Что изменилось в зарплатных налогах в 2026 году»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с этим названием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«Что происходит с рынком труда в России в 2026 году»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«Что происходит с рынком труда в 2026 году»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«А вот так нельзя: схемы, которые не являются оптимизацией»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«Схемы, которые не являются оптимизацией»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«Что действительно можно сделать легально»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«Что действительно можно сделать законно»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Переработать блок про специальные льготные тарифы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«Кто сохранил льготные тарифы»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«Экономия страховых взносов: что реально работает»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Отдельного блока не было: шесть инструментов стояли одним списком внутри пункта 7. Сейчас список разделён на H3 «Экономия страховых взносов: что реально работает» (тариф, ученический договор, компенсации, аутсорсинг) и H3 «Как снизить не только налоги, но и общие расходы на персонал» (автоматизация, структура выплат, текучесть)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исправлено сейчас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«Что изменится в 2027 году», без категоричного прогноза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с этим названием, только принятые параметры, прогноз не категоричный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Структура: … → как снизить не только налоги, но и общие расходы на персонал → что ждать в 2027 году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 про общие расходы теперь вынесен в отдельный H3 — до правки его в структуре не было видно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исправлено сейчас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Ключи:</w:t>
      </w:r>
      <w:r>
        <w:t xml:space="preserve"> </w:t>
      </w:r>
      <w:r>
        <w:t xml:space="preserve">в ТЗ не заданы. Взяты из таблицы ключей — ниже.</w:t>
      </w:r>
    </w:p>
    <w:bookmarkEnd w:id="23"/>
    <w:bookmarkStart w:id="24" w:name="статья-5.-налог-на-прибыль-на-пальцах"/>
    <w:p>
      <w:pPr>
        <w:pStyle w:val="Heading2"/>
      </w:pPr>
      <w:r>
        <w:t xml:space="preserve">Статья 5. Налог на прибыль «на пальцах»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Пункт 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в статье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Пересчитать пример с табуретами на 2026 год, оформить таблицей, выделить три результата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«Пример с табуретами: считаем на цифрах» + таблица; выручка без НДС, прибыль и налог выделены жирным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«Что важно помнить при расчёте»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с этим названием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Доходы и расходы, два H3; пример с такси, рестораном и бензином оставить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«Какие доходы и расходы учитываются» + H3 «Какие доходы учитываются» и «Какие расходы можно учесть»; пример с такси, рестораном и бензином сохранён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Прямые и косвенные расходы отдельным блоком, пример с табуретами: покупка, расходы до склада, доставка покупателю, момент признания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«Прямые и косвенные расходы» — все четыре элемента примера на месте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Актуализировать ставку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«Ставка налога на прибыль в 2026 году» — 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Актуализировать и структурировать авансовые платежи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«Как платить налог и авансовые платежи»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Новый блок «Декларация по налогу на прибыль»: зачем, когда, зависимость сроков от периода, что отражает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с этим названием, все четыре вопроса раскрыты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Итоговая таблица «Налог на прибыль: главное»: что проверяем / что важно знать в 2026 году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«Налог на прибыль: главное» + таблица с этими двумя колонками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Структура из 11 шагов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Соблюдена полностью, в заданном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Ключи (3 из 3):</w:t>
      </w:r>
      <w:r>
        <w:t xml:space="preserve"> </w:t>
      </w:r>
      <w:r>
        <w:t xml:space="preserve">декларация по налогу на прибыль · налог на прибыль · налог на прибыль в 2026</w:t>
      </w:r>
    </w:p>
    <w:bookmarkEnd w:id="24"/>
    <w:bookmarkStart w:id="25" w:name="статья-6.-учёт-у-ип"/>
    <w:p>
      <w:pPr>
        <w:pStyle w:val="Heading2"/>
      </w:pPr>
      <w:r>
        <w:t xml:space="preserve">Статья 6. Учёт у ИП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Пункт 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в статье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Структура из 10 шагов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Соблюдена полностью: разница → обязан ли ИП → какой налоговый учёт → что зависит от режима → сравнение → подводные камни → зачем добровольно → на что обратить внимание в 2026 → бухгалтерская программа → вывод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Актуализировать лимиты 2026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Патент 20 млн ₽, упрощёнка 490,5 млн ₽, основные средства 200 млн ₽. Все три в исходнике были устаревшими, лимит патента — в три раза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Доработать блок про основные средства, сохранить мысль, актуализировать цифру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Мысль сохранена: без бухучёта не посчитать остаточную стоимость, от которой зависит право на упрощёнку. Цифра «близка к 100 миллионам» заменена на 200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Блок «Подводные камни: почему два учёта нельзя смешивать»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«Подводные камни: почему два учёта нельзя смешивать»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«На что обратить внимание ИП уже сегодня» + чек-лист по существующим тезисам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«На что обратить внимание в 2026 году» и H2 «Чек-лист: что проверить уже сегодня»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Перенести изображения в текст: таблицы напечатаны, а не картинкой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 таблицы набраны текстом, картинок в статье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Сравнительная таблица + таблица по налоговым режимам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«бухгалтерский против налогового учёта» и таблица по режимам: что ведём, на чём, чем грозит отсутствие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Ключи:</w:t>
      </w:r>
      <w:r>
        <w:t xml:space="preserve"> </w:t>
      </w:r>
      <w:r>
        <w:t xml:space="preserve">в ТЗ не заданы. Взяты из таблицы ключей — ниже.</w:t>
      </w:r>
    </w:p>
    <w:bookmarkEnd w:id="25"/>
    <w:bookmarkStart w:id="29" w:name="ключи-для-статей-без-ключей-в-тз"/>
    <w:p>
      <w:pPr>
        <w:pStyle w:val="Heading2"/>
      </w:pPr>
      <w:r>
        <w:t xml:space="preserve">Ключи для статей без ключей в ТЗ</w:t>
      </w:r>
    </w:p>
    <w:p>
      <w:pPr>
        <w:pStyle w:val="FirstParagraph"/>
      </w:pPr>
      <w:r>
        <w:t xml:space="preserve">Взяты из присланной таблицы ключей на 2026 год. Это коммерческие запросы — в информационный текст они не вставляются по всему объёму без вреда для него, поэтому место для них одно: призыв к действию в конце, где речь и идёт об услуге. И берётся столько, сколько встаёт в речь: ключ, под который приходится придумывать отдельное предложение, не берётся. Частотность указана по таблице.</w:t>
      </w:r>
    </w:p>
    <w:bookmarkStart w:id="26" w:name="статья-4-вставлен-один"/>
    <w:p>
      <w:pPr>
        <w:pStyle w:val="Heading3"/>
      </w:pPr>
      <w:r>
        <w:t xml:space="preserve">Статья 4 — вставлен один</w:t>
      </w:r>
    </w:p>
    <w:p>
      <w:pPr>
        <w:pStyle w:val="FirstParagraph"/>
      </w:pPr>
      <w:r>
        <w:rPr>
          <w:bCs/>
          <w:b/>
        </w:rPr>
        <w:t xml:space="preserve">консультация бухгалтера по зарплате</w:t>
      </w:r>
      <w:r>
        <w:t xml:space="preserve"> </w:t>
      </w:r>
      <w:r>
        <w:t xml:space="preserve">— 27</w:t>
      </w:r>
    </w:p>
    <w:p>
      <w:pPr>
        <w:pStyle w:val="BodyText"/>
      </w:pPr>
      <w:r>
        <w:t xml:space="preserve">Как это читается в конце статьи: «…оставьте заявку: проверим ОКВЭД, долю доходов и расчёт взносов на ваших цифрах. Если вопрос точечный — пересчёт НДФЛ, отпускные, оформление компенсаций, — подойдёт консультация бухгалтера по зарплате».</w:t>
      </w:r>
    </w:p>
    <w:p>
      <w:pPr>
        <w:pStyle w:val="BodyText"/>
      </w:pPr>
      <w:r>
        <w:t xml:space="preserve">Не взял:</w:t>
      </w:r>
      <w:r>
        <w:t xml:space="preserve"> </w:t>
      </w:r>
      <w:r>
        <w:rPr>
          <w:iCs/>
          <w:i/>
        </w:rPr>
        <w:t xml:space="preserve">налоговый консалтинг</w:t>
      </w:r>
      <w:r>
        <w:t xml:space="preserve"> </w:t>
      </w:r>
      <w:r>
        <w:t xml:space="preserve">(790) и</w:t>
      </w:r>
      <w:r>
        <w:t xml:space="preserve"> </w:t>
      </w:r>
      <w:r>
        <w:rPr>
          <w:iCs/>
          <w:i/>
        </w:rPr>
        <w:t xml:space="preserve">консультация по оптимизации налогов</w:t>
      </w:r>
      <w:r>
        <w:t xml:space="preserve"> </w:t>
      </w:r>
      <w:r>
        <w:t xml:space="preserve">(24) — рядом они дают два названия услуг подряд, и конец статьи начинает читаться как прайс;</w:t>
      </w:r>
      <w:r>
        <w:t xml:space="preserve"> </w:t>
      </w:r>
      <w:r>
        <w:rPr>
          <w:iCs/>
          <w:i/>
        </w:rPr>
        <w:t xml:space="preserve">бухгалтерские услуги заработная плата</w:t>
      </w:r>
      <w:r>
        <w:t xml:space="preserve"> </w:t>
      </w:r>
      <w:r>
        <w:t xml:space="preserve">(154) — в точной форме по-русски не ставится;</w:t>
      </w:r>
      <w:r>
        <w:t xml:space="preserve"> </w:t>
      </w:r>
      <w:r>
        <w:rPr>
          <w:iCs/>
          <w:i/>
        </w:rPr>
        <w:t xml:space="preserve">консультация бухгалтера по НДФЛ</w:t>
      </w:r>
      <w:r>
        <w:t xml:space="preserve"> </w:t>
      </w:r>
      <w:r>
        <w:t xml:space="preserve">(13) — почти повтор взятого.</w:t>
      </w:r>
    </w:p>
    <w:bookmarkEnd w:id="26"/>
    <w:bookmarkStart w:id="27" w:name="статья-6-вставлен-один"/>
    <w:p>
      <w:pPr>
        <w:pStyle w:val="Heading3"/>
      </w:pPr>
      <w:r>
        <w:t xml:space="preserve">Статья 6 — вставлен один</w:t>
      </w:r>
    </w:p>
    <w:p>
      <w:pPr>
        <w:pStyle w:val="FirstParagraph"/>
      </w:pPr>
      <w:r>
        <w:rPr>
          <w:bCs/>
          <w:b/>
        </w:rPr>
        <w:t xml:space="preserve">бухгалтерское сопровождение ИП</w:t>
      </w:r>
      <w:r>
        <w:t xml:space="preserve"> </w:t>
      </w:r>
      <w:r>
        <w:t xml:space="preserve">— 209</w:t>
      </w:r>
    </w:p>
    <w:p>
      <w:pPr>
        <w:pStyle w:val="BodyText"/>
      </w:pPr>
      <w:r>
        <w:t xml:space="preserve">Как это читается: «…оставьте заявку на бухгалтерское сопровождение ИП: посмотрим книгу учёта, посчитаем доход нарастающим итогом и скажем, что нужно поправить». В исходном призыве уже стояло «бухгалтерское сопровождение» — добавилось одно слово, новых фраз нет.</w:t>
      </w:r>
    </w:p>
    <w:p>
      <w:pPr>
        <w:pStyle w:val="BodyText"/>
      </w:pPr>
      <w:r>
        <w:t xml:space="preserve">Не взял:</w:t>
      </w:r>
      <w:r>
        <w:t xml:space="preserve"> </w:t>
      </w:r>
      <w:r>
        <w:rPr>
          <w:iCs/>
          <w:i/>
        </w:rPr>
        <w:t xml:space="preserve">консультация бухгалтера для ИП</w:t>
      </w:r>
      <w:r>
        <w:t xml:space="preserve"> </w:t>
      </w:r>
      <w:r>
        <w:t xml:space="preserve">(197) и</w:t>
      </w:r>
      <w:r>
        <w:t xml:space="preserve"> </w:t>
      </w:r>
      <w:r>
        <w:rPr>
          <w:iCs/>
          <w:i/>
        </w:rPr>
        <w:t xml:space="preserve">консультации по налогам для ИП</w:t>
      </w:r>
      <w:r>
        <w:t xml:space="preserve"> </w:t>
      </w:r>
      <w:r>
        <w:t xml:space="preserve">(46) — обе помещались только добавочным предложением с перечислением услуг;</w:t>
      </w:r>
      <w:r>
        <w:t xml:space="preserve"> </w:t>
      </w:r>
      <w:r>
        <w:rPr>
          <w:iCs/>
          <w:i/>
        </w:rPr>
        <w:t xml:space="preserve">бухгалтерские услуги учет ип</w:t>
      </w:r>
      <w:r>
        <w:t xml:space="preserve"> </w:t>
      </w:r>
      <w:r>
        <w:t xml:space="preserve">(145) и</w:t>
      </w:r>
      <w:r>
        <w:t xml:space="preserve"> </w:t>
      </w:r>
      <w:r>
        <w:rPr>
          <w:iCs/>
          <w:i/>
        </w:rPr>
        <w:t xml:space="preserve">услуги ведение бухгалтерского учета ип</w:t>
      </w:r>
      <w:r>
        <w:t xml:space="preserve"> </w:t>
      </w:r>
      <w:r>
        <w:t xml:space="preserve">(44) — не склеиваются без разрыва падежей.</w:t>
      </w:r>
    </w:p>
    <w:bookmarkEnd w:id="27"/>
    <w:bookmarkStart w:id="28" w:name="статья-8-предлагаю-к-согласованию"/>
    <w:p>
      <w:pPr>
        <w:pStyle w:val="Heading3"/>
      </w:pPr>
      <w:r>
        <w:t xml:space="preserve">Статья 8 — предлагаю к согласованию</w:t>
      </w:r>
    </w:p>
    <w:p>
      <w:pPr>
        <w:pStyle w:val="FirstParagraph"/>
      </w:pPr>
      <w:r>
        <w:t xml:space="preserve">Статья ещё не написана, вставлять некуда. Для неё в таблице есть лист ровно по теме: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главный бухгалтер удаленно</w:t>
      </w:r>
      <w:r>
        <w:t xml:space="preserve"> </w:t>
      </w:r>
      <w:r>
        <w:t xml:space="preserve">— 1532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подбор главного бухгалтера</w:t>
      </w:r>
      <w:r>
        <w:t xml:space="preserve"> </w:t>
      </w:r>
      <w:r>
        <w:t xml:space="preserve">— 64</w:t>
      </w:r>
    </w:p>
    <w:p>
      <w:pPr>
        <w:pStyle w:val="FirstParagraph"/>
      </w:pPr>
      <w:r>
        <w:t xml:space="preserve">Оба ложатся в статью сами: она о том, повышать ли главбуху зарплату, а альтернатива — удалённый главбух или поиск другого.</w:t>
      </w:r>
      <w:r>
        <w:t xml:space="preserve"> </w:t>
      </w:r>
      <w:r>
        <w:rPr>
          <w:iCs/>
          <w:i/>
        </w:rPr>
        <w:t xml:space="preserve">Аутсорсинг бухгалтерских услуг</w:t>
      </w:r>
      <w:r>
        <w:t xml:space="preserve"> </w:t>
      </w:r>
      <w:r>
        <w:t xml:space="preserve">(1058) возьму только если по тексту он встанет без отдельной фразы под него.</w:t>
      </w:r>
    </w:p>
    <w:bookmarkEnd w:id="28"/>
    <w:bookmarkEnd w:id="29"/>
    <w:bookmarkStart w:id="30" w:name="что-изменилось-в-файлах"/>
    <w:p>
      <w:pPr>
        <w:pStyle w:val="Heading2"/>
      </w:pPr>
      <w:r>
        <w:t xml:space="preserve">Что изменилось в файлах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Статья 4</w:t>
      </w:r>
      <w:r>
        <w:t xml:space="preserve"> </w:t>
      </w:r>
      <w:r>
        <w:t xml:space="preserve">— список инструментов разделён на два H3 по пунктам 7 и 9 ТЗ; один ключ в призыв к действию. Пересобраны</w:t>
      </w:r>
      <w:r>
        <w:t xml:space="preserve"> </w:t>
      </w:r>
      <w:r>
        <w:rPr>
          <w:rStyle w:val="VerbatimChar"/>
        </w:rPr>
        <w:t xml:space="preserve">statya-4-zarplatnye-nalogi.docx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RAZM-statya-4-zarplatnye-nalogi.docx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Статья 6</w:t>
      </w:r>
      <w:r>
        <w:t xml:space="preserve"> </w:t>
      </w:r>
      <w:r>
        <w:t xml:space="preserve">— один ключ в призыв к действию. Пересобраны</w:t>
      </w:r>
      <w:r>
        <w:t xml:space="preserve"> </w:t>
      </w:r>
      <w:r>
        <w:rPr>
          <w:rStyle w:val="VerbatimChar"/>
        </w:rPr>
        <w:t xml:space="preserve">statya-6-uchet-dlya-ip.docx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RAZM-statya-6-uchet-dlya-ip.docx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Статьи 1, 2, 3, 5 — правок не потребовалось.</w:t>
      </w:r>
    </w:p>
    <w:bookmarkEnd w:id="30"/>
    <w:bookmarkStart w:id="31" w:name="про-присланный-файл-тз"/>
    <w:p>
      <w:pPr>
        <w:pStyle w:val="Heading2"/>
      </w:pPr>
      <w:r>
        <w:t xml:space="preserve">Про присланный файл ТЗ</w:t>
      </w:r>
    </w:p>
    <w:p>
      <w:pPr>
        <w:pStyle w:val="FirstParagraph"/>
      </w:pPr>
      <w:r>
        <w:t xml:space="preserve">Файл, который вы прислали вместе с ключами, по содержимому совпадает с прежним ТЗ до символа — он просто пересохранён. Ключей для статей 4, 6 и 8 в нём нет: столбец «Ключи» у этих трёх строк пустой, и в тексте задания ключи тоже не упоминаются. Так что это не потерянная версия, а особенность самого ТЗ — поэтому и понадобилась таблица ключей.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2026-10-29T08:20:55Z</dcterms:created>
  <dcterms:modified xsi:type="dcterms:W3CDTF">2026-10-29T08:20:55Z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