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onsolas" w:cs="Consolas" w:eastAsia="Consolas" w:hAnsi="Consolas"/>
          <w:b w:val="false"/>
          <w:bCs w:val="false"/>
          <w:color w:val="806000"/>
          <w:sz w:val="20"/>
          <w:szCs w:val="20"/>
        </w:rPr>
        <w:t xml:space="preserve">ПАМЯТКА ДЛЯ РАЗМЕЩЕНИЯ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1. Всё в квадратных скобках [ ] и в блоках 【 】 — служебное, на страницу не идёт.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   Перед публикацией очистить текст от служебных пометок.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2. В статье только один H1.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3. Заголовки без точки в конце.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4. Meta title, meta description и URL — в соответствующие поля CMS, не в текст.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5. Таблицы вставлять таблицами, списки — списками (не картинками и не текстом).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6. Внутренние ссылки ставить на реальные страницы услуг — адреса проверить.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7. Внешние ссылки закрыть: rel="nofollow noindex".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8. Изображений в статье нет. Если добавляете — каждому прописать ALT.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9. Блок «Вопрос-ответ» вывести с микроразметкой FAQPage (schema.org).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10. Призыв к действию выделить визуально — рамкой или плашкой. Контактов в нём нет.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 w:val="false"/>
          <w:bCs w:val="false"/>
          <w:color w:val="806000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 w:val="false"/>
          <w:bCs w:val="false"/>
          <w:color w:val="806000"/>
          <w:sz w:val="20"/>
          <w:szCs w:val="20"/>
        </w:rPr>
        <w:t xml:space="preserve">【META TITLE: Повышать ли зарплату главбуху: 11 вопросов для решения】</w:t>
      </w:r>
    </w:p>
    <w:p>
      <w:pPr>
        <w:spacing w:after="60"/>
      </w:pPr>
      <w:r>
        <w:rPr>
          <w:rFonts w:ascii="Consolas" w:cs="Consolas" w:eastAsia="Consolas" w:hAnsi="Consolas"/>
          <w:b w:val="false"/>
          <w:bCs w:val="false"/>
          <w:color w:val="806000"/>
          <w:sz w:val="20"/>
          <w:szCs w:val="20"/>
        </w:rPr>
        <w:t xml:space="preserve">【META DESCRIPTION: Как объективно решить, повышать ли зарплату главному бухгалтеру: чек-лист из 11 вопросов, таблица функционала, расчёт стоимости штатной единицы и альтернативы.】</w:t>
      </w:r>
    </w:p>
    <w:p>
      <w:pPr>
        <w:spacing w:after="60"/>
      </w:pPr>
      <w:r>
        <w:rPr>
          <w:rFonts w:ascii="Consolas" w:cs="Consolas" w:eastAsia="Consolas" w:hAnsi="Consolas"/>
          <w:b w:val="false"/>
          <w:bCs w:val="false"/>
          <w:color w:val="806000"/>
          <w:sz w:val="20"/>
          <w:szCs w:val="20"/>
        </w:rPr>
        <w:t xml:space="preserve">【URL: оставить прежний — /news/glavbukh-prosit-povysit-zarplatu-povyshat-ili-net-11-voprosov-chtoby-reshit-obektivno/】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 w:val="false"/>
          <w:bCs w:val="false"/>
          <w:color w:val="806000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806000"/>
          <w:sz w:val="26"/>
          <w:szCs w:val="26"/>
        </w:rPr>
        <w:t xml:space="preserve">[H1] Главбух просит повысить зарплату. Повышать или нет: 11 вопросов, чтобы решить объективно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806000"/>
          <w:sz w:val="26"/>
          <w:szCs w:val="26"/>
        </w:rPr>
        <w:t xml:space="preserve">[H2] Коротко: повышать зарплату главбуху или нет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 w:val="false"/>
          <w:bCs w:val="false"/>
          <w:color w:val="806000"/>
          <w:sz w:val="20"/>
          <w:szCs w:val="20"/>
        </w:rPr>
        <w:t xml:space="preserve">【ВРЕМЯ ЧТЕНИЯ: вывести в шапке статьи】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⏱ Время чтения: 10 минут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Повышать зарплату главбуху имеет смысл, когда его реальный объём работы вырос или изначально был недооценён, а текущая зарплата ниже рыночной стоимости этой работы. Если же дело в усталости или разовой нагрузке, часто выгоднее не поднимать зарплату, а разгрузить специалиста, автоматизировать рутину или передать часть участков на аутсорсинг.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Чтобы решить, как поступить, ответьте на 11 вопросов ниже — они помогают разложить работу бухгалтера по полочкам и понять две вещи: что именно он делает и сколько этот объём стоит на рынке.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806000"/>
          <w:sz w:val="26"/>
          <w:szCs w:val="26"/>
        </w:rPr>
        <w:t xml:space="preserve">[H2] Содержание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 w:val="false"/>
          <w:bCs w:val="false"/>
          <w:color w:val="806000"/>
          <w:sz w:val="20"/>
          <w:szCs w:val="20"/>
        </w:rPr>
        <w:t xml:space="preserve">【СПИСОК: маркированный &lt;ul&gt;】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• Чек-лист: 11 вопросов перед решением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• Что входит в работу главбуха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• Что изменилось за последнее время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• Сколько эта работа стоит на рынке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• Что можно предложить вместо повышения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• Порядок действий перед разговором о зарплате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806000"/>
          <w:sz w:val="26"/>
          <w:szCs w:val="26"/>
        </w:rPr>
        <w:t xml:space="preserve">[H2] Чек-лист: 11 вопросов перед решением о повышении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Вопросы разделены на четыре группы. Группы отвечают на разные вещи, и порядок здесь имеет значение: пока не ясно, что человек делает, считать деньги рано.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806000"/>
          <w:sz w:val="26"/>
          <w:szCs w:val="26"/>
        </w:rPr>
        <w:t xml:space="preserve">[H3] 1. Что входит в работу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 w:val="false"/>
          <w:bCs w:val="false"/>
          <w:color w:val="806000"/>
          <w:sz w:val="20"/>
          <w:szCs w:val="20"/>
        </w:rPr>
        <w:t xml:space="preserve">【СПИСОК: маркированный &lt;ul&gt;】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• Чем работа главбуха вас устраивает, а чем — нет?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• Есть ли оргсхема и выделена ли в ней должность финансиста или финдиректора?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• Какие должности в бухгалтерии предусмотрены по оргсхеме?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• Как разделён функционал на участки — есть ли регламенты?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• Что закреплено за главбухом в трудовом договоре?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• О чём договаривались при найме?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806000"/>
          <w:sz w:val="26"/>
          <w:szCs w:val="26"/>
        </w:rPr>
        <w:t xml:space="preserve">[H3] 2. Что изменилось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 w:val="false"/>
          <w:bCs w:val="false"/>
          <w:color w:val="806000"/>
          <w:sz w:val="20"/>
          <w:szCs w:val="20"/>
        </w:rPr>
        <w:t xml:space="preserve">【СПИСОК: маркированный &lt;ul&gt;】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• Индексировалась ли зарплата?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• Были ли замечания по итогам аудита?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• Выросла ли нагрузка?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806000"/>
          <w:sz w:val="26"/>
          <w:szCs w:val="26"/>
        </w:rPr>
        <w:t xml:space="preserve">[H3] 3. Сколько стоит эта работа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 w:val="false"/>
          <w:bCs w:val="false"/>
          <w:color w:val="806000"/>
          <w:sz w:val="20"/>
          <w:szCs w:val="20"/>
        </w:rPr>
        <w:t xml:space="preserve">【СПИСОК: маркированный &lt;ul&gt;】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• Сколько аналогичный объём стоит на рынке?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806000"/>
          <w:sz w:val="26"/>
          <w:szCs w:val="26"/>
        </w:rPr>
        <w:t xml:space="preserve">[H3] 4. Есть ли альтернатива повышению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 w:val="false"/>
          <w:bCs w:val="false"/>
          <w:color w:val="806000"/>
          <w:sz w:val="20"/>
          <w:szCs w:val="20"/>
        </w:rPr>
        <w:t xml:space="preserve">【СПИСОК: маркированный &lt;ul&gt;】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• Что можно предложить вместо повышения?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Шесть вопросов из одиннадцати — в первой группе: именно она даёт фактический объём работы. Остальные пять считаются уже от него.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806000"/>
          <w:sz w:val="26"/>
          <w:szCs w:val="26"/>
        </w:rPr>
        <w:t xml:space="preserve">[H2] Что входит в работу главбуха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Часто оказывается, что бухгалтер работает больше, чем формально закреплено, — или, наоборот, часть функций давно ушла, а зарплата осталась прежней. Поэтому первый шаг — собрать фактический функционал, а не тот, что в трудовом договоре.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Чем работа устраивает, а чем нет. Это отправная точка: сначала стоит понять, доволен ли собственник работой в принципе. Если есть претензии к качеству или срокам — это отдельный вопрос, и повышением зарплаты он не решается; сначала имеет смысл сформулировать ожидания и обсудить их с бухгалтером. Если же работой вы довольны — тем более когда хотите поручить новые задачи, — разговор о повышении обоснован.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Оргсхема: выделена ли должность финдиректора. Нередко главбух по факту закрывает и функцию финдиректора — составляет управленческую отчётность, участвует в решении финансовых вопросов, — но формально это не зафиксировано. Тогда вы платите за одну должность, а получаете две.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Должности в бухгалтерии по оргсхеме. Главбух, под которым работают ещё несколько специалистов, и главбух, который в одиночку ведёт весь учёт, — это разные роли и разная стоимость на рынке. Сравнивать зарплату нужно с похожей конфигурацией.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Регламенты и разделение участков. Есть ли документы, из которых видно, на какие участки разделён функционал бухгалтерии, — приказы, инструкции, положения, график документооборота, номенклатура дел? Если компания — это группа юрлиц и ИП, проверьте, есть ли такие документы по каждому субъекту учёта. Именно здесь чаще всего обнаруживается скрытый объём работы.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Что закреплено в трудовом договоре. Если формулировки размыты, а по факту на человеке несколько участков, объём, скорее всего, недооценён. При оценке зарплаты стоит отталкиваться от фактического функционала, а не от формально прописанных договорённостей.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Договорённости при приёме на работу. Были ли при найме устные договорённости — какие участки закреплены за главбухом и сколько стоит каждый из них? Если это группа компаний, полезно понять вес каждого участка по каждому юрлицу. Такая раскладка отвечает на главный вопрос: за что конкретно вы платите и сопоставима ли сумма с объёмом.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Чтобы перейти от общего ощущения к цифрам, выпишите участки. Таблица ниже — это форма для заполнения: отметьте, кто ведёт участок фактически, по скольким юрлицам и закреплён ли он документом.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806000"/>
          <w:sz w:val="26"/>
          <w:szCs w:val="26"/>
        </w:rPr>
        <w:t xml:space="preserve">[H3] Функционал главбуха: что входит в оценку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 w:val="false"/>
          <w:bCs w:val="false"/>
          <w:color w:val="806000"/>
          <w:sz w:val="20"/>
          <w:szCs w:val="20"/>
        </w:rPr>
        <w:t xml:space="preserve">【ТАБЛИЦА: 4 столбца × 7 строк, первая строка — заголовок】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Участок | Что сюда входит | Ведёт фактически | Закреплено документом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Зарплата и кадры | расчёт зарплаты, кадровые документы, отчётность по сотрудникам |  | 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Первичная документация | сбор, проверка, ввод первички, сверки с контрагентами |  | 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Казначейство | платежи, работа с банками, контроль остатков |  | 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Основные средства | учёт, амортизация, инвентаризация |  | 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Управленческий учёт | отчёты для руководства, а не для налоговой |  | 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Функция финдиректора | участие в финансовых решениях, планирование |  | 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Если компания — группа юрлиц или ИП, таблица заполняется по каждому субъекту учёта: один и тот же участок по трём юрлицам — это три объёма работы, а не один.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Два места, где обычно и обнаруживается недооценка: управленческий учёт и функция финдиректора. Это те строки, которые почти никогда не закреплены документом — и почти всегда кем-то ведутся.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806000"/>
          <w:sz w:val="26"/>
          <w:szCs w:val="26"/>
        </w:rPr>
        <w:t xml:space="preserve">[H2] Что изменилось за последнее время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Просьба о повышении редко возникает на пустом месте. За ней стоит либо выросшая нагрузка, либо ощущение, что зарплата отстала от рынка.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806000"/>
          <w:sz w:val="26"/>
          <w:szCs w:val="26"/>
        </w:rPr>
        <w:t xml:space="preserve">[H3] Индексация зарплаты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Если несколько лет зарплата оставалась неизменной, реальный доход за это время снизился — даже при том же объёме работы. Здесь полезно посчитать, а не спорить на ощущениях.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Инфляция по данным Росстата: 9,52% за 2024 год и 5,59% за 2025-й. Вместе это рост цен примерно на 15,6%. Обратная сторона: зарплата, которая не менялась с конца 2023 года, в реальном выражении похудела примерно на 13%. При окладе 100 000 ₽ это как если бы человеку платили 87 000 ₽ в деньгах того времени.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Поэтому бухгалтер может просить не прибавку, а индексацию — и это два разных разговора, которые важно не смешивать. Первый обсуждается, второй считается по открытым данным.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И ещё одно, о чём собственники часто не знают. Индексация — это обязанность, а не добрая воля. Статья 134 ТК РФ требует от работодателя обеспечивать повышение реального содержания заработной платы в связи с ростом потребительских цен. Для компаний вне бюджетной сферы порядок устанавливается своими документами — коллективным договором или локальным актом, — но сам порядок должен быть, и его отсутствие не отменяет обязанности. Верховный Суд исходит из того, что требование распространяется и на коммерческие организации, а Конституционный Суд указал: работодатель вправе определить порядок, но не вправе лишить работников этой гарантии.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Обязанность можно исполнить по-разному — повышением окладов, периодическими выплатами, — если механизм закреплён в локальном акте. Чего нельзя: оформить индексацию задним числом, когда вопрос уже возник.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806000"/>
          <w:sz w:val="26"/>
          <w:szCs w:val="26"/>
        </w:rPr>
        <w:t xml:space="preserve">[H3] Итоги аудита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Если проводился аудит — были ли к бухгалтеру вопросы? Если находили ошибки — исправлены ли они?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Аудит без замечаний — весомый аргумент в пользу качества работы. Если ошибки были и остались неисправленными, разговор о повышении логично отложить до того, как всё приведут в порядок. Если аудит давно не проводился, инициативный аудит бухгалтерской отчётности — понятный способ объективно оценить работу бухгалтера перед решением о зарплате.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Здесь стоит помнить, за что отвечает каждая сторона. За организацию бухгалтерского учёта отвечает руководитель компании, а не бухгалтер: это его обязанность по закону о бухучёте. Так что замечания аудита — это в том числе вопрос к тому, какие условия для работы созданы: есть ли регламенты, доходит ли первичка вовремя, не закрыт ли участок одним человеком без замены.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806000"/>
          <w:sz w:val="26"/>
          <w:szCs w:val="26"/>
        </w:rPr>
        <w:t xml:space="preserve">[H3] Выросла ли нагрузка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Существенный рост трудозатрат обычно дают: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 w:val="false"/>
          <w:bCs w:val="false"/>
          <w:color w:val="806000"/>
          <w:sz w:val="20"/>
          <w:szCs w:val="20"/>
        </w:rPr>
        <w:t xml:space="preserve">【СПИСОК: маркированный &lt;ul&gt;】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• переход на более сложный режим — например, на НДС;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• рост числа сотрудников, если бухгалтер считает зарплату;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• увеличение числа требований и запросов от ФНС по спорным операциям;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• начало экспорта и возмещение НДС;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• переход на новое программное обеспечение.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Если объём работы вырос — оцените это в часах вместе с бухгалтером. Одновременно учтите и возможное снижение нагрузки: закрыли направление или юрлицо, взяли помощника.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В 2026 году первый пункт этого списка сработал у многих сразу: порог, с которого на упрощёнке начинается НДС, снизился с 60 до 20 млн ₽. Переход на НДС добавляет бухгалтерии книги покупок и продаж, проверку счетов-фактур, сверки с контрагентами — и повышает цену ошибки. Если ваш учёт этот порог прошёл, рост нагрузки объективен, и его можно показать в часах.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806000"/>
          <w:sz w:val="26"/>
          <w:szCs w:val="26"/>
        </w:rPr>
        <w:t xml:space="preserve">[H2] Сколько эта работа стоит на рынке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806000"/>
          <w:sz w:val="26"/>
          <w:szCs w:val="26"/>
        </w:rPr>
        <w:t xml:space="preserve">[H3] Способ первый: оценить через аутсорсинг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Оцените стоимость этого объёма работы на аутсорсинге — во сколько обошлось бы бухгалтерское сопровождение того же масштаба. Ориентир: зарплата штатного специалиста «на руки» обычно составляет 50–60% от стоимости той же работы на аутсорсинге.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Разница объясняется тем, что штатный сотрудник — это не только зарплата: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 w:val="false"/>
          <w:bCs w:val="false"/>
          <w:color w:val="806000"/>
          <w:sz w:val="20"/>
          <w:szCs w:val="20"/>
        </w:rPr>
        <w:t xml:space="preserve">【ТАБЛИЦА: 3 столбца × 6 строк, первая строка — заголовок】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Что учесть | Штат: ваши расходы и заботы | Аутсорсинг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Зарплата «на руки» | платите напрямую | входит в стоимость услуг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Страховые взносы | платите сверх зарплаты | входит в стоимость услуг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Рабочее место, 1С, обновления | за ваш счёт | входит в стоимость услуг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Отпуска и больничные | оплачиваете, учёт на это время встаёт | входит в стоимость услуг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Замена при уходе специалиста | ищете сами | входит в стоимость услуг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Пример, иллюстративный. Если та же работа на аутсорсинге стоила бы 80 000 ₽ в месяц, справедливый ориентир по зарплате штатного специалиста «на руки» — примерно 40 000–48 000 ₽. Точную вилку смотрите по вакансиям в своём регионе.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Чтобы таблица превратилась в цифру, посчитаем, во что обходится оклад. Возьмём 100 000 ₽ в месяц — сумма модельная, подставьте свою.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 w:val="false"/>
          <w:bCs w:val="false"/>
          <w:color w:val="806000"/>
          <w:sz w:val="20"/>
          <w:szCs w:val="20"/>
        </w:rPr>
        <w:t xml:space="preserve">【ТАБЛИЦА: 3 столбца × 4 строк, первая строка — заголовок】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Что платим | В месяц | В год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Оклад | 100 000 ₽ | 1 200 000 ₽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Страховые взносы, единый тариф 30% | 30 000 ₽ | 360 000 ₽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Итого фонд | 130 000 ₽ | 1 560 000 ₽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И это только то, что уходит в бюджет. Сверх этого — рабочее место, лицензии на программы и их обновления, обучение, оплата отпуска и периода, когда учёт стоит, а также риск остаться без специалиста в середине года.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Два уточнения, без которых расчёт будет неверным. Единый тариф 30% действует в пределах предельной базы — на 2026 год это 2 979 000 ₽ нарастающим итогом с начала года; с суммы сверх базы тариф 15,1%. И если компания в реестре МСП и её основной вид деятельности попал в перечень Правительства, с части выплат сверх 1,5 МРОТ — это 40 639,50 ₽ в 2026 году — тариф составит 15%. Перечень важен: с 2026 года пониженный тариф достался не всем МСП.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806000"/>
          <w:sz w:val="26"/>
          <w:szCs w:val="26"/>
        </w:rPr>
        <w:t xml:space="preserve">[H3] Способ второй: сверка с вакансиями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Дополнительно сверьтесь с зарплатами по аналогичным позициям в вашем регионе — на специализированных сайтах по поиску работы. Ориентируйтесь на вакансии с похожим функционалом и масштабом бизнеса, а не на средний уровень зарплаты бухгалтера в вашем городе.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Что именно сверять, чтобы сравнение было честным: сколько юрлиц и ИП в учёте, какой налоговый режим и есть ли НДС, сколько сотрудников в расчёте зарплаты, есть ли подчинённые у главбуха, ведётся ли управленческая отчётность. Вакансия с теми же пятью параметрами — ваш ориентир; средняя зарплата по городу им не является.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806000"/>
          <w:sz w:val="26"/>
          <w:szCs w:val="26"/>
        </w:rPr>
        <w:t xml:space="preserve">[H2] Что можно предложить вместо повышения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Часто за просьбой о повышении скрывается усталость. В таких случаях увеличение зарплаты может не сработать, и лучше найти другое решение.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Выбор зависит от того, что именно стоит за просьбой. Если нагрузка выросла — её нужно снять или оплатить. Если человек устал от рутины — платить больше за ту же рутину бессмысленно.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 w:val="false"/>
          <w:bCs w:val="false"/>
          <w:color w:val="806000"/>
          <w:sz w:val="20"/>
          <w:szCs w:val="20"/>
        </w:rPr>
        <w:t xml:space="preserve">【ТАБЛИЦА: 3 столбца × 7 строк, первая строка — заголовок】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Что предложить | Когда работает | Что учесть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Гибридный график — часть дней удалённо | работа не требует постоянного присутствия, причина в усталости и дороге | стоит ноль, но режим нужно закрепить документом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Разгрузка на отдельных участках | на главбухе висит рутина, не требующая его квалификации | помощник на первичку дешевле прибавки главбуху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Автоматизация рутины | операции повторяются и описываются по шагам | разовые вложения вместо постоянного роста фонда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Передача участков на аутсорсинг | выросла нагрузка на конкретном участке — зарплата, НДС, управленческий учёт | оплачивается объём, а не ставка; не нужно расширять штат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Главный бухгалтер удалённо | нужна квалификация выше текущей, но не полная занятость | закрывает рост нагрузки без постоянных издержек на штатную единицу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Обучение и рост квалификации | человек хочет развития, а не только денег | оплаченный курс часто дешевле прибавки и работает дольше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Нередко разгрузить специалиста и оставить ему задачи, требующие его квалификации, выгоднее, чем повышать зарплату. По нашей практике автоматизация управленческого учёта сокращала работу финансиста на два дня в месяц — это сопоставимо с десятью процентами ставки, и этот эффект не нужно платить каждый месяц заново.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И обратная сторона, о которой стоит сказать прямо: если человек ведёт весь учёт один, любая из этих мер не отменяет того, что компания зависит от одного сотрудника. Замена главбуха обходится дороже, чем повышение действующему, а искать её приходится в тот момент, когда выбирать особо не из чего.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806000"/>
          <w:sz w:val="26"/>
          <w:szCs w:val="26"/>
        </w:rPr>
        <w:t xml:space="preserve">[H2] Порядок действий перед разговором о зарплате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 w:val="false"/>
          <w:bCs w:val="false"/>
          <w:color w:val="806000"/>
          <w:sz w:val="20"/>
          <w:szCs w:val="20"/>
        </w:rPr>
        <w:t xml:space="preserve">【СПИСОК: маркированный &lt;ul&gt;】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• Соберите регламенты и трудовой договор — что и за кем закреплено.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• Выпишите все участки, которые фактически ведёт главбух.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• Оцените нагрузку в часах и её изменение за последние месяцы.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• Сверьтесь с рынком: стоимость аутсорсинга и вакансии на сайтах по поиску работы.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• Проведите открытый разговор и выберите решение: повышение, разгрузка или частичный аутсорсинг.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К этому стоит добавить нулевой шаг: посмотрите, когда зарплата повышалась в последний раз. Если больше года назад, разговор начинается не с прибавки, а с индексации — и дальше уже обсуждается всё остальное.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Все эти вопросы нужны для одного: поговорить с главбухом как с партнёром. Понимает ли человек, за что получает деньги, и считаете ли вы оба, что сумма честная? Такой разговор снимает значительную часть напряжения, и решение о повышении или об альтернативе даётся спокойнее.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806000"/>
          <w:sz w:val="26"/>
          <w:szCs w:val="26"/>
        </w:rPr>
        <w:t xml:space="preserve">[H2] Читать ещё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 w:val="false"/>
          <w:bCs w:val="false"/>
          <w:color w:val="806000"/>
          <w:sz w:val="20"/>
          <w:szCs w:val="20"/>
        </w:rPr>
        <w:t xml:space="preserve">【СПИСОК: маркированный &lt;ul&gt;】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• Как проверить свою бухгалтерию — инициативный аудит и что он выявляет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• Дефицит кадров и зарплатные налоги — сколько на самом деле стоит сотрудник в 2026 году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• Бухгалтерский и налоговый учёт у ИП — что обязательно, а что полезно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806000"/>
          <w:sz w:val="26"/>
          <w:szCs w:val="26"/>
        </w:rPr>
        <w:t xml:space="preserve">[H2] Вопрос-ответ</w:t>
      </w:r>
    </w:p>
    <w:p>
      <w:pPr>
        <w:spacing w:after="60"/>
      </w:pPr>
      <w:r>
        <w:rPr>
          <w:rFonts w:ascii="Consolas" w:cs="Consolas" w:eastAsia="Consolas" w:hAnsi="Consolas"/>
          <w:b w:val="false"/>
          <w:bCs w:val="false"/>
          <w:color w:val="806000"/>
          <w:sz w:val="20"/>
          <w:szCs w:val="20"/>
        </w:rPr>
        <w:t xml:space="preserve">【FAQ: вывести с микроразметкой FAQPage】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806000"/>
          <w:sz w:val="26"/>
          <w:szCs w:val="26"/>
        </w:rPr>
        <w:t xml:space="preserve">[H3] Обязаны ли мы индексировать зарплату, если мы коммерческая компания?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Да. Статья 134 ТК РФ требует обеспечивать повышение реального содержания зарплаты в связи с ростом цен, и это касается не только бюджетной сферы. Порядок компания устанавливает своим документом — например, локальным актом, — но сам порядок должен существовать. Задним числом его оформить нельзя.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806000"/>
          <w:sz w:val="26"/>
          <w:szCs w:val="26"/>
        </w:rPr>
        <w:t xml:space="preserve">[H3] Главбух просит прибавку, а мы недавно подняли оклад всем на инфляцию. Это считается?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Это закрывает вопрос индексации, но не вопрос объёма. Если за год на человека легли новые участки — НДС, второе юрлицо, расчёт зарплаты на выросший штат, — это отдельный разговор, и считать его нужно от фактического функционала.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806000"/>
          <w:sz w:val="26"/>
          <w:szCs w:val="26"/>
        </w:rPr>
        <w:t xml:space="preserve">[H3] Как понять, что объём работы вырос, а не просто стало тяжелее?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Рост объёма виден в документах: появился новый налог или режим, прибавилось юрлиц, выросло число сотрудников в расчёте, участились требования от ФНС. Если ничего из этого не изменилось, а усталость есть, дело скорее в рутине — тогда работают разгрузка и автоматизация, а не прибавка.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806000"/>
          <w:sz w:val="26"/>
          <w:szCs w:val="26"/>
        </w:rPr>
        <w:t xml:space="preserve">[H3] Можно ли повысить зарплату частично — не на всю просимую сумму?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Можно, и это частый сценарий. Разложите объём по участкам: за какие из них вы готовы платить больше сейчас, а какие имеет смысл снять с главбуха или передать на аутсорсинг. Тогда и повышение, и его размер становятся объяснимыми для обеих сторон.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806000"/>
          <w:sz w:val="26"/>
          <w:szCs w:val="26"/>
        </w:rPr>
        <w:t xml:space="preserve">[H3] Что делать, если главбух говорит про рынок, а мы видим другие цифры?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Сверять нужно одинаковые конфигурации: число юрлиц, режим налогообложения, наличие НДС, количество сотрудников в расчёте зарплаты, подчинённых и управленческую отчётность. Средняя зарплата бухгалтера по городу для такого сравнения не годится — слишком разные роли попадают в одну цифру.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806000"/>
          <w:sz w:val="26"/>
          <w:szCs w:val="26"/>
        </w:rPr>
        <w:t xml:space="preserve">[H2] Источники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 w:val="false"/>
          <w:bCs w:val="false"/>
          <w:color w:val="806000"/>
          <w:sz w:val="20"/>
          <w:szCs w:val="20"/>
        </w:rPr>
        <w:t xml:space="preserve">【ТАБЛИЦА: 2 столбца × 7 строк, первая строка — заголовок】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Что подтверждает | Документ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Обязанность индексировать зарплату | ст. 134 ТК РФ; Определение КС РФ от 29.05.2019 № 1269-О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Индексацию нельзя оформить задним числом | письмо Роструда от 05.07.2024 № 2141-ТЗ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Инфляция за 2024 и 2025 годы | Росстат, индексы потребительских цен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За организацию учёта отвечает руководитель | ч. 1 ст. 7 Федерального закона от 06.12.2011 № 402-ФЗ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Тарифы взносов, предельная база, пониженный тариф МСП | ст. 425 и ст. 427 НК РФ; ФНС, «Налоги 2026»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Порог НДС на упрощёнке в 2026 году | ФНС, «Налоги 2026»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 w:val="false"/>
          <w:bCs w:val="false"/>
          <w:color w:val="806000"/>
          <w:sz w:val="20"/>
          <w:szCs w:val="20"/>
        </w:rPr>
        <w:t xml:space="preserve">【CTA: выделить визуально, контактов нет】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Не уверены, что справедливо для вашей ситуации? Оставьте заявку на сайте — поможем объективно оценить, сколько работа вашего бухгалтера стоит на рынке, и понять, что выгоднее: повысить, разгрузить или частично передать учёт на аутсорсинг.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 w:val="false"/>
          <w:bCs w:val="false"/>
          <w:color w:val="806000"/>
          <w:sz w:val="20"/>
          <w:szCs w:val="20"/>
        </w:rPr>
        <w:t xml:space="preserve">【ПОДПИСЬ: вывести в конце статьи, отдельной строкой】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Материал подготовлен при помощи ИИ, проверен экспертом 1+1 Еленой Веневцевой.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 w:val="false"/>
          <w:bCs w:val="false"/>
          <w:color w:val="806000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 w:val="false"/>
          <w:bCs w:val="false"/>
          <w:color w:val="806000"/>
          <w:sz w:val="20"/>
          <w:szCs w:val="20"/>
        </w:rPr>
        <w:t xml:space="preserve">ВНУТРЕННИЕ И ВНЕШНИЕ ССЫЛКИ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 w:val="false"/>
          <w:bCs w:val="false"/>
          <w:color w:val="806000"/>
          <w:sz w:val="20"/>
          <w:szCs w:val="20"/>
        </w:rPr>
        <w:t xml:space="preserve">【ССЫЛКА: «Как проверить свою бухгалтерию» сделать гиперссылкой → https://1-plus-1.ru/news/kak-proverit-svoyu-bukhgalteriyu/】</w:t>
      </w:r>
    </w:p>
    <w:p>
      <w:pPr>
        <w:spacing w:after="60"/>
      </w:pPr>
      <w:r>
        <w:rPr>
          <w:rFonts w:ascii="Consolas" w:cs="Consolas" w:eastAsia="Consolas" w:hAnsi="Consolas"/>
          <w:b w:val="false"/>
          <w:bCs w:val="false"/>
          <w:color w:val="806000"/>
          <w:sz w:val="20"/>
          <w:szCs w:val="20"/>
        </w:rPr>
        <w:t xml:space="preserve">【ССЫЛКА: «Дефицит кадров и зарплатные налоги» сделать гиперссылкой → https://1-plus-1.ru/news/defitsit-kadrov-kak-v-etikh-usloviyakh-ekonomit-na-zarplatnykh-nalogakh/】</w:t>
      </w:r>
    </w:p>
    <w:p>
      <w:pPr>
        <w:spacing w:after="60"/>
      </w:pPr>
      <w:r>
        <w:rPr>
          <w:rFonts w:ascii="Consolas" w:cs="Consolas" w:eastAsia="Consolas" w:hAnsi="Consolas"/>
          <w:b w:val="false"/>
          <w:bCs w:val="false"/>
          <w:color w:val="806000"/>
          <w:sz w:val="20"/>
          <w:szCs w:val="20"/>
        </w:rPr>
        <w:t xml:space="preserve">【ССЫЛКА: «Бухгалтерский и налоговый учёт у ИП» сделать гиперссылкой → https://1-plus-1.ru/news/nekotorye-tonkosti-bukhgalterskogo-i-nalogovogo-ucheta-dlya-ip/】</w:t>
      </w:r>
    </w:p>
    <w:p>
      <w:pPr>
        <w:spacing w:after="60"/>
      </w:pPr>
      <w:r>
        <w:rPr>
          <w:rFonts w:ascii="Consolas" w:cs="Consolas" w:eastAsia="Consolas" w:hAnsi="Consolas"/>
          <w:b w:val="false"/>
          <w:bCs w:val="false"/>
          <w:color w:val="806000"/>
          <w:sz w:val="20"/>
          <w:szCs w:val="20"/>
        </w:rPr>
        <w:t xml:space="preserve">【ССЫЛКА: «ст. 134 ТК РФ» → https://www.consultant.ru/document/cons_doc_LAW_34683/】 【ЗАКРЫТЬ ОТ ИНДЕКСАЦИИ: rel="nofollow noindex"】</w:t>
      </w:r>
    </w:p>
    <w:p>
      <w:pPr>
        <w:spacing w:after="60"/>
      </w:pPr>
      <w:r>
        <w:rPr>
          <w:rFonts w:ascii="Consolas" w:cs="Consolas" w:eastAsia="Consolas" w:hAnsi="Consolas"/>
          <w:b w:val="false"/>
          <w:bCs w:val="false"/>
          <w:color w:val="806000"/>
          <w:sz w:val="20"/>
          <w:szCs w:val="20"/>
        </w:rPr>
        <w:t xml:space="preserve">【ССЫЛКА: «Определение КС РФ от 29.05.2019 № 1269-О» → https://www.garant.ru/products/ipo/prime/doc/72165528/】 【ЗАКРЫТЬ ОТ ИНДЕКСАЦИИ: rel="nofollow noindex"】</w:t>
      </w:r>
    </w:p>
    <w:p>
      <w:pPr>
        <w:spacing w:after="60"/>
      </w:pPr>
      <w:r>
        <w:rPr>
          <w:rFonts w:ascii="Consolas" w:cs="Consolas" w:eastAsia="Consolas" w:hAnsi="Consolas"/>
          <w:b w:val="false"/>
          <w:bCs w:val="false"/>
          <w:color w:val="806000"/>
          <w:sz w:val="20"/>
          <w:szCs w:val="20"/>
        </w:rPr>
        <w:t xml:space="preserve">【ССЫЛКА: «письмо Роструда от 05.07.2024 № 2141-ТЗ» → https://www.garant.ru/products/ipo/prime/doc/409451527/】 【ЗАКРЫТЬ ОТ ИНДЕКСАЦИИ: rel="nofollow noindex"】</w:t>
      </w:r>
    </w:p>
    <w:p>
      <w:pPr>
        <w:spacing w:after="60"/>
      </w:pPr>
      <w:r>
        <w:rPr>
          <w:rFonts w:ascii="Consolas" w:cs="Consolas" w:eastAsia="Consolas" w:hAnsi="Consolas"/>
          <w:b w:val="false"/>
          <w:bCs w:val="false"/>
          <w:color w:val="806000"/>
          <w:sz w:val="20"/>
          <w:szCs w:val="20"/>
        </w:rPr>
        <w:t xml:space="preserve">【ССЫЛКА: «Росстат, индексы потребительских цен» → https://rosstat.gov.ru/statistics/price】 【ЗАКРЫТЬ ОТ ИНДЕКСАЦИИ: rel="nofollow noindex"】</w:t>
      </w:r>
    </w:p>
    <w:p>
      <w:pPr>
        <w:spacing w:after="60"/>
      </w:pPr>
      <w:r>
        <w:rPr>
          <w:rFonts w:ascii="Consolas" w:cs="Consolas" w:eastAsia="Consolas" w:hAnsi="Consolas"/>
          <w:b w:val="false"/>
          <w:bCs w:val="false"/>
          <w:color w:val="806000"/>
          <w:sz w:val="20"/>
          <w:szCs w:val="20"/>
        </w:rPr>
        <w:t xml:space="preserve">【ССЫЛКА: «ч. 1 ст. 7 Федерального закона от 06.12.2011 № 402-ФЗ» → https://www.consultant.ru/document/cons_doc_LAW_122855/】 【ЗАКРЫТЬ ОТ ИНДЕКСАЦИИ: rel="nofollow noindex"】</w:t>
      </w:r>
    </w:p>
    <w:p>
      <w:pPr>
        <w:spacing w:after="60"/>
      </w:pPr>
      <w:r>
        <w:rPr>
          <w:rFonts w:ascii="Consolas" w:cs="Consolas" w:eastAsia="Consolas" w:hAnsi="Consolas"/>
          <w:b w:val="false"/>
          <w:bCs w:val="false"/>
          <w:color w:val="806000"/>
          <w:sz w:val="20"/>
          <w:szCs w:val="20"/>
        </w:rPr>
        <w:t xml:space="preserve">【ССЫЛКА: «ст. 425 и ст. 427 НК РФ» → https://www.consultant.ru/document/cons_doc_LAW_28165/】 【ЗАКРЫТЬ ОТ ИНДЕКСАЦИИ: rel="nofollow noindex"】</w:t>
      </w:r>
    </w:p>
    <w:p>
      <w:pPr>
        <w:spacing w:after="60"/>
      </w:pPr>
      <w:r>
        <w:rPr>
          <w:rFonts w:ascii="Consolas" w:cs="Consolas" w:eastAsia="Consolas" w:hAnsi="Consolas"/>
          <w:b w:val="false"/>
          <w:bCs w:val="false"/>
          <w:color w:val="806000"/>
          <w:sz w:val="20"/>
          <w:szCs w:val="20"/>
        </w:rPr>
        <w:t xml:space="preserve">【ССЫЛКА: «ФНС, «Налоги 2026»» → https://www.nalog.gov.ru/new2026/】 【ЗАКРЫТЬ ОТ ИНДЕКСАЦИИ: rel="nofollow noindex"】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 w:val="false"/>
          <w:bCs w:val="false"/>
          <w:color w:val="806000"/>
          <w:sz w:val="20"/>
          <w:szCs w:val="20"/>
        </w:rPr>
        <w:t xml:space="preserve">【ССЫЛКА: в призыве к действию слова «инициативный аудит» → /finansoviy-konsalting/initsiativnyy-audit-bukhgalterii/ (ПОСТАВИТЬ РЕАЛЬНЫЙ АДРЕС)】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 w:val="false"/>
          <w:bCs w:val="false"/>
          <w:color w:val="806000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 w:val="false"/>
          <w:bCs w:val="false"/>
          <w:color w:val="806000"/>
          <w:sz w:val="20"/>
          <w:szCs w:val="20"/>
        </w:rPr>
        <w:t xml:space="preserve">ПЕРЕД ПУБЛИКАЦИЕЙ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☐ Один H1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☐ Meta title и description — в поля CMS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☐ URL задан, прежний адрес сохранён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☐ Внутренние ссылки ведут на реальные страницы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☐ Внешние ссылки закрыты nofollow noindex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☐ Таблицы вставлены таблицами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☐ Списки оформлены списками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☐ Вопрос-ответ с разметкой FAQPage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☐ CTA выделен, контактов в нём нет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☐ Подпись эксперта выведена в конце статьи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☐ Служебные пометки [ ] и 【 】 удалены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Для размещения</dc:title>
  <dc:creator>1+1</dc:creator>
  <cp:lastModifiedBy>Un-named</cp:lastModifiedBy>
  <cp:revision>1</cp:revision>
  <dcterms:created xsi:type="dcterms:W3CDTF">2026-10-30T05:10:27.084Z</dcterms:created>
  <dcterms:modified xsi:type="dcterms:W3CDTF">2026-10-30T05:10:27.084Z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