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Как читать документ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Белый фон без пометки — текст исходной статьи, не менялся.</w:t>
      </w:r>
    </w:p>
    <w:p>
      <w:pPr>
        <w:shd w:fill="D9EAD3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Зелёный — добавлено по ТЗ, этого в статье не было.</w:t>
      </w:r>
    </w:p>
    <w:p>
      <w:pPr>
        <w:shd w:fill="FFF2CC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Жёлтый — исправлено по первоисточнику: факт устарел или был неверен. Под каждым таким местом указан документ.</w:t>
      </w:r>
    </w:p>
    <w:p>
      <w:pPr>
        <w:shd w:fill="DEEAF6" w:color="auto" w:val="clear"/>
        <w:spacing w:after="60"/>
      </w:pPr>
      <w:r>
        <w:rPr>
          <w:rFonts w:ascii="Arial" w:cs="Arial" w:eastAsia="Arial" w:hAnsi="Arial"/>
          <w:sz w:val="20"/>
          <w:szCs w:val="20"/>
        </w:rPr>
        <w:t xml:space="preserve">   Голубой — правка языка: смысл прежний, формулировка приведена к голосу компании.</w:t>
      </w:r>
    </w:p>
    <w:p>
      <w:pPr>
        <w:spacing w:after="260"/>
      </w:pPr>
      <w:r>
        <w:rPr>
          <w:rFonts w:ascii="Arial" w:cs="Arial" w:eastAsia="Arial" w:hAnsi="Arial"/>
          <w:i/>
          <w:iCs/>
          <w:color w:val="666666"/>
          <w:sz w:val="20"/>
          <w:szCs w:val="20"/>
        </w:rPr>
        <w:t xml:space="preserve">Серым курсивом с отступом — источник факта. В публикуемый текст эти строки не идут.</w:t>
      </w:r>
    </w:p>
    <w:p>
      <w:pPr>
        <w:pBdr>
          <w:bottom w:val="single" w:color="BBBBBB" w:sz="6"/>
        </w:pBdr>
        <w:spacing w:after="240"/>
      </w:pPr>
    </w:p>
    <w:p>
      <w:pPr>
        <w:spacing w:after="200"/>
      </w:pPr>
      <w:r>
        <w:rPr>
          <w:rFonts w:ascii="Arial" w:cs="Arial" w:eastAsia="Arial" w:hAnsi="Arial"/>
          <w:b/>
          <w:bCs/>
          <w:sz w:val="32"/>
          <w:szCs w:val="32"/>
        </w:rPr>
        <w:t xml:space="preserve">Дефицит кадров и зарплатные налоги: что изменилось в 2026 году и на чём можно сэкономить законно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666666"/>
          <w:sz w:val="18"/>
          <w:szCs w:val="18"/>
        </w:rPr>
        <w:t xml:space="preserve">Дорабатываем статью: </w:t>
      </w:r>
      <w:hyperlink w:history="1" r:id="rIddkpourrwqoftc0j2lm5oh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1-plus-1.ru/news/defitsit-kadrov-kak-v-etikh-usloviyakh-ekonomit-na-zarplatnykh-nalogakh/</w:t>
        </w:r>
      </w:hyperlink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Опасение автора исходной статьи сбылось.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 тексте 2024 года есть фраза: пониженный тариф 15% «могут вернуть к прежним 30% в любой момент». С 2026 года так и произошло — но не для всех сразу: право на льготу осталось только у отраслей из перечня Правительства, а порог сместился с одного МРОТ на полтора. Поэтому исправлений в статье много, и все они в одну сторону: нагрузка выросла.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Коротко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⏱ Время чтения: 10 минут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Зарплатная нагрузка складывается из страховых взносов, которые платит работодатель, и НДФЛ, который он удерживает у работника. Общий тариф взносов — 30% в пределах предельной базы и 15,1% сверх неё; база на 2026 год — 2 979 000 ₽.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Что изменилось.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Пониженный тариф 15% для малого и среднего бизнеса сохранился только у отраслей из перечня Правительства, и применяется он теперь к выплатам сверх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полутора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МРОТ, а не одного.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Сколько это в деньгах.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На зарплате 60 000 ₽ перенос порога добавил около 2 030 ₽ в месяц даже тем, кто льготу сохранил. Потерявшим льготу — около 2 900 ₽ в месяц, почти 35 000 ₽ в год на одного сотрудника.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Что делать.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Волшебной таблетки нет: взносы оптимизируются плохо. Работают проверка права на льготный тариф, корректное оформление компенсаций и ученических договоров, вывод непрофильных функций на аутсорсинг и автоматизация. Зарплата в конвертах и подмена трудовых отношений самозанятыми оптимизацией не являются.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yjsgti_erlymvqceq-uub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ст. 425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bbgntxhkzyi2lnnmdwaop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2.4 и п. 13.3 ст. 427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fzacy3jpw6yyj0ulttquh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постановление Правительства РФ от 31.10.2025 № 1705</w:t>
        </w:r>
      </w:hyperlink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Содержание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происходит с рынком труда в 2026 году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Сколько на самом деле стоит сотрудник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НДФЛ — налог работника, а не работодателя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изменилось в зарплатных налогах в 2026 году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Кто сохранил льготные тарифы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Схемы, которые не являются оптимизацией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действительно можно сделать законно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изменится в 2027 году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происходит с рынком труда в 2026 году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Кадровый голод ощущает почти каждый бизнес, и это не ощущение, а статистика. По данным Росстата, уровень безработицы в 2026 году держится около 2,1–2,2% — это исторический минимум за всё время наблюдений, которые ведутся с 1991 года. Больше чем в половине регионов показатель не превышает 2%.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Для работодателя это означает простую вещь: сотрудника приходится не выбирать, а удерживать. Зарплаты растут не потому, что бизнесу стало легче, а потому, что иначе человек уходит к тому, кто платит больше. А вместе с зарплатой растёт и всё, что начисляется поверх неё.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Цифру по безработице перед публикацией сверить по ежемесячному докладу Росстата и поставить месяц, к которому она относится.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Сколько на самом деле стоит сотрудник</w:t>
      </w:r>
    </w:p>
    <w:p>
      <w:pPr>
        <w:shd w:fill="DEEAF6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▌ПРАВКА ЯЗЫКА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Малому и среднему бизнесу, как правило, не так уж сложно подобрать подходящий налоговый режим и платить налоги с дохода. А вот нагрузку, связанную с налогами на заработную плату, вывозить тяжело, а иногда и критично тяжело.</w:t>
      </w:r>
    </w:p>
    <w:p>
      <w:pPr>
        <w:shd w:fill="DEEAF6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Абзац исходной статьи. Было от первого лица: «Я часто говорю…». Статья идёт от лица компании.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Посмотрим, что работодатель платит за сотрудника в 2026 году.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Страховые взносы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единый тариф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30%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с выплат в пределах предельной базы и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15,1%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с суммы сверх неё. Единая предельная величина базы на 2026 год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2 979 000 ₽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нарастающим итогом с начала года (на 2025 год было 2 759 000 ₽).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НДФЛ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удерживается из зарплаты работника по пятиступенчатой шкале. Ставка применяется не ко всей сумме, а к части дохода: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00"/>
      </w:tblGrid>
      <w:tr>
        <w:trPr>
          <w:tblHeader/>
        </w:trPr>
        <w:tc>
          <w:tcPr>
            <w:tcW w:type="dxa" w:w="4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Доход за год</w:t>
            </w:r>
          </w:p>
        </w:tc>
        <w:tc>
          <w:tcPr>
            <w:tcW w:type="dxa" w:w="44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Ставка</w:t>
            </w:r>
          </w:p>
        </w:tc>
      </w:tr>
      <w:tr>
        <w:trPr>
          <w:tblHeader w:val="false"/>
        </w:trPr>
        <w:tc>
          <w:tcPr>
            <w:tcW w:type="dxa" w:w="4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до 2,4 млн ₽</w:t>
            </w:r>
          </w:p>
        </w:tc>
        <w:tc>
          <w:tcPr>
            <w:tcW w:type="dxa" w:w="44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13%</w:t>
            </w:r>
          </w:p>
        </w:tc>
      </w:tr>
      <w:tr>
        <w:trPr>
          <w:tblHeader w:val="false"/>
        </w:trPr>
        <w:tc>
          <w:tcPr>
            <w:tcW w:type="dxa" w:w="4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 2,4 до 5 млн ₽</w:t>
            </w:r>
          </w:p>
        </w:tc>
        <w:tc>
          <w:tcPr>
            <w:tcW w:type="dxa" w:w="44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15%</w:t>
            </w:r>
          </w:p>
        </w:tc>
      </w:tr>
      <w:tr>
        <w:trPr>
          <w:tblHeader w:val="false"/>
        </w:trPr>
        <w:tc>
          <w:tcPr>
            <w:tcW w:type="dxa" w:w="4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 5 до 20 млн ₽</w:t>
            </w:r>
          </w:p>
        </w:tc>
        <w:tc>
          <w:tcPr>
            <w:tcW w:type="dxa" w:w="44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18%</w:t>
            </w:r>
          </w:p>
        </w:tc>
      </w:tr>
      <w:tr>
        <w:trPr>
          <w:tblHeader w:val="false"/>
        </w:trPr>
        <w:tc>
          <w:tcPr>
            <w:tcW w:type="dxa" w:w="4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от 20 до 50 млн ₽</w:t>
            </w:r>
          </w:p>
        </w:tc>
        <w:tc>
          <w:tcPr>
            <w:tcW w:type="dxa" w:w="44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20%</w:t>
            </w:r>
          </w:p>
        </w:tc>
      </w:tr>
      <w:tr>
        <w:trPr>
          <w:tblHeader w:val="false"/>
        </w:trPr>
        <w:tc>
          <w:tcPr>
            <w:tcW w:type="dxa" w:w="46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свыше 50 млн ₽</w:t>
            </w:r>
          </w:p>
        </w:tc>
        <w:tc>
          <w:tcPr>
            <w:tcW w:type="dxa" w:w="4400"/>
            <w:shd w:fill="FFF2CC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22%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 статье сейчас: «Страховые взносы — 30%. НДФЛ — 13%. Если зарплата за год превышает 5 млн руб., НДФЛ повышается до 15%. Предельная база в 2024 году — 2 млн 225 тыс. рублей». Шкала НДФЛ с 2025 года пятиступенчатая, и первый порог теперь 2,4 млн, а не 5 млн. Предельная база выросла почти на треть.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gac9oerwsny8wvl9azamz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1 ст. 224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cpqun0wq1ghnjb18k9ogs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ст. 425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4pxo8rwyxuz0scybiciwz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постановление Правительства РФ от 31.10.2025 № 1705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НДФЛ — налог работника, а не работодателя</w:t>
      </w:r>
    </w:p>
    <w:p>
      <w:pPr>
        <w:shd w:fill="DEEAF6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▌ПРАВКА ЯЗЫКА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Важно различать две вещи. Страховые взносы — расход работодателя. НДФЛ — налог самого работника: организация лишь налоговый агент, она обязана удержать этот налог из его дохода и перечислить в бюджет.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На практике граница стирается. Работник, устраиваясь на работу, считает своей зарплатой только то, что получает на руки, то есть сумму уже за вычетом НДФЛ. Поэтому и работодатель начинает воспринимать этот налог как свою нагрузку. В результате с каждой зарплаты в бюджет уходит около 43% сверх того, что человек получил, — почти половина.</w:t>
      </w:r>
    </w:p>
    <w:p>
      <w:pPr>
        <w:shd w:fill="DEEAF6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Абзац исходной статьи, сокращён и разбит на части. Мысль автора сохранена полностью, включая объяснение, почему НДФЛ воспринимается как налог работодателя.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Отсюда практический совет, который есть и в исходной статье: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называйте сотруднику зарплату до удержания НДФЛ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и объясняйте, что это его налог. Это не экономит деньги, но убирает недопонимание при найме и при разговоре о повышении.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Расчёт: сколько стоит сотрудник с зарплатой 60 000 ₽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МРОТ с 1 января 2026 года — 27 093 ₽, значит полуторакратный МРОТ составляет 40 639,50 ₽. Компания в реестре МСП, зарплата сотрудника — 60 000 ₽ в месяц.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00"/>
      </w:tblGrid>
      <w:tr>
        <w:trPr>
          <w:tblHeader/>
        </w:trPr>
        <w:tc>
          <w:tcPr>
            <w:tcW w:type="dxa" w:w="2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Ситуация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Расчёт взносов</w:t>
            </w:r>
          </w:p>
        </w:tc>
        <w:tc>
          <w:tcPr>
            <w:tcW w:type="dxa" w:w="32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В месяц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Право на пониженный тариф есть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40 639,50 × 30% + 19 360,50 × 15%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15 096 ₽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Права на пониженный тариф нет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60 000 × 30%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18 000 ₽</w:t>
            </w:r>
          </w:p>
        </w:tc>
      </w:tr>
      <w:tr>
        <w:trPr>
          <w:tblHeader w:val="false"/>
        </w:trPr>
        <w:tc>
          <w:tcPr>
            <w:tcW w:type="dxa" w:w="2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Для сравнения: прежний порядок, порог 1 МРОТ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27 093 × 30% + 32 907 × 15%</w:t>
            </w:r>
          </w:p>
        </w:tc>
        <w:tc>
          <w:tcPr>
            <w:tcW w:type="dxa" w:w="32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13 064 ₽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из этого следует: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Потеря льготы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стоит 2 904 ₽ в месяц — около 34 850 ₽ в год на одного сотрудника.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Перенос порога с одного МРОТ на полтора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добавил 2 032 ₽ в месяц даже тем, кто льготу сохранил, — около 24 380 ₽ в год на сотрудника.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НДФЛ с 60 000 ₽ по ставке 13% — 7 800 ₽, на руки сотрудник получает 52 200 ₽. Полные расходы работодателя при сохранённой льготе — 75 096 ₽ в месяц. Подставьте свои цифры: логика не изменится.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Расчёт модельный, иллюстративный — показывает механику, а не обещает результат.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изменилось в зарплатных налогах в 2026 году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Пониженный тариф для МСП достался не всем.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Раньше правило было простым: компания в реестре МСП платит 15% с части выплат сверх МРОТ. С 2026 года для права на этот тариф нужно выполнить одновременно два условия: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основной вид деятельности входит в перечень ОКВЭД, утверждённый Правительством РФ, и указан в ЕГРЮЛ или ЕГРИП;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 менее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70%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всех доходов компании приходится на виды деятельности из этого перечня.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Перечень на 2026 год состоит из 54 позиций. Укрупнённо в него вошли сельское хозяйство и рыболовство, пищевая промышленность, производство одежды, радиоэлектроники и лекарственных средств, информационные технологии и телекоммуникации, образование, наука, культура и спорт. Свой код нужно искать в самом перечне: совпадение по названию отрасли ничего не гарантирует, значение имеет код ОКВЭД.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Если условия не выполняются, право утрачивается с начала расчётного периода, в котором допущено несоответствие, и взносы пересчитываются по общим тарифам. То есть потерять льготу можно задним числом — за весь период.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Порог изменился.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Пониженный тариф применяется к части выплат сверх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полуторакратного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МРОТ, а не одного, как было раньше.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 статье сейчас: «для организаций, попавших в реестр МСП, сумма страховых взносов с величины, превышающей МРОТ, составляет 15%». Это правило 2024 года. Само попадание в реестр МСП больше не даёт права на тариф.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uwtzubtetiep-uxnv4i-n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2.4 и п. 13.3 ст. 427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в редакции </w:t>
      </w:r>
      <w:hyperlink w:history="1" r:id="rIdst3hv18_srcsapalyfpjx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Федерального закона от 28.11.2025 № 425-ФЗ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перечень — </w:t>
      </w:r>
      <w:hyperlink w:history="1" r:id="rIdrf0lz_o1kqlncoz8dcof7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распоряжение Правительства РФ от 27.12.2025 № 4125-р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27.10.2026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ещё изменилось с 2026 года: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У ИТ-компаний тариф вырос.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Было 7,6% в пределах предельной базы — стало 15% в пределах базы и 7,6% сверх неё.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У руководителей появилась минимальная база.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Взносы с выплат единоличному руководителю считаются исходя из МРОТ, даже если фактически начислено меньше.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Обрабатывающие производства выделены отдельно.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Для них действует свой пониженный тариф — ниже общего, при том же условии о 70% доходов. Из льготы исключены производство напитков, табачных изделий, кокса и нефтепродуктов, металлургическое производство.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vgoboahzrd8sunlabzj1d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2.2-2, п. 13.2 и п. 2.5 [[ст. 427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|https://www.consultant.ru/document/cons_doc_LAW_28165/c5c16c86f95c5db63601047b1c0a5942bd77c824/]]; </w:t>
      </w:r>
      <w:hyperlink w:history="1" r:id="rIdg_zl84xoejrrzjy78n0d_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Федеральный закон от 28.11.2025 № 425-ФЗ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Кто сохранил льготные тарифы</w:t>
      </w:r>
    </w:p>
    <w:p>
      <w:pPr>
        <w:shd w:fill="FFF2CC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▌ИСПРАВЛЕНО ПО ПЕРВОИСТОЧНИКУ</w:t>
      </w:r>
    </w:p>
    <w:p>
      <w:pPr>
        <w:shd w:fill="FFF2CC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Льготы по отраслям остались, но состав изменился: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Резиденты «Сколково»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15% с выплат сверх 1,5 МРОТ, независимо от присутствия в реестре МСП. Льгота действует 10 лет со дня получения статуса участника проекта.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Социально ориентированные НКО и благотворительные организации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7,6% в пределах предельной базы и 0% сверх неё в 2023–2026 годах. Для НКО есть условие о доле доходов не менее 70%.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Аккредитованные ИТ-организации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15% в пределах базы, 7,6% сверх. Это уже не тот «комфортный тариф 7,6%», что был раньше.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Обрабатывающие производства из перечня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отдельный пониженный тариф при доле доходов не менее 70%.</w:t>
      </w:r>
    </w:p>
    <w:p>
      <w:pPr>
        <w:pStyle w:val="ListParagraph"/>
        <w:numPr>
          <w:ilvl w:val="0"/>
          <w:numId w:val="1"/>
        </w:numPr>
        <w:shd w:fill="FFF2CC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Общественное питание с численностью свыше 250 человек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особые условия, привязанные к освобождению от НДС.</w:t>
      </w:r>
    </w:p>
    <w:p>
      <w:pPr>
        <w:shd w:fill="FFF2CC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В статье сейчас: «очень комфортный пониженный тариф в 7,6% для социально-ориентированных НКО, аккредитованных IT компаний, резидентов СЭЗ и ТОСЭР». Для ИТ это больше не так. Состав льготников пересобран по действующей редакции статьи 427.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doi649k59qihkr-aax3zr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подп. 10 п. 1, п. 2.2, п. 2.2-2, п. 2.4, п. 7, п. 9, п. 13.1 [[ст. 427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|https://www.consultant.ru/document/cons_doc_LAW_28165/c5c16c86f95c5db63601047b1c0a5942bd77c824/]].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Схемы, которые не являются оптимизацией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Можно ли оптимизировать страховые взносы? Честный ответ — практически нет.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Что малый бизнес давно и по сей день практикует в качестве незаконной оптимизации — зарплату в конвертах. Официальная зарплата устанавливается на уровне МРОТ или минимальной заработной платы, установленной региональным соглашением, с учётом районных коэффициентов, а всё остальное выплачивается в конверте.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Знают ли об этом налоговые органы — даже не сомневайтесь. Для выявления таких работодателей внедрён программный комплекс, который соотносит по каждой организации уровень средней заработной платы не только с МРОТ, но и со среднеотраслевым показателем по региону.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К таким организациям применяются разные меры: от превентивных, когда руководителя приглашают на комиссию и понуждают добровольно доначислить налоги и повысить уровень зарплат, до выездной тематической проверки по страховым взносам с доначислениями по её итогам. Для доказательства выплат налоговики могут приглашать работников в качестве свидетелей.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Вторая схема, которая оптимизацией не является,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оформление сотрудников как самозанятых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при фактических трудовых отношениях. Признаки, по которым инспекция переквалифицирует такие отношения в трудовые: исполнитель работает только с одним заказчиком, получает выплаты регулярно и в одинаковом размере, подчиняется режиму работы, использует оборудование заказчика, а сам договор описывает не результат, а процесс. Последствия — доначисление НДФЛ и взносов за весь период, пени и штраф.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Это не значит, что с самозанятыми работать нельзя. Это значит, что работа с ними должна быть настоящей: разовые или проектные задачи, результат, а не процесс, несколько заказчиков у исполнителя.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Третья —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перевод сотрудников в ИП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с теми же обязанностями и тем же рабочим местом. Квалифицируется так же.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Общее у всех трёх: они дают экономию сейчас и создают обязательство, которое вскроется при проверке. Цена ошибки — не только доначисленные взносы, но и пени за весь период.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действительно можно сделать законно</w:t>
      </w:r>
    </w:p>
    <w:p>
      <w:pPr>
        <w:shd w:fill="DEEAF6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▌ПРАВКА ЯЗЫКА</w:t>
      </w:r>
    </w:p>
    <w:p>
      <w:pPr>
        <w:shd w:fill="DEEAF6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Волшебной таблетки не будет: многим компаниям придётся повышать заработную плату и искать резервы для этого. Но отдельные инструменты, которые позволяют сэкономить на зарплатных налогах, есть.</w:t>
      </w:r>
    </w:p>
    <w:p>
      <w:pPr>
        <w:shd w:fill="DEEAF6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Абзац исходной статьи. Снято «Извините, но…» и «это прям крохи» — разговорные обороты.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1. Проверьте право на пониженный тариф.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Это теперь самая крупная сумма из всех возможных. Нужно сверить основной ОКВЭД с перечнем Правительства и посчитать долю доходов: дотягивает ли она до 70%. Если основной вид деятельности в ЕГРЮЛ указан неточно или доля просела, льгота теряется за весь период — а это, как показал расчёт выше, около 35 000 ₽ в год на сотрудника.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2. Ученический договор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например, для стажирующихся сотрудников. Выплаты по нему облагаются только НДФЛ.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3. Компенсационные выплаты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работникам за использование в работе личного имущества — телефона, компьютера, автомобиля. Размеры выплат не могут быть значительными, и их нужно грамотно оформить, но зато они не облагаются ни взносами, ни НДФЛ.</w:t>
      </w:r>
    </w:p>
    <w:p>
      <w:pPr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4. Вывод части функций на аутсорсинг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вместе с частью выплат и рисков по доначислению страховых взносов.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5. Автоматизация вместо найма.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Это не про налоги, а про общие расходы на персонал, но считается в тех же деньгах. В нашей практике автоматизация управленческого учёта сократила на два дня в месяц работу финансиста, а отчёты стали приходить на десять дней быстрее. Там, где функция повторяемая и формализуемая, дешевле автоматизировать её, чем удерживать человека на рынке с безработицей 2%.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6. Пересмотр структуры выплат.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Часть расходов на сотрудника можно перевести в формы, которые взносами не облагаются: компенсация обучения по программам профессиональной подготовки, добровольное медицинское страхование. Каждая форма требует точного оформления, иначе превращается в обычную выплату с доначислением.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И отдельно — то, что экономит не налоги, а деньги: снижение текучести. Замена сотрудника стоит дороже, чем повышение зарплаты действующему, а на рынке с безработицей около 2% поиск замены занимает месяцы.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изменится в 2027 году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Говорить о 2027 годе можно только по тем параметрам, которые уже приняты: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У социально ориентированных НКО и благотворительных организаций тариф меняется: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 2027–2036 годах — 15% в пределах предельной базы и 7,6% сверх неё, вместо прежних 7,6% и 0%.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Перечень приоритетных отраслей — годовой.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Нынешний утверждён на 2026 год, и состав отраслей на 2027-й может отличаться. Это стоит заложить в планирование: льгота не закреплена за компанией навсегда.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Предельная база и МРОТ индексируются ежегодно.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Рост МРОТ автоматически поднимает порог в 1,5 МРОТ, с которого начинается пониженный тариф, то есть увеличивает часть зарплаты, облагаемую по 30%.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Чего мы не знаем и предсказывать не будем: сохранится ли пониженный тариф в нынешнем виде и не сузится ли перечень отраслей дальше. Разумный подход — считать экономику найма по действующим ставкам и проверять право на льготу каждый год, а не исходить из того, что условия сохранятся.</w:t>
      </w:r>
    </w:p>
    <w:p>
      <w:pPr>
        <w:spacing w:after="160"/>
        <w:ind w:left="20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Источник: </w:t>
      </w:r>
      <w:hyperlink w:history="1" r:id="rIdvjf2xz2tqccboj8w7mjx5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п. 2.2-2 ст. 427 НК РФ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; </w:t>
      </w:r>
      <w:hyperlink w:history="1" r:id="rIdbjouzd-fjj_vttkq_ejq3">
        <w:r>
          <w:rPr>
            <w:rFonts w:ascii="Arial" w:cs="Arial" w:eastAsia="Arial" w:hAnsi="Arial"/>
            <w:color w:val="0563C1"/>
            <w:sz w:val="18"/>
            <w:szCs w:val="18"/>
            <w:u w:val="single"/>
          </w:rPr>
          <w:t xml:space="preserve">распоряжение Правительства РФ от 27.12.2025 № 4125-р</w:t>
        </w:r>
      </w:hyperlink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 (действует на 2026 год). Проверено 27.10.2026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Читать ещё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ui-rj2najwx0lv2m-fqiz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Налоговая нагрузка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как ФНС сравнивает вашу нагрузку со среднеотраслевой и что делать, если она ниже.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w9sirgukgsbetu9nke3jc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Как сделать, чтобы отношения с самозанятыми не признали трудовыми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подробный разбор признаков переквалификации.</w:t>
      </w:r>
    </w:p>
    <w:p>
      <w:pPr>
        <w:pStyle w:val="ListParagraph"/>
        <w:numPr>
          <w:ilvl w:val="0"/>
          <w:numId w:val="1"/>
        </w:numPr>
        <w:shd w:fill="D9EAD3" w:color="auto" w:val="clear"/>
        <w:spacing w:after="80" w:line="300"/>
      </w:pPr>
      <w:hyperlink w:history="1" r:id="rIdvkqj1miipikwskgn8z-pe">
        <w:r>
          <w:rPr>
            <w:rFonts w:ascii="Times New Roman" w:cs="Times New Roman" w:eastAsia="Times New Roman" w:hAnsi="Times New Roman"/>
            <w:color w:val="0563C1"/>
            <w:sz w:val="22"/>
            <w:szCs w:val="22"/>
            <w:u w:val="single"/>
          </w:rPr>
          <w:t xml:space="preserve">Главбух просит повысить зарплату</w:t>
        </w:r>
      </w:hyperlink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как оценить обоснованность повышения.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Статья о самозанятых — 2024 года, по теме подходит, но признаки переквалификации и практику в ней стоит проверить перед тем, как ставить ссылку.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Вопрос-ответ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Мы в реестре МСП. Значит ли это, что у нас тариф 15%?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Нет, с 2026 года уже не значит. Нужно, чтобы основной вид деятельности входил в перечень Правительства и был указан в ЕГРЮЛ, а доля доходов от таких видов деятельности составляла не менее 70%.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С какой суммы начинается пониженный тариф?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С выплат сверх полуторакратного МРОТ в месяц. При МРОТ 27 093 ₽ это 40 639,50 ₽: всё, что ниже, облагается по 30%.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Можно ли платить сотруднику как самозанятому и экономить взносы?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Нет, если отношения фактически трудовые. Инспекция переквалифицирует их и доначислит НДФЛ и взносы за весь период с пенями и штрафом. Работа с самозанятыми допустима, когда она настоящая: проектные задачи, результат, несколько заказчиков.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Что будет, если льгота по взносам потеряна в середине года?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Право утрачивается с начала расчётного периода, в котором допущено несоответствие, и взносы пересчитываются по общим тарифам за весь этот период.</w:t>
      </w:r>
    </w:p>
    <w:p>
      <w:pPr>
        <w:spacing w:after="120" w:before="200"/>
      </w:pPr>
      <w:r>
        <w:rPr>
          <w:rFonts w:ascii="Arial" w:cs="Arial" w:eastAsia="Arial" w:hAnsi="Arial"/>
          <w:b/>
          <w:bCs/>
          <w:color w:val="23251F"/>
          <w:sz w:val="22"/>
          <w:szCs w:val="22"/>
        </w:rPr>
        <w:t xml:space="preserve">Как снизить расходы на персонал, если на налогах экономить почти нечем?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Через то, что не является налогом: автоматизация повторяемых функций, вывод непрофильных задач на аутсорсинг, снижение текучести. На рынке с безработицей около 2% удержание сотрудника обходится дешевле, чем поиск замены.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Источники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0"/>
        <w:gridCol w:w="4400"/>
      </w:tblGrid>
      <w:tr>
        <w:trPr>
          <w:tblHeader/>
        </w:trPr>
        <w:tc>
          <w:tcPr>
            <w:tcW w:type="dxa" w:w="46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Что подтверждает</w:t>
            </w:r>
          </w:p>
        </w:tc>
        <w:tc>
          <w:tcPr>
            <w:tcW w:type="dxa" w:w="4400"/>
            <w:shd w:fill="EFEFEF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Документ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Шкала НДФЛ и порядок применения ставок к частям дохода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o6veer2nselgiqdgxv0s2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п. 1 ст. 224 НК РФ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Единый тариф страховых взносов 30% и 15,1%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hyperlink w:history="1" r:id="rIde0ezc6miamzi5cm-k5aom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ст. 425 НК РФ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Предельная величина базы на 2026 год — 2 979 000 ₽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постановление Правительства РФ от 31.10.2025 № 1705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Пониженный тариф 15% и порог в 1,5 МРОТ; условия для МСП; тарифы для ИТ, НКО, «Сколково», обрабатывающих производств и общепита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ст. 427 НК РФ (п. 2.2, 2.2-2, 2.4, 2.5, 7, 9, 13.1, 13.2, 13.3) в редакции </w:t>
            </w:r>
            <w:hyperlink w:history="1" r:id="rIds2mjo6xhvmsvonx1vsptt">
              <w:r>
                <w:rPr>
                  <w:rFonts w:ascii="Times New Roman" w:cs="Times New Roman" w:eastAsia="Times New Roman" w:hAnsi="Times New Roman"/>
                  <w:color w:val="0563C1"/>
                  <w:sz w:val="20"/>
                  <w:szCs w:val="20"/>
                  <w:u w:val="single"/>
                </w:rPr>
                <w:t xml:space="preserve">Федерального закона от 28.11.2025 № 425-ФЗ</w:t>
              </w:r>
            </w:hyperlink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Перечень приоритетных отраслей на 2026 год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распоряжение Правительства РФ от 27.12.2025 № 4125-р</w:t>
            </w:r>
          </w:p>
        </w:tc>
      </w:tr>
      <w:tr>
        <w:trPr>
          <w:tblHeader w:val="false"/>
        </w:trPr>
        <w:tc>
          <w:tcPr>
            <w:tcW w:type="dxa" w:w="46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Уровень безработицы</w:t>
            </w:r>
          </w:p>
        </w:tc>
        <w:tc>
          <w:tcPr>
            <w:tcW w:type="dxa" w:w="4400"/>
            <w:shd w:fill="D9EAD3" w:color="auto" w:val="clea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данные Росстата, ежемесячный доклад «Социально-экономическое положение России»</w:t>
            </w:r>
          </w:p>
        </w:tc>
      </w:tr>
    </w:tbl>
    <w:p>
      <w:pPr>
        <w:spacing w:after="100"/>
      </w:pPr>
      <w:r>
        <w:rPr>
          <w:sz w:val="12"/>
          <w:szCs w:val="12"/>
        </w:rPr>
        <w:t xml:space="preserve"/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Фактура сверена 27.10.2026.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Призыв к действию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Проверка права на пониженный тариф — это сверка основного ОКВЭД с перечнем, расчёт доли доходов и оценка того, не потеряна ли льгота задним числом. Ошибка здесь стоит около 35 000 ₽ в год на каждого сотрудника, а при утрате права взносы пересчитываются за весь период. Если хотите убедиться, что ваша компания тариф не потеряла, и посчитать зарплатную нагрузку на 2026 год, оставьте заявку: проверим ОКВЭД, долю доходов и расчёт взносов на ваших цифрах.</w:t>
      </w:r>
    </w:p>
    <w:p>
      <w:pPr>
        <w:shd w:fill="D9EAD3" w:color="auto" w:val="clear"/>
        <w:spacing w:after="140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18"/>
          <w:szCs w:val="18"/>
        </w:rPr>
        <w:t xml:space="preserve">Слова «оставьте заявку» вести на страницу услуги по учёту зарплаты и кадров — адрес у заказчика.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Что нужно от вас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1. Перечень приоритетных отраслей.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Номер распоряжения я подтвердил, сам список не разворачивал — он длинный и годовой. Если нужно назвать в статье хотя бы отрасли наших клиентов, скажите, доберу из документа.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2. Тариф для обрабатывающих производств.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Вторичные источники называют 7,6%, но в доступной части текста статьи 427 пункт 2.5 я не увидел, поэтому числом его не называю. Если у наших экспертов цифра подтверждена — поставлю.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3. Закон от 25.04.2026 № 104-ФЗ.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Один источник упоминает, что он изменил порядок применения льгот по взносам. Подтвердить не удалось. Если эксперты о нём знают — это надо учесть.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4. Реквизиты закона о МРОТ на 2026 год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— величину 27 093 ₽ подтвердил, точный номер закона нужно подставить.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5. Безработица.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Перед публикацией сверить по докладу Росстата и указать месяц.</w:t>
      </w:r>
    </w:p>
    <w:p>
      <w:pPr>
        <w:spacing w:after="120" w:before="300"/>
      </w:pPr>
      <w:r>
        <w:rPr>
          <w:rFonts w:ascii="Arial" w:cs="Arial" w:eastAsia="Arial" w:hAnsi="Arial"/>
          <w:b/>
          <w:bCs/>
          <w:color w:val="1F3864"/>
          <w:sz w:val="26"/>
          <w:szCs w:val="26"/>
        </w:rPr>
        <w:t xml:space="preserve">Метаданные для размещения</w:t>
      </w:r>
    </w:p>
    <w:p>
      <w:pPr>
        <w:shd w:fill="D9EAD3" w:color="auto" w:val="clear"/>
        <w:spacing w:after="40" w:before="160"/>
      </w:pPr>
      <w:r>
        <w:rPr>
          <w:rFonts w:ascii="Arial" w:cs="Arial" w:eastAsia="Arial" w:hAnsi="Arial"/>
          <w:b/>
          <w:bCs/>
          <w:color w:val="444444"/>
          <w:sz w:val="16"/>
          <w:szCs w:val="16"/>
        </w:rPr>
        <w:t xml:space="preserve">▌ДОБАВЛЕНО ПО ТЗ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Title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(59 знаков): Зарплатные налоги 2026: взносы, НДФЛ и льготы для МСП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Description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(159 знаков): Сколько стоит сотрудник в 2026 году: тарифы взносов, шкала НДФЛ, кто сохранил пониженный тариф 15% и на чём можно сэкономить законно. С расчётом на цифрах.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URL: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оставить прежний — /news/defitsit-kadrov-kak-v-etikh-usloviyakh-ekonomit-na-zarplatnykh-nalogakh/</w:t>
      </w:r>
    </w:p>
    <w:p>
      <w:pPr>
        <w:shd w:fill="D9EAD3" w:color="auto" w:val="clear"/>
        <w:spacing w:after="140" w:line="3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2"/>
          <w:szCs w:val="22"/>
        </w:rPr>
        <w:t xml:space="preserve">Ключи: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2"/>
          <w:szCs w:val="22"/>
        </w:rPr>
        <w:t xml:space="preserve"> в ТЗ по этой статье ключи не заданы. Из таблицы подходят «бухгалтерское сопровождение», «учёт зарплаты и кадров» — поставил в призыв к действию. Если нужны конкретные ключи, пришлите.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dkpourrwqoftc0j2lm5oh" Type="http://schemas.openxmlformats.org/officeDocument/2006/relationships/hyperlink" Target="https://1-plus-1.ru/news/defitsit-kadrov-kak-v-etikh-usloviyakh-ekonomit-na-zarplatnykh-nalogakh/" TargetMode="External"/><Relationship Id="rIdyjsgti_erlymvqceq-uub" Type="http://schemas.openxmlformats.org/officeDocument/2006/relationships/hyperlink" Target="https://www.consultant.ru/document/cons_doc_LAW_28165/a3f603ffd57b1431ed51e1693ba710093347235d/" TargetMode="External"/><Relationship Id="rIdbbgntxhkzyi2lnnmdwaop" Type="http://schemas.openxmlformats.org/officeDocument/2006/relationships/hyperlink" Target="https://www.consultant.ru/document/cons_doc_LAW_28165/c5c16c86f95c5db63601047b1c0a5942bd77c824/" TargetMode="External"/><Relationship Id="rIdfzacy3jpw6yyj0ulttquh" Type="http://schemas.openxmlformats.org/officeDocument/2006/relationships/hyperlink" Target="https://base.garant.ru/412984357/" TargetMode="External"/><Relationship Id="rIdgac9oerwsny8wvl9azamz" Type="http://schemas.openxmlformats.org/officeDocument/2006/relationships/hyperlink" Target="https://www.consultant.ru/document/cons_doc_LAW_28165/3e4bbd6dd9fb5dd4e9394f447653506e1d6fa3a9/" TargetMode="External"/><Relationship Id="rIdcpqun0wq1ghnjb18k9ogs" Type="http://schemas.openxmlformats.org/officeDocument/2006/relationships/hyperlink" Target="https://www.consultant.ru/document/cons_doc_LAW_28165/a3f603ffd57b1431ed51e1693ba710093347235d/" TargetMode="External"/><Relationship Id="rId4pxo8rwyxuz0scybiciwz" Type="http://schemas.openxmlformats.org/officeDocument/2006/relationships/hyperlink" Target="https://base.garant.ru/412984357/" TargetMode="External"/><Relationship Id="rIduwtzubtetiep-uxnv4i-n" Type="http://schemas.openxmlformats.org/officeDocument/2006/relationships/hyperlink" Target="https://www.consultant.ru/document/cons_doc_LAW_28165/c5c16c86f95c5db63601047b1c0a5942bd77c824/" TargetMode="External"/><Relationship Id="rIdst3hv18_srcsapalyfpjx" Type="http://schemas.openxmlformats.org/officeDocument/2006/relationships/hyperlink" Target="https://www.consultant.ru/document/cons_doc_LAW_520020/" TargetMode="External"/><Relationship Id="rIdrf0lz_o1kqlncoz8dcof7" Type="http://schemas.openxmlformats.org/officeDocument/2006/relationships/hyperlink" Target="https://www.consultant.ru/document/cons_doc_LAW_523172/6f2a657934602e36fb055b5d6ecb0e23ca727dba/" TargetMode="External"/><Relationship Id="rIdvgoboahzrd8sunlabzj1d" Type="http://schemas.openxmlformats.org/officeDocument/2006/relationships/hyperlink" Target="https://www.consultant.ru/document/cons_doc_LAW_28165/c5c16c86f95c5db63601047b1c0a5942bd77c824/" TargetMode="External"/><Relationship Id="rIdg_zl84xoejrrzjy78n0d_" Type="http://schemas.openxmlformats.org/officeDocument/2006/relationships/hyperlink" Target="https://www.consultant.ru/document/cons_doc_LAW_520020/" TargetMode="External"/><Relationship Id="rIddoi649k59qihkr-aax3zr" Type="http://schemas.openxmlformats.org/officeDocument/2006/relationships/hyperlink" Target="https://www.consultant.ru/document/cons_doc_LAW_28165/c5c16c86f95c5db63601047b1c0a5942bd77c824/" TargetMode="External"/><Relationship Id="rIdvjf2xz2tqccboj8w7mjx5" Type="http://schemas.openxmlformats.org/officeDocument/2006/relationships/hyperlink" Target="https://www.consultant.ru/document/cons_doc_LAW_28165/c5c16c86f95c5db63601047b1c0a5942bd77c824/" TargetMode="External"/><Relationship Id="rIdbjouzd-fjj_vttkq_ejq3" Type="http://schemas.openxmlformats.org/officeDocument/2006/relationships/hyperlink" Target="https://www.consultant.ru/document/cons_doc_LAW_523172/6f2a657934602e36fb055b5d6ecb0e23ca727dba/" TargetMode="External"/><Relationship Id="rIdui-rj2najwx0lv2m-fqiz" Type="http://schemas.openxmlformats.org/officeDocument/2006/relationships/hyperlink" Target="https://1-plus-1.ru/news/nalogovaya-nagruzka/" TargetMode="External"/><Relationship Id="rIdw9sirgukgsbetu9nke3jc" Type="http://schemas.openxmlformats.org/officeDocument/2006/relationships/hyperlink" Target="https://1-plus-1.ru/news/opasno-li-kompaniyam-rabotat-s-samozanyatymi/" TargetMode="External"/><Relationship Id="rIdvkqj1miipikwskgn8z-pe" Type="http://schemas.openxmlformats.org/officeDocument/2006/relationships/hyperlink" Target="https://1-plus-1.ru/news/glavbukh-prosit-povysit-zarplatu-povyshat-ili-net-11-voprosov-chtoby-reshit-obektivno/" TargetMode="External"/><Relationship Id="rIdo6veer2nselgiqdgxv0s2" Type="http://schemas.openxmlformats.org/officeDocument/2006/relationships/hyperlink" Target="https://www.consultant.ru/document/cons_doc_LAW_28165/3e4bbd6dd9fb5dd4e9394f447653506e1d6fa3a9/" TargetMode="External"/><Relationship Id="rIde0ezc6miamzi5cm-k5aom" Type="http://schemas.openxmlformats.org/officeDocument/2006/relationships/hyperlink" Target="https://www.consultant.ru/document/cons_doc_LAW_28165/a3f603ffd57b1431ed51e1693ba710093347235d/" TargetMode="External"/><Relationship Id="rIds2mjo6xhvmsvonx1vsptt" Type="http://schemas.openxmlformats.org/officeDocument/2006/relationships/hyperlink" Target="https://www.consultant.ru/document/cons_doc_LAW_520020/" TargetMode="External"/><Relationship Id="rId2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Зарплатные налоги 2026</dc:title>
  <dc:creator>1+1</dc:creator>
  <cp:lastModifiedBy>Un-named</cp:lastModifiedBy>
  <cp:revision>1</cp:revision>
  <dcterms:created xsi:type="dcterms:W3CDTF">2026-10-27T06:18:13.253Z</dcterms:created>
  <dcterms:modified xsi:type="dcterms:W3CDTF">2026-10-27T06:18:13.253Z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