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D63F61"/>
          <w:sz w:val="44"/>
          <w:szCs w:val="44"/>
        </w:rPr>
        <w:t xml:space="preserve">БРИФ</w:t>
      </w:r>
    </w:p>
    <w:p>
      <w:pPr>
        <w:spacing w:after="300"/>
      </w:pPr>
      <w:r>
        <w:rPr>
          <w:b/>
          <w:bCs/>
          <w:color w:val="1A1A1A"/>
          <w:sz w:val="28"/>
          <w:szCs w:val="28"/>
        </w:rPr>
        <w:t xml:space="preserve">на доработку фирменного стиля и брендбука «1+1»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Аутсорсинг бухгалтерии, юридического и налогового сопровождения · 1-plus-1.ru · на рынке с 2011 года</w:t>
      </w:r>
    </w:p>
    <w:p>
      <w:pPr>
        <w:pStyle w:val="Heading1"/>
        <w:pBdr>
          <w:bottom w:val="single" w:color="D63F61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1. О компании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Название бренда: «1+1» (визуально обыгрывается как разогнутая канцелярская скрепка)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Сфера: аутсорсинг бухгалтерии, налоговый и финансовый консалтинг, юридическое сопровождение, регистрация и закрытие бизнеса, кадровый учёт, воинский учёт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Собственный продукт: онлайн-сервис «Бухдеск»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География (по текущим макетам): г. Барнаул, Алтайский край — офисы на ул. Пролетарской и ул. Малахова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Сайт: 1-plus-1.ru</w:t>
      </w:r>
    </w:p>
    <w:p>
      <w:pPr>
        <w:pBdr>
          <w:top w:val="single" w:color="D63F61" w:sz="4" w:space="4"/>
          <w:bottom w:val="single" w:color="D63F61" w:sz="4" w:space="4"/>
          <w:left w:val="single" w:color="D63F61" w:sz="4" w:space="4"/>
          <w:right w:val="single" w:color="D63F61" w:sz="4" w:space="4"/>
        </w:pBdr>
        <w:shd w:fill="FBF3F0" w:val="clear"/>
        <w:spacing w:after="160"/>
      </w:pPr>
      <w:r>
        <w:rPr>
          <w:i/>
          <w:iCs/>
          <w:color w:val="D63F61"/>
          <w:sz w:val="20"/>
          <w:szCs w:val="20"/>
        </w:rPr>
        <w:t xml:space="preserve">✎ УТОЧНИТЬ: число сотрудников, филиалы в других городах, годовой оборот компании (если это уместно указать дизайнеру для понимания масштаба)</w:t>
      </w:r>
    </w:p>
    <w:p>
      <w:pPr>
        <w:pStyle w:val="Heading1"/>
        <w:pBdr>
          <w:bottom w:val="single" w:color="D63F61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2. Текущая ситуация — что не устраивает</w:t>
      </w:r>
    </w:p>
    <w:p>
      <w:pPr>
        <w:spacing w:after="120"/>
      </w:pPr>
      <w:r>
        <w:rPr>
          <w:sz w:val="21"/>
          <w:szCs w:val="21"/>
        </w:rPr>
        <w:t xml:space="preserve">Ниже — разбор действующего гайдбука («Guidebook 2025», 16 стр.) и присланных рекламных макетов. Эти пункты — техническое задание для дизайнера: их нужно закрыть в новой версии.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Логотип плохо масштабируется: центральный элемент-скрепка на мелких форматах (стикеры, favicon, иконка соцсети) слипается в нечитаемое пятно вместо «1+1»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Два несовместимых паттерна одновременно: яркий розово-оливковый повтор «1+1» и золотой узор для подарочной упаковки — выглядят как два разных бренда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Раскол палитры: заявлены розовый/оливковый/кремовый (свежо, современно), но часть носителей (дипломы, подарочный набор, бланк) уходит в крафт/золото/пыльные тона — премиальный регистр, не соответствующий описанию бренда как «дружелюбного и открытого»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Два слогана без правила выбора: «Аутсорсинг бухгалтерии» и «Мы про цифры в бизнесе» — не указано, когда какой использовать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Иконки не из одной системы с логотипом: заливные пиктограммы против контурной линии логотипа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Слайды презентации (например, «Основа компании — наши ценности») сверстаны как универсальный корпоративный шаблон, без связи с айдентикой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В рекламных постах используются стоковые образы-клише (3D-рендер зуба, калькулятор с лупой) — не создают узнаваемость и легко повторяются конкурентами</w:t>
      </w:r>
    </w:p>
    <w:p>
      <w:pPr>
        <w:pStyle w:val="Heading1"/>
        <w:pBdr>
          <w:bottom w:val="single" w:color="D63F61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3. Цель работы</w:t>
      </w:r>
    </w:p>
    <w:p>
      <w:pPr>
        <w:spacing w:after="120"/>
      </w:pPr>
      <w:r>
        <w:rPr>
          <w:sz w:val="21"/>
          <w:szCs w:val="21"/>
        </w:rPr>
        <w:t xml:space="preserve">Выберите один вариант — это определяет объём и стоимость работы дизайнера: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☐ Вариант А — Рестайлинг: сохранить идею цифр «1+1» и скрепки, привести палитру/паттерн/иконки/слоган к единой системе, устранить нечитаемость логотипа в мелких размерах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☐ Вариант Б — Полный ребрендинг: разработка нового логотипа и айдентики с нуля, с сохранением только названия и домена</w:t>
      </w:r>
    </w:p>
    <w:p>
      <w:pPr>
        <w:pBdr>
          <w:top w:val="single" w:color="D63F61" w:sz="4" w:space="4"/>
          <w:bottom w:val="single" w:color="D63F61" w:sz="4" w:space="4"/>
          <w:left w:val="single" w:color="D63F61" w:sz="4" w:space="4"/>
          <w:right w:val="single" w:color="D63F61" w:sz="4" w:space="4"/>
        </w:pBdr>
        <w:shd w:fill="FBF3F0" w:val="clear"/>
        <w:spacing w:after="160"/>
      </w:pPr>
      <w:r>
        <w:rPr>
          <w:i/>
          <w:iCs/>
          <w:color w:val="D63F61"/>
          <w:sz w:val="20"/>
          <w:szCs w:val="20"/>
        </w:rPr>
        <w:t xml:space="preserve">✎ УТОЧНИТЬ: отметить нужный вариант (или прислать оба варианта дизайнеру на оценку)</w:t>
      </w:r>
    </w:p>
    <w:p>
      <w:pPr>
        <w:pStyle w:val="Heading1"/>
        <w:pBdr>
          <w:bottom w:val="single" w:color="D63F61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4. Что должно остаться неизменным (вводные)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Название компании «1+1» и домен 1-plus-1.ru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Указание «работаем с 2011 года» как элемент доверия</w:t>
      </w:r>
    </w:p>
    <w:p>
      <w:pPr>
        <w:pBdr>
          <w:top w:val="single" w:color="D63F61" w:sz="4" w:space="4"/>
          <w:bottom w:val="single" w:color="D63F61" w:sz="4" w:space="4"/>
          <w:left w:val="single" w:color="D63F61" w:sz="4" w:space="4"/>
          <w:right w:val="single" w:color="D63F61" w:sz="4" w:space="4"/>
        </w:pBdr>
        <w:shd w:fill="FBF3F0" w:val="clear"/>
        <w:spacing w:after="160"/>
      </w:pPr>
      <w:r>
        <w:rPr>
          <w:i/>
          <w:iCs/>
          <w:color w:val="D63F61"/>
          <w:sz w:val="20"/>
          <w:szCs w:val="20"/>
        </w:rPr>
        <w:t xml:space="preserve">✎ УТОЧНИТЬ: если выбран вариант А — подтвердить, что цифровой мотив «1+1» и идея скрепки сохраняются как основа</w:t>
      </w:r>
    </w:p>
    <w:p>
      <w:pPr>
        <w:pStyle w:val="Heading1"/>
        <w:pBdr>
          <w:bottom w:val="single" w:color="D63F61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5. Целевая аудитория и позиционирование</w:t>
      </w:r>
    </w:p>
    <w:p>
      <w:pPr>
        <w:pBdr>
          <w:top w:val="single" w:color="D63F61" w:sz="4" w:space="4"/>
          <w:bottom w:val="single" w:color="D63F61" w:sz="4" w:space="4"/>
          <w:left w:val="single" w:color="D63F61" w:sz="4" w:space="4"/>
          <w:right w:val="single" w:color="D63F61" w:sz="4" w:space="4"/>
        </w:pBdr>
        <w:shd w:fill="FBF3F0" w:val="clear"/>
        <w:spacing w:after="160"/>
      </w:pPr>
      <w:r>
        <w:rPr>
          <w:i/>
          <w:iCs/>
          <w:color w:val="D63F61"/>
          <w:sz w:val="20"/>
          <w:szCs w:val="20"/>
        </w:rPr>
        <w:t xml:space="preserve">✎ УТОЧНИТЬ: кто клиент (малый/средний бизнес, ИП, конкретные отрасли — в примерах видны стоматология и др.); в чём отличие от конкурентов-аутсорсеров; какую эмоцию должен вызывать бренд (спокойствие, надёжность, лёгкость?)</w:t>
      </w:r>
    </w:p>
    <w:p>
      <w:pPr>
        <w:pStyle w:val="Heading1"/>
        <w:pBdr>
          <w:bottom w:val="single" w:color="D63F61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6. Конкуренты и референсы</w:t>
      </w:r>
    </w:p>
    <w:p>
      <w:pPr>
        <w:pBdr>
          <w:top w:val="single" w:color="D63F61" w:sz="4" w:space="4"/>
          <w:bottom w:val="single" w:color="D63F61" w:sz="4" w:space="4"/>
          <w:left w:val="single" w:color="D63F61" w:sz="4" w:space="4"/>
          <w:right w:val="single" w:color="D63F61" w:sz="4" w:space="4"/>
        </w:pBdr>
        <w:shd w:fill="FBF3F0" w:val="clear"/>
        <w:spacing w:after="160"/>
      </w:pPr>
      <w:r>
        <w:rPr>
          <w:i/>
          <w:iCs/>
          <w:color w:val="D63F61"/>
          <w:sz w:val="20"/>
          <w:szCs w:val="20"/>
        </w:rPr>
        <w:t xml:space="preserve">✎ УТОЧНИТЬ: 3–5 конкурентов (ссылки на сайты/соцсети) + 2–3 референса брендинга «как нравится», даже из других отраслей</w:t>
      </w:r>
    </w:p>
    <w:p>
      <w:pPr>
        <w:pStyle w:val="Heading1"/>
        <w:pBdr>
          <w:bottom w:val="single" w:color="D63F61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7. Тон коммуникации</w:t>
      </w:r>
    </w:p>
    <w:p>
      <w:pPr>
        <w:spacing w:after="120"/>
      </w:pPr>
      <w:r>
        <w:rPr>
          <w:sz w:val="21"/>
          <w:szCs w:val="21"/>
        </w:rPr>
        <w:t xml:space="preserve">Из текущих материалов уже видно, на что можно опереться: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«Не судим клиентов за ошибки, а ищем пути решения»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«Смыслы важнее регламентов, клиент дороже обеденного перерыва»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Ответственность компании застрахована на 10 млн руб. — акцент на надёжность и гарантии</w:t>
      </w:r>
    </w:p>
    <w:p>
      <w:pPr>
        <w:pBdr>
          <w:top w:val="single" w:color="D63F61" w:sz="4" w:space="4"/>
          <w:bottom w:val="single" w:color="D63F61" w:sz="4" w:space="4"/>
          <w:left w:val="single" w:color="D63F61" w:sz="4" w:space="4"/>
          <w:right w:val="single" w:color="D63F61" w:sz="4" w:space="4"/>
        </w:pBdr>
        <w:shd w:fill="FBF3F0" w:val="clear"/>
        <w:spacing w:after="160"/>
      </w:pPr>
      <w:r>
        <w:rPr>
          <w:i/>
          <w:iCs/>
          <w:color w:val="D63F61"/>
          <w:sz w:val="20"/>
          <w:szCs w:val="20"/>
        </w:rPr>
        <w:t xml:space="preserve">✎ УТОЧНИТЬ: подтвердить или скорректировать тон: формальный/дружеский, с юмором или строго деловой</w:t>
      </w:r>
    </w:p>
    <w:p>
      <w:pPr>
        <w:pStyle w:val="Heading1"/>
        <w:pBdr>
          <w:bottom w:val="single" w:color="D63F61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8. Состав работ (deliverables)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3000"/>
        <w:gridCol w:w="3000"/>
      </w:tblGrid>
      <w:tr>
        <w:tc>
          <w:tcPr>
            <w:tcW w:type="dxa" w:w="3350"/>
            <w:shd w:fill="F6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07A4A"/>
                <w:sz w:val="20"/>
                <w:szCs w:val="20"/>
              </w:rPr>
              <w:t xml:space="preserve">Блок</w:t>
            </w:r>
          </w:p>
        </w:tc>
        <w:tc>
          <w:tcPr>
            <w:tcW w:type="dxa" w:w="3000"/>
            <w:shd w:fill="F6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07A4A"/>
                <w:sz w:val="20"/>
                <w:szCs w:val="20"/>
              </w:rPr>
              <w:t xml:space="preserve">Что есть сейчас</w:t>
            </w:r>
          </w:p>
        </w:tc>
        <w:tc>
          <w:tcPr>
            <w:tcW w:type="dxa" w:w="3000"/>
            <w:shd w:fill="F6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07A4A"/>
                <w:sz w:val="20"/>
                <w:szCs w:val="20"/>
              </w:rPr>
              <w:t xml:space="preserve">Что нужно получить</w:t>
            </w:r>
          </w:p>
        </w:tc>
      </w:tr>
      <w:tr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Логотип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Есть, но плохо масштабируется, теряет форму в мелком размере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Основная, компактная, монохромная версии + версия для тёмного фона; проверка читаемости от 16–24 px</w:t>
            </w:r>
          </w:p>
        </w:tc>
      </w:tr>
      <w:tr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Цветовая палитра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Розовый + оливковый + кремовый, но параллельно используется крафт/золото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Один вектор палитры для всех носителей, с чёткими правилами на что и когда</w:t>
            </w:r>
          </w:p>
        </w:tc>
      </w:tr>
      <w:tr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Типографика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Gilroy + Lato, пара рабочая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Сохранить пару, зафиксировать иерархию размеров для веб/печати/соцсетей</w:t>
            </w:r>
          </w:p>
        </w:tc>
      </w:tr>
      <w:tr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Иконки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Заливные, стилистически не связаны с контурным логотипом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Единый контурный стиль, согласованный с толщиной линии логотипа</w:t>
            </w:r>
          </w:p>
        </w:tc>
      </w:tr>
      <w:tr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Паттерны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Два разных паттерна (розово-оливковый и золотой), не связаны между собой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Один паттерн-язык на основе формы логотипа, с версиями по плотности</w:t>
            </w:r>
          </w:p>
        </w:tc>
      </w:tr>
      <w:tr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Слоганы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«Аутсорсинг бухгалтерии» и «Мы про цифры в бизнесе» без правил выбора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Один основной слоган + чёткое правило, когда использовать альтернативный</w:t>
            </w:r>
          </w:p>
        </w:tc>
      </w:tr>
      <w:tr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Соцсети / реклама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Стоковые образы (3D-зуб, калькулятор с лупой)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Гайд по фото/иллюстрациям в стиле бренда, без клише</w:t>
            </w:r>
          </w:p>
        </w:tc>
      </w:tr>
      <w:tr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Визитки, бланки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Есть дизайн, но конкурирует с обилием мелкого текста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Чёткая иерархия, обновлённые шаблоны писем/договоров/актов</w:t>
            </w:r>
          </w:p>
        </w:tc>
      </w:tr>
      <w:tr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Презентационные слайды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Шаблонная вёрстка, вне стиля бренда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Слайд-мастер (PPTX/Figma) в фирменном стиле</w:t>
            </w:r>
          </w:p>
        </w:tc>
      </w:tr>
      <w:tr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Сувенирная продукция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Есть примеры (ручки, блокнот, свечи)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Опционально — обновить под единую палитру</w:t>
            </w:r>
          </w:p>
        </w:tc>
      </w:tr>
    </w:tbl>
    <w:p>
      <w:pPr>
        <w:pStyle w:val="Heading1"/>
        <w:pBdr>
          <w:bottom w:val="single" w:color="D63F61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9. Технические требования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Векторные исходники логотипа и всех графических элементов (AI/EPS/SVG) + Figma-файл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Цвета в HEX, RGB и CMYK (для печати)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Лицензии на используемые шрифты, если Gilroy/Lato меняются или расширяются начертания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Проверка контраста текста (WCAG AA) для версий, используемых на сайте и в соцсетях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PDF-брендбук + отдельные исходники для типографии (визитки, бланки, конверты)</w:t>
      </w:r>
    </w:p>
    <w:p>
      <w:pPr>
        <w:pStyle w:val="Heading1"/>
        <w:pBdr>
          <w:bottom w:val="single" w:color="D63F61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10. Бюджет и сроки</w:t>
      </w:r>
    </w:p>
    <w:p>
      <w:pPr>
        <w:pBdr>
          <w:top w:val="single" w:color="D63F61" w:sz="4" w:space="4"/>
          <w:bottom w:val="single" w:color="D63F61" w:sz="4" w:space="4"/>
          <w:left w:val="single" w:color="D63F61" w:sz="4" w:space="4"/>
          <w:right w:val="single" w:color="D63F61" w:sz="4" w:space="4"/>
        </w:pBdr>
        <w:shd w:fill="FBF3F0" w:val="clear"/>
        <w:spacing w:after="160"/>
      </w:pPr>
      <w:r>
        <w:rPr>
          <w:i/>
          <w:iCs/>
          <w:color w:val="D63F61"/>
          <w:sz w:val="20"/>
          <w:szCs w:val="20"/>
        </w:rPr>
        <w:t xml:space="preserve">✎ УТОЧНИТЬ: вилка бюджета</w:t>
      </w:r>
    </w:p>
    <w:p>
      <w:pPr>
        <w:pBdr>
          <w:top w:val="single" w:color="D63F61" w:sz="4" w:space="4"/>
          <w:bottom w:val="single" w:color="D63F61" w:sz="4" w:space="4"/>
          <w:left w:val="single" w:color="D63F61" w:sz="4" w:space="4"/>
          <w:right w:val="single" w:color="D63F61" w:sz="4" w:space="4"/>
        </w:pBdr>
        <w:shd w:fill="FBF3F0" w:val="clear"/>
        <w:spacing w:after="160"/>
      </w:pPr>
      <w:r>
        <w:rPr>
          <w:i/>
          <w:iCs/>
          <w:color w:val="D63F61"/>
          <w:sz w:val="20"/>
          <w:szCs w:val="20"/>
        </w:rPr>
        <w:t xml:space="preserve">✎ УТОЧНИТЬ: желаемый срок сдачи, есть ли жёсткий дедлайн (например, к определённому мероприятию/сезону отчётности)</w:t>
      </w:r>
    </w:p>
    <w:p>
      <w:pPr>
        <w:pStyle w:val="Heading1"/>
        <w:pBdr>
          <w:bottom w:val="single" w:color="D63F61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11. Кто принимает работу</w:t>
      </w:r>
    </w:p>
    <w:p>
      <w:pPr>
        <w:pBdr>
          <w:top w:val="single" w:color="D63F61" w:sz="4" w:space="4"/>
          <w:bottom w:val="single" w:color="D63F61" w:sz="4" w:space="4"/>
          <w:left w:val="single" w:color="D63F61" w:sz="4" w:space="4"/>
          <w:right w:val="single" w:color="D63F61" w:sz="4" w:space="4"/>
        </w:pBdr>
        <w:shd w:fill="FBF3F0" w:val="clear"/>
        <w:spacing w:after="160"/>
      </w:pPr>
      <w:r>
        <w:rPr>
          <w:i/>
          <w:iCs/>
          <w:color w:val="D63F61"/>
          <w:sz w:val="20"/>
          <w:szCs w:val="20"/>
        </w:rPr>
        <w:t xml:space="preserve">✎ УТОЧНИТЬ: ФИО и роль лица, утверждающего финальный вариант; сколько раундов правок включено в бюджет</w:t>
      </w:r>
    </w:p>
    <w:p>
      <w:pPr>
        <w:pStyle w:val="Heading1"/>
        <w:pBdr>
          <w:bottom w:val="single" w:color="D63F61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12. Приложения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Текущий брендбук «Guidebook 2025» (PDF, 16 стр.)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Файлы логотипа (Logo.pdf, Logo-2.pdf, Ikonki.pdf, Blank.pdf)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Примеры рекламных постов в соцсетях (стоматология, налоговая оптимизация, аудит бухгалтерии)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Ссылка на сайт: 1-plus-1.ru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2026-07-22T11:10:29.359Z</dcterms:created>
  <dcterms:modified xsi:type="dcterms:W3CDTF">2026-07-22T11:10:29.359Z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