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ATA DE REUNIÃO</w:t>
      </w:r>
    </w:p>
    <w:p>
      <w:r>
        <w:t>**Data:** 22 de julho de 2025 (Estimativa baseada no nome do arquivo de áudio)</w:t>
      </w:r>
    </w:p>
    <w:p>
      <w:r>
        <w:t>**Assunto Principal:** Proposta de Internalização e Manutenção do Sistema GRD</w:t>
      </w:r>
    </w:p>
    <w:p>
      <w:pPr>
        <w:pStyle w:val="Heading1"/>
      </w:pPr>
      <w:r>
        <w:t>Participantes</w:t>
      </w:r>
    </w:p>
    <w:p>
      <w:r>
        <w:t>- Rodrigo</w:t>
      </w:r>
    </w:p>
    <w:p>
      <w:r>
        <w:t>- Fagner</w:t>
      </w:r>
    </w:p>
    <w:p>
      <w:r>
        <w:t>- Diego</w:t>
      </w:r>
    </w:p>
    <w:p>
      <w:r>
        <w:t>- Leonardo</w:t>
      </w:r>
    </w:p>
    <w:p>
      <w:r>
        <w:t>- (Thiago, Marcelo e Afonso mencionados nas discussões)</w:t>
      </w:r>
    </w:p>
    <w:p>
      <w:pPr>
        <w:pStyle w:val="Heading2"/>
      </w:pPr>
      <w:r>
        <w:t>1. Contexto e Proposta Inicial</w:t>
      </w:r>
    </w:p>
    <w:p>
      <w:pPr>
        <w:spacing w:after="120"/>
      </w:pPr>
      <w:r>
        <w:t>Rodrigo propôs a apresentação de uma proposta de manutenção e internalização do sistema GRD à Casa Militar.</w:t>
      </w:r>
    </w:p>
    <w:p>
      <w:pPr>
        <w:spacing w:after="120"/>
      </w:pPr>
      <w:r>
        <w:t>A internalização inicial visa absorver o conhecimento e configurar a equipe para a manutenção.</w:t>
      </w:r>
    </w:p>
    <w:p>
      <w:pPr>
        <w:pStyle w:val="Heading2"/>
      </w:pPr>
      <w:r>
        <w:t>2. Análise da Documentação da Codex</w:t>
      </w:r>
    </w:p>
    <w:p>
      <w:pPr>
        <w:spacing w:after="120"/>
      </w:pPr>
      <w:r>
        <w:t>Documentação clara em relação às tecnologias envolvidas (Node.js, Python, Java, React, PostgreSQL).</w:t>
      </w:r>
    </w:p>
    <w:p>
      <w:pPr>
        <w:spacing w:after="120"/>
      </w:pPr>
      <w:r>
        <w:t>Dúvida sobre integração com o sistema IED para cadastro do Plano de Contingência (Plancom).</w:t>
      </w:r>
    </w:p>
    <w:p>
      <w:pPr>
        <w:spacing w:after="120"/>
      </w:pPr>
      <w:r>
        <w:t>Roadmap considerado vago, sem detalhamento completo além do Plancom e gestão de ocorrências.</w:t>
      </w:r>
    </w:p>
    <w:p>
      <w:pPr>
        <w:pStyle w:val="Heading2"/>
      </w:pPr>
      <w:r>
        <w:t>3. Status Atual dos Módulos do GRD</w:t>
      </w:r>
    </w:p>
    <w:p>
      <w:pPr>
        <w:spacing w:after="120"/>
      </w:pPr>
      <w:r>
        <w:t>Plancon: Versão já disponível, municípios utilizando, Codex finalizando ajustes e homologação.</w:t>
      </w:r>
    </w:p>
    <w:p>
      <w:pPr>
        <w:spacing w:after="120"/>
      </w:pPr>
      <w:r>
        <w:t>Gestão de Ocorrências: Foco no aplicativo, ajustes em andamento, necessidade de versão desktop ou evoluções futuras.</w:t>
      </w:r>
    </w:p>
    <w:p>
      <w:pPr>
        <w:spacing w:after="120"/>
      </w:pPr>
      <w:r>
        <w:t>Demais Módulos: Muitos ainda a serem construídos.</w:t>
      </w:r>
    </w:p>
    <w:p>
      <w:pPr>
        <w:spacing w:after="120"/>
      </w:pPr>
      <w:r>
        <w:t>Urgência dependerá do uso efetivo pelo cliente.</w:t>
      </w:r>
    </w:p>
    <w:p>
      <w:pPr>
        <w:pStyle w:val="Heading2"/>
      </w:pPr>
      <w:r>
        <w:t>4. Integração Futura com CISGER</w:t>
      </w:r>
    </w:p>
    <w:p>
      <w:pPr>
        <w:spacing w:after="120"/>
      </w:pPr>
      <w:r>
        <w:t>Casa Militar pretende integrar o GRD ao CISGER.</w:t>
      </w:r>
    </w:p>
    <w:p>
      <w:pPr>
        <w:spacing w:after="120"/>
      </w:pPr>
      <w:r>
        <w:t>Proserg assumiria manutenção do CISGER após integração.</w:t>
      </w:r>
    </w:p>
    <w:p>
      <w:pPr>
        <w:pStyle w:val="Heading2"/>
      </w:pPr>
      <w:r>
        <w:t>5. Desafios e Necessidades da Internalização</w:t>
      </w:r>
    </w:p>
    <w:p>
      <w:pPr>
        <w:spacing w:after="120"/>
      </w:pPr>
      <w:r>
        <w:t>Tecnologias diferentes das usualmente utilizadas na Proserg.</w:t>
      </w:r>
    </w:p>
    <w:p>
      <w:pPr>
        <w:spacing w:after="120"/>
      </w:pPr>
      <w:r>
        <w:t>Migração do servidor HSP para Kubernetes e contêineres.</w:t>
      </w:r>
    </w:p>
    <w:p>
      <w:pPr>
        <w:spacing w:after="120"/>
      </w:pPr>
      <w:r>
        <w:t>Treinamento e/ou contratação de profissionais experientes nas tecnologias envolvidas.</w:t>
      </w:r>
    </w:p>
    <w:p>
      <w:pPr>
        <w:pStyle w:val="Heading2"/>
      </w:pPr>
      <w:r>
        <w:t>6. Definição Clara do Escopo de Entrega</w:t>
      </w:r>
    </w:p>
    <w:p>
      <w:pPr>
        <w:spacing w:after="120"/>
      </w:pPr>
      <w:r>
        <w:t>Produto considerado entregue apenas se 100% funcional, homologado, validado e sob garantia da Codex.</w:t>
      </w:r>
    </w:p>
    <w:p>
      <w:pPr>
        <w:spacing w:after="120"/>
      </w:pPr>
      <w:r>
        <w:t>Partes inacabadas devem ser separadas em escopo distinto.</w:t>
      </w:r>
    </w:p>
    <w:p>
      <w:pPr>
        <w:spacing w:after="120"/>
      </w:pPr>
      <w:r>
        <w:t>Valor da manutenção aumentará proporcionalmente a novos desenvolvimentos.</w:t>
      </w:r>
    </w:p>
    <w:p>
      <w:pPr>
        <w:pStyle w:val="Heading2"/>
      </w:pPr>
      <w:r>
        <w:t>7. Custos da Internalização</w:t>
      </w:r>
    </w:p>
    <w:p>
      <w:pPr>
        <w:spacing w:after="120"/>
      </w:pPr>
      <w:r>
        <w:t>Custos de acompanhamento, migração e infraestrutura serão incluídos no projeto inicial.</w:t>
      </w:r>
    </w:p>
    <w:p>
      <w:pPr>
        <w:pStyle w:val="Heading2"/>
      </w:pPr>
      <w:r>
        <w:t>8. Próximos Passos e Prazos</w:t>
      </w:r>
    </w:p>
    <w:p>
      <w:pPr>
        <w:spacing w:after="120"/>
      </w:pPr>
      <w:r>
        <w:t>Fagner e Diego conversarão com Thiago para definir equipe e tempo de absorção.</w:t>
      </w:r>
    </w:p>
    <w:p>
      <w:pPr>
        <w:spacing w:after="120"/>
      </w:pPr>
      <w:r>
        <w:t>Rodrigo receberá previsão para apresentar proposta ainda nesta semana.</w:t>
      </w:r>
    </w:p>
    <w:p>
      <w:pPr>
        <w:spacing w:after="120"/>
      </w:pPr>
      <w:r>
        <w:t>Rodrigo contatará Casa Militar para formalizar escopo de entrega da Codex.</w:t>
      </w:r>
    </w:p>
    <w:p>
      <w:pPr>
        <w:pStyle w:val="Heading2"/>
      </w:pPr>
      <w:r>
        <w:t>9. Disponibilidade de Leonardo</w:t>
      </w:r>
    </w:p>
    <w:p>
      <w:pPr>
        <w:spacing w:after="120"/>
      </w:pPr>
      <w:r>
        <w:t>Leonardo, em transição para outra área, auxiliará na transição do GRD até definição de substituto.</w:t>
      </w:r>
    </w:p>
    <w:p>
      <w:pPr>
        <w:pStyle w:val="Heading2"/>
      </w:pPr>
      <w:r>
        <w:t>Considerações Finais</w:t>
      </w:r>
    </w:p>
    <w:p>
      <w:pPr>
        <w:spacing w:after="120"/>
      </w:pPr>
      <w:r>
        <w:t>Internalização do GRD é oportunidade para trabalhar com tecnologias modernas e relevantes para Defesa Civil e clima.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