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B06E" w14:textId="39741D00" w:rsidR="00C14174" w:rsidRPr="00AA34D4" w:rsidRDefault="00C14174" w:rsidP="00C14174">
      <w:pPr>
        <w:spacing w:after="0" w:line="360" w:lineRule="auto"/>
        <w:contextualSpacing/>
        <w:jc w:val="both"/>
        <w:rPr>
          <w:rFonts w:ascii="Times New Roman" w:eastAsia="Times New Roman" w:hAnsi="Times New Roman" w:cs="Times New Roman"/>
          <w:b/>
          <w:bCs/>
          <w:kern w:val="0"/>
          <w:sz w:val="20"/>
          <w:szCs w:val="20"/>
          <w14:ligatures w14:val="none"/>
        </w:rPr>
      </w:pPr>
      <w:r w:rsidRPr="00AA34D4">
        <w:rPr>
          <w:rFonts w:ascii="Times New Roman" w:eastAsia="Times New Roman" w:hAnsi="Times New Roman" w:cs="Times New Roman"/>
          <w:b/>
          <w:bCs/>
          <w:kern w:val="0"/>
          <w:sz w:val="20"/>
          <w:szCs w:val="20"/>
          <w14:ligatures w14:val="none"/>
        </w:rPr>
        <w:t xml:space="preserve">Supplementary Material S1. </w:t>
      </w:r>
      <w:r w:rsidR="00AA34D4">
        <w:rPr>
          <w:rFonts w:ascii="Times New Roman" w:eastAsia="Times New Roman" w:hAnsi="Times New Roman" w:cs="Times New Roman"/>
          <w:b/>
          <w:bCs/>
          <w:kern w:val="0"/>
          <w:sz w:val="20"/>
          <w:szCs w:val="20"/>
          <w14:ligatures w14:val="none"/>
        </w:rPr>
        <w:t>Comparing the</w:t>
      </w:r>
      <w:r w:rsidR="00FF1C66">
        <w:rPr>
          <w:rFonts w:ascii="Times New Roman" w:eastAsia="Times New Roman" w:hAnsi="Times New Roman" w:cs="Times New Roman"/>
          <w:b/>
          <w:bCs/>
          <w:kern w:val="0"/>
          <w:sz w:val="20"/>
          <w:szCs w:val="20"/>
          <w14:ligatures w14:val="none"/>
        </w:rPr>
        <w:t xml:space="preserve"> </w:t>
      </w:r>
      <w:r w:rsidR="00AA34D4">
        <w:rPr>
          <w:rFonts w:ascii="Times New Roman" w:eastAsia="Times New Roman" w:hAnsi="Times New Roman" w:cs="Times New Roman"/>
          <w:b/>
          <w:bCs/>
          <w:kern w:val="0"/>
          <w:sz w:val="20"/>
          <w:szCs w:val="20"/>
          <w14:ligatures w14:val="none"/>
        </w:rPr>
        <w:t xml:space="preserve">performance </w:t>
      </w:r>
      <w:r w:rsidR="00AA34D4" w:rsidRPr="00AA34D4">
        <w:rPr>
          <w:rFonts w:ascii="Times New Roman" w:eastAsia="Times New Roman" w:hAnsi="Times New Roman" w:cs="Times New Roman"/>
          <w:b/>
          <w:bCs/>
          <w:kern w:val="0"/>
          <w:sz w:val="20"/>
          <w:szCs w:val="20"/>
          <w14:ligatures w14:val="none"/>
        </w:rPr>
        <w:t xml:space="preserve">between </w:t>
      </w:r>
      <w:proofErr w:type="spellStart"/>
      <w:r w:rsidR="00AA34D4" w:rsidRPr="00AA34D4">
        <w:rPr>
          <w:rFonts w:ascii="Times New Roman" w:eastAsia="Times New Roman" w:hAnsi="Times New Roman" w:cs="Times New Roman"/>
          <w:b/>
          <w:bCs/>
          <w:kern w:val="0"/>
          <w:sz w:val="20"/>
          <w:szCs w:val="20"/>
          <w14:ligatures w14:val="none"/>
        </w:rPr>
        <w:t>Trinotate</w:t>
      </w:r>
      <w:proofErr w:type="spellEnd"/>
      <w:r w:rsidR="00AA34D4" w:rsidRPr="00AA34D4">
        <w:rPr>
          <w:rFonts w:ascii="Times New Roman" w:eastAsia="Times New Roman" w:hAnsi="Times New Roman" w:cs="Times New Roman"/>
          <w:b/>
          <w:bCs/>
          <w:kern w:val="0"/>
          <w:sz w:val="20"/>
          <w:szCs w:val="20"/>
          <w14:ligatures w14:val="none"/>
        </w:rPr>
        <w:t xml:space="preserve"> and </w:t>
      </w:r>
      <w:proofErr w:type="spellStart"/>
      <w:r w:rsidR="00AA34D4" w:rsidRPr="00AA34D4">
        <w:rPr>
          <w:rFonts w:ascii="Times New Roman" w:eastAsia="Times New Roman" w:hAnsi="Times New Roman" w:cs="Times New Roman"/>
          <w:b/>
          <w:bCs/>
          <w:kern w:val="0"/>
          <w:sz w:val="20"/>
          <w:szCs w:val="20"/>
          <w14:ligatures w14:val="none"/>
        </w:rPr>
        <w:t>EnTAP</w:t>
      </w:r>
      <w:proofErr w:type="spellEnd"/>
      <w:r w:rsidR="00AA34D4" w:rsidRPr="00AA34D4">
        <w:rPr>
          <w:rFonts w:ascii="Times New Roman" w:eastAsia="Times New Roman" w:hAnsi="Times New Roman" w:cs="Times New Roman"/>
          <w:b/>
          <w:bCs/>
          <w:kern w:val="0"/>
          <w:sz w:val="20"/>
          <w:szCs w:val="20"/>
          <w14:ligatures w14:val="none"/>
        </w:rPr>
        <w:t xml:space="preserve"> pipeline</w:t>
      </w:r>
      <w:r w:rsidR="00AA34D4">
        <w:rPr>
          <w:rFonts w:ascii="Times New Roman" w:eastAsia="Times New Roman" w:hAnsi="Times New Roman" w:cs="Times New Roman"/>
          <w:b/>
          <w:bCs/>
          <w:kern w:val="0"/>
          <w:sz w:val="20"/>
          <w:szCs w:val="20"/>
          <w14:ligatures w14:val="none"/>
        </w:rPr>
        <w:t xml:space="preserve">s for </w:t>
      </w:r>
      <w:r w:rsidR="00FF1C66">
        <w:rPr>
          <w:rFonts w:ascii="Times New Roman" w:eastAsia="Times New Roman" w:hAnsi="Times New Roman" w:cs="Times New Roman"/>
          <w:b/>
          <w:bCs/>
          <w:kern w:val="0"/>
          <w:sz w:val="20"/>
          <w:szCs w:val="20"/>
          <w14:ligatures w14:val="none"/>
        </w:rPr>
        <w:t xml:space="preserve">the </w:t>
      </w:r>
      <w:r w:rsidRPr="00AA34D4">
        <w:rPr>
          <w:rFonts w:ascii="Times New Roman" w:eastAsia="Times New Roman" w:hAnsi="Times New Roman" w:cs="Times New Roman"/>
          <w:b/>
          <w:bCs/>
          <w:kern w:val="0"/>
          <w:sz w:val="20"/>
          <w:szCs w:val="20"/>
          <w14:ligatures w14:val="none"/>
        </w:rPr>
        <w:t xml:space="preserve">annotation </w:t>
      </w:r>
      <w:r w:rsidR="00AA34D4">
        <w:rPr>
          <w:rFonts w:ascii="Times New Roman" w:eastAsia="Times New Roman" w:hAnsi="Times New Roman" w:cs="Times New Roman"/>
          <w:b/>
          <w:bCs/>
          <w:kern w:val="0"/>
          <w:sz w:val="20"/>
          <w:szCs w:val="20"/>
          <w14:ligatures w14:val="none"/>
        </w:rPr>
        <w:t xml:space="preserve">of </w:t>
      </w:r>
      <w:r w:rsidR="00AA34D4" w:rsidRPr="00AA34D4">
        <w:rPr>
          <w:rFonts w:ascii="Times New Roman" w:eastAsia="Times New Roman" w:hAnsi="Times New Roman" w:cs="Times New Roman"/>
          <w:b/>
          <w:bCs/>
          <w:i/>
          <w:iCs/>
          <w:kern w:val="0"/>
          <w:sz w:val="20"/>
          <w:szCs w:val="20"/>
          <w14:ligatures w14:val="none"/>
        </w:rPr>
        <w:t xml:space="preserve">Totoaba </w:t>
      </w:r>
      <w:proofErr w:type="spellStart"/>
      <w:r w:rsidR="00AA34D4" w:rsidRPr="00AA34D4">
        <w:rPr>
          <w:rFonts w:ascii="Times New Roman" w:eastAsia="Times New Roman" w:hAnsi="Times New Roman" w:cs="Times New Roman"/>
          <w:b/>
          <w:bCs/>
          <w:i/>
          <w:iCs/>
          <w:kern w:val="0"/>
          <w:sz w:val="20"/>
          <w:szCs w:val="20"/>
          <w14:ligatures w14:val="none"/>
        </w:rPr>
        <w:t>macdonaldi</w:t>
      </w:r>
      <w:proofErr w:type="spellEnd"/>
      <w:r w:rsidR="00AA34D4">
        <w:rPr>
          <w:rFonts w:ascii="Times New Roman" w:eastAsia="Times New Roman" w:hAnsi="Times New Roman" w:cs="Times New Roman"/>
          <w:b/>
          <w:bCs/>
          <w:kern w:val="0"/>
          <w:sz w:val="20"/>
          <w:szCs w:val="20"/>
          <w14:ligatures w14:val="none"/>
        </w:rPr>
        <w:t xml:space="preserve"> liver’s transcriptome.  </w:t>
      </w:r>
    </w:p>
    <w:p w14:paraId="2B1178DC" w14:textId="77777777" w:rsidR="00C14174" w:rsidRPr="00AA34D4" w:rsidRDefault="00C14174" w:rsidP="00C14174">
      <w:pPr>
        <w:spacing w:after="0" w:line="360" w:lineRule="auto"/>
        <w:contextualSpacing/>
        <w:jc w:val="both"/>
        <w:rPr>
          <w:rFonts w:ascii="Times New Roman" w:eastAsia="Times New Roman" w:hAnsi="Times New Roman" w:cs="Times New Roman"/>
          <w:b/>
          <w:bCs/>
          <w:kern w:val="0"/>
          <w:sz w:val="20"/>
          <w:szCs w:val="20"/>
          <w14:ligatures w14:val="none"/>
        </w:rPr>
      </w:pPr>
    </w:p>
    <w:p w14:paraId="195B37B6" w14:textId="62FAB14C"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xml:space="preserve">After comparing </w:t>
      </w:r>
      <w:proofErr w:type="spellStart"/>
      <w:r w:rsidRPr="00AA34D4">
        <w:rPr>
          <w:rFonts w:ascii="Times New Roman" w:eastAsia="Times New Roman" w:hAnsi="Times New Roman" w:cs="Times New Roman"/>
          <w:kern w:val="0"/>
          <w:sz w:val="20"/>
          <w:szCs w:val="20"/>
          <w14:ligatures w14:val="none"/>
        </w:rPr>
        <w:t>EnTAP</w:t>
      </w:r>
      <w:proofErr w:type="spellEnd"/>
      <w:r w:rsidR="00FE5997">
        <w:rPr>
          <w:rFonts w:ascii="Times New Roman" w:eastAsia="Times New Roman" w:hAnsi="Times New Roman" w:cs="Times New Roman"/>
          <w:kern w:val="0"/>
          <w:sz w:val="20"/>
          <w:szCs w:val="20"/>
          <w14:ligatures w14:val="none"/>
        </w:rPr>
        <w:t xml:space="preserve"> </w:t>
      </w:r>
      <w:r w:rsidR="00FE5997">
        <w:rPr>
          <w:rFonts w:ascii="Times New Roman" w:eastAsia="Times New Roman" w:hAnsi="Times New Roman" w:cs="Times New Roman"/>
          <w:kern w:val="0"/>
          <w:sz w:val="20"/>
          <w:szCs w:val="20"/>
          <w14:ligatures w14:val="none"/>
        </w:rPr>
        <w:fldChar w:fldCharType="begin" w:fldLock="1"/>
      </w:r>
      <w:r w:rsidR="00C94886">
        <w:rPr>
          <w:rFonts w:ascii="Times New Roman" w:eastAsia="Times New Roman" w:hAnsi="Times New Roman" w:cs="Times New Roman"/>
          <w:kern w:val="0"/>
          <w:sz w:val="20"/>
          <w:szCs w:val="20"/>
          <w14:ligatures w14:val="none"/>
        </w:rPr>
        <w:instrText>ADDIN CSL_CITATION {"citationItems":[{"id":"ITEM-1","itemData":{"DOI":"10.1111/1755-0998.13106","ISSN":"17550998","PMID":"31628884","abstract":"EnTAP (Eukaryotic Non-Model Transcriptome Annotation Pipeline) was designed to improve the accuracy, speed, and flexibility of functional gene annotation for de novo assembled transcriptomes in non-model eukaryotes. This software package addresses the fragmentation and related assembly issues that result in inflated transcript estimates and poor annotation rates of protein-coding transcripts. Following filters applied through assessment of true expression and frame selection, open-source tools are leveraged to functionally annotate the reduced set of translated proteins. Downstream features include fast similarity search across five repositories, protein domain assignment, orthologous gene family assessment, and Gene Ontology (GO) term assignment. The final annotation integrates across multiple databases and selects an optimal assignment from a combination of weighted metrics describing similarity search score, taxonomic relationship, and informativeness. Researchers have the option to include additional filters to identify and remove contaminants, identify associated pathways, and prepare the transcripts for enrichment analysis. This fully featured pipeline is easy to install, configure, and runs significantly faster than comparable annotation packages. EnTAP is optimized to generate extensive functional information for the gene space of organisms with limited or poorly characterized genomic resources.","author":[{"dropping-particle":"","family":"Hart","given":"Alexander J.","non-dropping-particle":"","parse-names":false,"suffix":""},{"dropping-particle":"","family":"Ginzburg","given":"Samuel","non-dropping-particle":"","parse-names":false,"suffix":""},{"dropping-particle":"","family":"Xu","given":"Muyang","non-dropping-particle":"","parse-names":false,"suffix":""},{"dropping-particle":"","family":"Fisher","given":"Cera R.","non-dropping-particle":"","parse-names":false,"suffix":""},{"dropping-particle":"","family":"Rahmatpour","given":"Nasim","non-dropping-particle":"","parse-names":false,"suffix":""},{"dropping-particle":"","family":"Mitton","given":"Jeffry B.","non-dropping-particle":"","parse-names":false,"suffix":""},{"dropping-particle":"","family":"Paul","given":"Robin","non-dropping-particle":"","parse-names":false,"suffix":""},{"dropping-particle":"","family":"Wegrzyn","given":"Jill L.","non-dropping-particle":"","parse-names":false,"suffix":""}],"container-title":"Molecular Ecology Resources","id":"ITEM-1","issue":"2","issued":{"date-parts":[["2020","3","1"]]},"page":"591-604","publisher":"John Wiley &amp; Sons, Ltd","title":"EnTAP: Bringing faster and smarter functional annotation to non-model eukaryotic transcriptomes","type":"article-journal","volume":"20"},"uris":["http://www.mendeley.com/documents/?uuid=0102ce97-8d31-3248-be75-3978d9d027c2"]}],"mendeley":{"formattedCitation":"(Hart et al. 2020)","plainTextFormattedCitation":"(Hart et al. 2020)","previouslyFormattedCitation":"(Hart et al. 2020)"},"properties":{"noteIndex":0},"schema":"https://github.com/citation-style-language/schema/raw/master/csl-citation.json"}</w:instrText>
      </w:r>
      <w:r w:rsidR="00FE5997">
        <w:rPr>
          <w:rFonts w:ascii="Times New Roman" w:eastAsia="Times New Roman" w:hAnsi="Times New Roman" w:cs="Times New Roman"/>
          <w:kern w:val="0"/>
          <w:sz w:val="20"/>
          <w:szCs w:val="20"/>
          <w14:ligatures w14:val="none"/>
        </w:rPr>
        <w:fldChar w:fldCharType="separate"/>
      </w:r>
      <w:r w:rsidR="00FE5997" w:rsidRPr="00FE5997">
        <w:rPr>
          <w:rFonts w:ascii="Times New Roman" w:eastAsia="Times New Roman" w:hAnsi="Times New Roman" w:cs="Times New Roman"/>
          <w:noProof/>
          <w:kern w:val="0"/>
          <w:sz w:val="20"/>
          <w:szCs w:val="20"/>
          <w14:ligatures w14:val="none"/>
        </w:rPr>
        <w:t>(Hart et al. 2020)</w:t>
      </w:r>
      <w:r w:rsidR="00FE5997">
        <w:rPr>
          <w:rFonts w:ascii="Times New Roman" w:eastAsia="Times New Roman" w:hAnsi="Times New Roman" w:cs="Times New Roman"/>
          <w:kern w:val="0"/>
          <w:sz w:val="20"/>
          <w:szCs w:val="20"/>
          <w14:ligatures w14:val="none"/>
        </w:rPr>
        <w:fldChar w:fldCharType="end"/>
      </w:r>
      <w:r w:rsidRPr="00AA34D4">
        <w:rPr>
          <w:rFonts w:ascii="Times New Roman" w:eastAsia="Times New Roman" w:hAnsi="Times New Roman" w:cs="Times New Roman"/>
          <w:kern w:val="0"/>
          <w:sz w:val="20"/>
          <w:szCs w:val="20"/>
          <w14:ligatures w14:val="none"/>
        </w:rPr>
        <w:t xml:space="preserve">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w:t>
      </w:r>
      <w:r w:rsidR="00FE5997">
        <w:rPr>
          <w:rFonts w:ascii="Times New Roman" w:eastAsia="Times New Roman" w:hAnsi="Times New Roman" w:cs="Times New Roman"/>
          <w:kern w:val="0"/>
          <w:sz w:val="20"/>
          <w:szCs w:val="20"/>
          <w14:ligatures w14:val="none"/>
        </w:rPr>
        <w:fldChar w:fldCharType="begin" w:fldLock="1"/>
      </w:r>
      <w:r w:rsidR="00C94886">
        <w:rPr>
          <w:rFonts w:ascii="Times New Roman" w:eastAsia="Times New Roman" w:hAnsi="Times New Roman" w:cs="Times New Roman"/>
          <w:kern w:val="0"/>
          <w:sz w:val="20"/>
          <w:szCs w:val="20"/>
          <w14:ligatures w14:val="none"/>
        </w:rPr>
        <w:instrText>ADDIN CSL_CITATION {"citationItems":[{"id":"ITEM-1","itemData":{"DOI":"10.1016/j.celrep.2016.12.063","ISSN":"22111247","PMID":"28099853","abstract":"Mammals have extremely limited regenerative capabilities; however, axolotls are profoundly regenerative and can replace entire limbs. The mechanisms underlying limb regeneration remain poorly understood, partly because the enormous and incompletely sequenced genomes of axolotls have hindered the study of genes facilitating regeneration. We assembled and annotated a de novo transcriptome using RNA-sequencing profiles for a broad spectrum of tissues that is estimated to have near-complete sequence information for 88% of axolotl genes. We devised expression analyses that identified the axolotl orthologs of cirbp and kazald1 as highly expressed and enriched in blastemas. Using morpholino anti-sense oligonucleotides, we find evidence that cirbp plays a cytoprotective role during limb regeneration whereas manipulation of kazald1 expression disrupts regeneration. Our transcriptome and annotation resources greatly complement previous transcriptomic studies and will be a valuable resource for future research in regenerative biology.","author":[{"dropping-particle":"","family":"Bryant","given":"Donald M.","non-dropping-particle":"","parse-names":false,"suffix":""},{"dropping-particle":"","family":"Johnson","given":"Kimberly","non-dropping-particle":"","parse-names":false,"suffix":""},{"dropping-particle":"","family":"DiTommaso","given":"Tia","non-dropping-particle":"","parse-names":false,"suffix":""},{"dropping-particle":"","family":"Tickle","given":"Timothy","non-dropping-particle":"","parse-names":false,"suffix":""},{"dropping-particle":"","family":"Couger","given":"Matthew Brian","non-dropping-particle":"","parse-names":false,"suffix":""},{"dropping-particle":"","family":"Payzin-Dogru","given":"Duygu","non-dropping-particle":"","parse-names":false,"suffix":""},{"dropping-particle":"","family":"Lee","given":"Tae J.","non-dropping-particle":"","parse-names":false,"suffix":""},{"dropping-particle":"","family":"Leigh","given":"Nicholas D.","non-dropping-particle":"","parse-names":false,"suffix":""},{"dropping-particle":"","family":"Kuo","given":"Tzu-Hsing","non-dropping-particle":"","parse-names":false,"suffix":""},{"dropping-particle":"","family":"Davis","given":"Francis G.","non-dropping-particle":"","parse-names":false,"suffix":""},{"dropping-particle":"","family":"Bateman","given":"Joel","non-dropping-particle":"","parse-names":false,"suffix":""},{"dropping-particle":"","family":"Bryant","given":"Sevara","non-dropping-particle":"","parse-names":false,"suffix":""},{"dropping-particle":"","family":"Guzikowski","given":"Anna R.","non-dropping-particle":"","parse-names":false,"suffix":""},{"dropping-particle":"","family":"Tsai","given":"Stephanie L.","non-dropping-particle":"","parse-names":false,"suffix":""},{"dropping-particle":"","family":"Coyne","given":"Steven","non-dropping-particle":"","parse-names":false,"suffix":""},{"dropping-particle":"","family":"Ye","given":"William W.","non-dropping-particle":"","parse-names":false,"suffix":""},{"dropping-particle":"","family":"Freeman","given":"Robert M.","non-dropping-particle":"","parse-names":false,"suffix":""},{"dropping-particle":"","family":"Peshkin","given":"Leonid","non-dropping-particle":"","parse-names":false,"suffix":""},{"dropping-particle":"","family":"Tabin","given":"Clifford J.","non-dropping-particle":"","parse-names":false,"suffix":""},{"dropping-particle":"","family":"Regev","given":"Aviv","non-dropping-particle":"","parse-names":false,"suffix":""},{"dropping-particle":"","family":"Haas","given":"Brian J.","non-dropping-particle":"","parse-names":false,"suffix":""},{"dropping-particle":"","family":"Whited","given":"Jessica L.","non-dropping-particle":"","parse-names":false,"suffix":""}],"container-title":"Cell Reports","id":"ITEM-1","issue":"3","issued":{"date-parts":[["2017","1","17"]]},"page":"762-776","publisher":"Cell Press","title":"A tissue-mapped axolotl de novo transcriptome enables identification of limb regeneration factors","type":"article-journal","volume":"18"},"uris":["http://www.mendeley.com/documents/?uuid=57febe5a-ac99-4888-8f5c-f2dd54a63b06"]}],"mendeley":{"formattedCitation":"(Bryant et al. 2017)","plainTextFormattedCitation":"(Bryant et al. 2017)","previouslyFormattedCitation":"(Bryant et al. 2017)"},"properties":{"noteIndex":0},"schema":"https://github.com/citation-style-language/schema/raw/master/csl-citation.json"}</w:instrText>
      </w:r>
      <w:r w:rsidR="00FE5997">
        <w:rPr>
          <w:rFonts w:ascii="Times New Roman" w:eastAsia="Times New Roman" w:hAnsi="Times New Roman" w:cs="Times New Roman"/>
          <w:kern w:val="0"/>
          <w:sz w:val="20"/>
          <w:szCs w:val="20"/>
          <w14:ligatures w14:val="none"/>
        </w:rPr>
        <w:fldChar w:fldCharType="separate"/>
      </w:r>
      <w:r w:rsidR="00FE5997" w:rsidRPr="00FE5997">
        <w:rPr>
          <w:rFonts w:ascii="Times New Roman" w:eastAsia="Times New Roman" w:hAnsi="Times New Roman" w:cs="Times New Roman"/>
          <w:noProof/>
          <w:kern w:val="0"/>
          <w:sz w:val="20"/>
          <w:szCs w:val="20"/>
          <w14:ligatures w14:val="none"/>
        </w:rPr>
        <w:t>(Bryant et al. 2017)</w:t>
      </w:r>
      <w:r w:rsidR="00FE5997">
        <w:rPr>
          <w:rFonts w:ascii="Times New Roman" w:eastAsia="Times New Roman" w:hAnsi="Times New Roman" w:cs="Times New Roman"/>
          <w:kern w:val="0"/>
          <w:sz w:val="20"/>
          <w:szCs w:val="20"/>
          <w14:ligatures w14:val="none"/>
        </w:rPr>
        <w:fldChar w:fldCharType="end"/>
      </w:r>
      <w:r w:rsidR="00FE5997">
        <w:rPr>
          <w:rFonts w:ascii="Times New Roman" w:eastAsia="Times New Roman" w:hAnsi="Times New Roman" w:cs="Times New Roman"/>
          <w:kern w:val="0"/>
          <w:sz w:val="20"/>
          <w:szCs w:val="20"/>
          <w14:ligatures w14:val="none"/>
        </w:rPr>
        <w:t xml:space="preserve"> </w:t>
      </w:r>
      <w:r w:rsidRPr="00AA34D4">
        <w:rPr>
          <w:rFonts w:ascii="Times New Roman" w:eastAsia="Times New Roman" w:hAnsi="Times New Roman" w:cs="Times New Roman"/>
          <w:kern w:val="0"/>
          <w:sz w:val="20"/>
          <w:szCs w:val="20"/>
          <w14:ligatures w14:val="none"/>
        </w:rPr>
        <w:t xml:space="preserve">results, we realize that the choice of the database is key for elucidating the biological relevance of the transcriptome. In addition,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w:t>
      </w:r>
      <w:r w:rsidR="00FF1C66">
        <w:rPr>
          <w:rFonts w:ascii="Times New Roman" w:eastAsia="Times New Roman" w:hAnsi="Times New Roman" w:cs="Times New Roman"/>
          <w:kern w:val="0"/>
          <w:sz w:val="20"/>
          <w:szCs w:val="20"/>
          <w14:ligatures w14:val="none"/>
        </w:rPr>
        <w:t>showed</w:t>
      </w:r>
      <w:r w:rsidRPr="00AA34D4">
        <w:rPr>
          <w:rFonts w:ascii="Times New Roman" w:eastAsia="Times New Roman" w:hAnsi="Times New Roman" w:cs="Times New Roman"/>
          <w:kern w:val="0"/>
          <w:sz w:val="20"/>
          <w:szCs w:val="20"/>
          <w14:ligatures w14:val="none"/>
        </w:rPr>
        <w:t xml:space="preserve"> a high</w:t>
      </w:r>
      <w:r w:rsidR="00FF1C66">
        <w:rPr>
          <w:rFonts w:ascii="Times New Roman" w:eastAsia="Times New Roman" w:hAnsi="Times New Roman" w:cs="Times New Roman"/>
          <w:kern w:val="0"/>
          <w:sz w:val="20"/>
          <w:szCs w:val="20"/>
          <w14:ligatures w14:val="none"/>
        </w:rPr>
        <w:t>er</w:t>
      </w:r>
      <w:r w:rsidRPr="00AA34D4">
        <w:rPr>
          <w:rFonts w:ascii="Times New Roman" w:eastAsia="Times New Roman" w:hAnsi="Times New Roman" w:cs="Times New Roman"/>
          <w:kern w:val="0"/>
          <w:sz w:val="20"/>
          <w:szCs w:val="20"/>
          <w14:ligatures w14:val="none"/>
        </w:rPr>
        <w:t xml:space="preserve"> number of similarity alignments that </w:t>
      </w:r>
      <w:r w:rsidR="00FF1C66">
        <w:rPr>
          <w:rFonts w:ascii="Times New Roman" w:eastAsia="Times New Roman" w:hAnsi="Times New Roman" w:cs="Times New Roman"/>
          <w:kern w:val="0"/>
          <w:sz w:val="20"/>
          <w:szCs w:val="20"/>
          <w14:ligatures w14:val="none"/>
        </w:rPr>
        <w:t>were</w:t>
      </w:r>
      <w:r w:rsidRPr="00AA34D4">
        <w:rPr>
          <w:rFonts w:ascii="Times New Roman" w:eastAsia="Times New Roman" w:hAnsi="Times New Roman" w:cs="Times New Roman"/>
          <w:kern w:val="0"/>
          <w:sz w:val="20"/>
          <w:szCs w:val="20"/>
          <w14:ligatures w14:val="none"/>
        </w:rPr>
        <w:t xml:space="preserve"> translated into GO terms. These results are shown below. </w:t>
      </w:r>
    </w:p>
    <w:p w14:paraId="5B75036D" w14:textId="7D009CE8" w:rsidR="00C14174" w:rsidRPr="00AA34D4" w:rsidRDefault="00AA34D4" w:rsidP="00FF1C66">
      <w:pPr>
        <w:spacing w:after="0" w:line="360" w:lineRule="auto"/>
        <w:contextualSpacing/>
        <w:jc w:val="center"/>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noProof/>
          <w:kern w:val="0"/>
          <w:sz w:val="20"/>
          <w:szCs w:val="20"/>
        </w:rPr>
        <w:drawing>
          <wp:inline distT="0" distB="0" distL="0" distR="0" wp14:anchorId="1B907AFA" wp14:editId="5FC37B07">
            <wp:extent cx="6087600" cy="5965200"/>
            <wp:effectExtent l="0" t="0" r="8890" b="0"/>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7600" cy="5965200"/>
                    </a:xfrm>
                    <a:prstGeom prst="rect">
                      <a:avLst/>
                    </a:prstGeom>
                  </pic:spPr>
                </pic:pic>
              </a:graphicData>
            </a:graphic>
          </wp:inline>
        </w:drawing>
      </w:r>
    </w:p>
    <w:p w14:paraId="3D1AB692" w14:textId="0F09B7F5"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w:t>
      </w:r>
      <w:r w:rsidRPr="00AA34D4">
        <w:rPr>
          <w:rFonts w:ascii="Times New Roman" w:eastAsia="Times New Roman" w:hAnsi="Times New Roman" w:cs="Times New Roman"/>
          <w:b/>
          <w:bCs/>
          <w:kern w:val="0"/>
          <w:sz w:val="20"/>
          <w:szCs w:val="20"/>
          <w14:ligatures w14:val="none"/>
        </w:rPr>
        <w:t>Figure 1.</w:t>
      </w:r>
      <w:r w:rsidRPr="00AA34D4">
        <w:rPr>
          <w:rFonts w:ascii="Times New Roman" w:eastAsia="Times New Roman" w:hAnsi="Times New Roman" w:cs="Times New Roman"/>
          <w:kern w:val="0"/>
          <w:sz w:val="20"/>
          <w:szCs w:val="20"/>
          <w14:ligatures w14:val="none"/>
        </w:rPr>
        <w:t xml:space="preserve"> Evaluation of independent sequence similarity search results across different protein databases. Sequence similarity search with </w:t>
      </w:r>
      <w:proofErr w:type="spellStart"/>
      <w:r w:rsidRPr="00AA34D4">
        <w:rPr>
          <w:rFonts w:ascii="Times New Roman" w:eastAsia="Times New Roman" w:hAnsi="Times New Roman" w:cs="Times New Roman"/>
          <w:kern w:val="0"/>
          <w:sz w:val="20"/>
          <w:szCs w:val="20"/>
          <w14:ligatures w14:val="none"/>
        </w:rPr>
        <w:t>EnTAP</w:t>
      </w:r>
      <w:proofErr w:type="spellEnd"/>
      <w:r w:rsidRPr="00AA34D4">
        <w:rPr>
          <w:rFonts w:ascii="Times New Roman" w:eastAsia="Times New Roman" w:hAnsi="Times New Roman" w:cs="Times New Roman"/>
          <w:kern w:val="0"/>
          <w:sz w:val="20"/>
          <w:szCs w:val="20"/>
          <w14:ligatures w14:val="none"/>
        </w:rPr>
        <w:t xml:space="preserve">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pipelines. Numbers inside the stacked bars indicate the total number of sequences with at least one alignment against a specific database (green bars) and the total number of sequences without alignment against a specific database (red bars). </w:t>
      </w:r>
    </w:p>
    <w:p w14:paraId="44DACAB7" w14:textId="77777777"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lastRenderedPageBreak/>
        <w:t> </w:t>
      </w:r>
    </w:p>
    <w:p w14:paraId="189FB9DB" w14:textId="53F85E7C" w:rsidR="00C1417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xml:space="preserve">From the figure above, we observe that the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pipeline, using the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xml:space="preserve"> database, produces the highest number of sequences with</w:t>
      </w:r>
      <w:r w:rsidR="00753D5E" w:rsidRPr="00AA34D4">
        <w:rPr>
          <w:rFonts w:ascii="Times New Roman" w:eastAsia="Times New Roman" w:hAnsi="Times New Roman" w:cs="Times New Roman"/>
          <w:kern w:val="0"/>
          <w:sz w:val="20"/>
          <w:szCs w:val="20"/>
          <w14:ligatures w14:val="none"/>
        </w:rPr>
        <w:t xml:space="preserve"> correct</w:t>
      </w:r>
      <w:r w:rsidRPr="00AA34D4">
        <w:rPr>
          <w:rFonts w:ascii="Times New Roman" w:eastAsia="Times New Roman" w:hAnsi="Times New Roman" w:cs="Times New Roman"/>
          <w:kern w:val="0"/>
          <w:sz w:val="20"/>
          <w:szCs w:val="20"/>
          <w14:ligatures w14:val="none"/>
        </w:rPr>
        <w:t xml:space="preserve"> alignment</w:t>
      </w:r>
      <w:r w:rsidR="00753D5E" w:rsidRPr="00AA34D4">
        <w:rPr>
          <w:rFonts w:ascii="Times New Roman" w:eastAsia="Times New Roman" w:hAnsi="Times New Roman" w:cs="Times New Roman"/>
          <w:kern w:val="0"/>
          <w:sz w:val="20"/>
          <w:szCs w:val="20"/>
          <w14:ligatures w14:val="none"/>
        </w:rPr>
        <w:t>s (hits)</w:t>
      </w:r>
      <w:r w:rsidRPr="00AA34D4">
        <w:rPr>
          <w:rFonts w:ascii="Times New Roman" w:eastAsia="Times New Roman" w:hAnsi="Times New Roman" w:cs="Times New Roman"/>
          <w:kern w:val="0"/>
          <w:sz w:val="20"/>
          <w:szCs w:val="20"/>
          <w14:ligatures w14:val="none"/>
        </w:rPr>
        <w:t xml:space="preserve"> in the similarity search.</w:t>
      </w:r>
    </w:p>
    <w:p w14:paraId="7A4DA358" w14:textId="77777777" w:rsidR="00FF1C66" w:rsidRPr="00AA34D4" w:rsidRDefault="00FF1C66" w:rsidP="00C14174">
      <w:pPr>
        <w:spacing w:after="0" w:line="360" w:lineRule="auto"/>
        <w:contextualSpacing/>
        <w:jc w:val="both"/>
        <w:rPr>
          <w:rFonts w:ascii="Times New Roman" w:eastAsia="Times New Roman" w:hAnsi="Times New Roman" w:cs="Times New Roman"/>
          <w:kern w:val="0"/>
          <w:sz w:val="20"/>
          <w:szCs w:val="20"/>
          <w14:ligatures w14:val="none"/>
        </w:rPr>
      </w:pPr>
    </w:p>
    <w:p w14:paraId="42A9C533" w14:textId="5A679CD4" w:rsidR="00C14174" w:rsidRPr="00AA34D4" w:rsidRDefault="00FF1C66" w:rsidP="00FF1C66">
      <w:pPr>
        <w:spacing w:after="0" w:line="360" w:lineRule="auto"/>
        <w:contextualSpacing/>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noProof/>
          <w:kern w:val="0"/>
          <w:sz w:val="20"/>
          <w:szCs w:val="20"/>
        </w:rPr>
        <w:drawing>
          <wp:inline distT="0" distB="0" distL="0" distR="0" wp14:anchorId="7E215D7B" wp14:editId="59562F76">
            <wp:extent cx="6087600" cy="4705200"/>
            <wp:effectExtent l="0" t="0" r="8890" b="635"/>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87600" cy="4705200"/>
                    </a:xfrm>
                    <a:prstGeom prst="rect">
                      <a:avLst/>
                    </a:prstGeom>
                  </pic:spPr>
                </pic:pic>
              </a:graphicData>
            </a:graphic>
          </wp:inline>
        </w:drawing>
      </w:r>
    </w:p>
    <w:p w14:paraId="69AA93FC" w14:textId="59BE75FD"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b/>
          <w:bCs/>
          <w:kern w:val="0"/>
          <w:sz w:val="20"/>
          <w:szCs w:val="20"/>
          <w14:ligatures w14:val="none"/>
        </w:rPr>
        <w:t>Figure 2.</w:t>
      </w:r>
      <w:r w:rsidRPr="00AA34D4">
        <w:rPr>
          <w:rFonts w:ascii="Times New Roman" w:eastAsia="Times New Roman" w:hAnsi="Times New Roman" w:cs="Times New Roman"/>
          <w:kern w:val="0"/>
          <w:sz w:val="20"/>
          <w:szCs w:val="20"/>
          <w14:ligatures w14:val="none"/>
        </w:rPr>
        <w:t xml:space="preserve"> Evaluation of GO and KEGG assignment. </w:t>
      </w:r>
      <w:r w:rsidRPr="00AA34D4">
        <w:rPr>
          <w:rFonts w:ascii="Times New Roman" w:eastAsia="Times New Roman" w:hAnsi="Times New Roman" w:cs="Times New Roman"/>
          <w:b/>
          <w:bCs/>
          <w:kern w:val="0"/>
          <w:sz w:val="20"/>
          <w:szCs w:val="20"/>
          <w14:ligatures w14:val="none"/>
        </w:rPr>
        <w:t xml:space="preserve">A) </w:t>
      </w:r>
      <w:r w:rsidRPr="00AA34D4">
        <w:rPr>
          <w:rFonts w:ascii="Times New Roman" w:eastAsia="Times New Roman" w:hAnsi="Times New Roman" w:cs="Times New Roman"/>
          <w:kern w:val="0"/>
          <w:sz w:val="20"/>
          <w:szCs w:val="20"/>
          <w14:ligatures w14:val="none"/>
        </w:rPr>
        <w:t xml:space="preserve">GO annotation rate of transcripts with at least one GO term with </w:t>
      </w:r>
      <w:proofErr w:type="spellStart"/>
      <w:r w:rsidRPr="00AA34D4">
        <w:rPr>
          <w:rFonts w:ascii="Times New Roman" w:eastAsia="Times New Roman" w:hAnsi="Times New Roman" w:cs="Times New Roman"/>
          <w:kern w:val="0"/>
          <w:sz w:val="20"/>
          <w:szCs w:val="20"/>
          <w14:ligatures w14:val="none"/>
        </w:rPr>
        <w:t>EnTAP</w:t>
      </w:r>
      <w:proofErr w:type="spellEnd"/>
      <w:r w:rsidRPr="00AA34D4">
        <w:rPr>
          <w:rFonts w:ascii="Times New Roman" w:eastAsia="Times New Roman" w:hAnsi="Times New Roman" w:cs="Times New Roman"/>
          <w:kern w:val="0"/>
          <w:sz w:val="20"/>
          <w:szCs w:val="20"/>
          <w14:ligatures w14:val="none"/>
        </w:rPr>
        <w:t xml:space="preserve"> (Best Overall)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xml:space="preserve">) pipelines. </w:t>
      </w:r>
      <w:r w:rsidRPr="00AA34D4">
        <w:rPr>
          <w:rFonts w:ascii="Times New Roman" w:eastAsia="Times New Roman" w:hAnsi="Times New Roman" w:cs="Times New Roman"/>
          <w:b/>
          <w:bCs/>
          <w:kern w:val="0"/>
          <w:sz w:val="20"/>
          <w:szCs w:val="20"/>
          <w14:ligatures w14:val="none"/>
        </w:rPr>
        <w:t xml:space="preserve">B) </w:t>
      </w:r>
      <w:r w:rsidRPr="00AA34D4">
        <w:rPr>
          <w:rFonts w:ascii="Times New Roman" w:eastAsia="Times New Roman" w:hAnsi="Times New Roman" w:cs="Times New Roman"/>
          <w:kern w:val="0"/>
          <w:sz w:val="20"/>
          <w:szCs w:val="20"/>
          <w14:ligatures w14:val="none"/>
        </w:rPr>
        <w:t xml:space="preserve">Number of GO terms assigned to the totoaba transcriptome with </w:t>
      </w:r>
      <w:proofErr w:type="spellStart"/>
      <w:r w:rsidRPr="00AA34D4">
        <w:rPr>
          <w:rFonts w:ascii="Times New Roman" w:eastAsia="Times New Roman" w:hAnsi="Times New Roman" w:cs="Times New Roman"/>
          <w:kern w:val="0"/>
          <w:sz w:val="20"/>
          <w:szCs w:val="20"/>
          <w14:ligatures w14:val="none"/>
        </w:rPr>
        <w:t>EnTAP</w:t>
      </w:r>
      <w:proofErr w:type="spellEnd"/>
      <w:r w:rsidRPr="00AA34D4">
        <w:rPr>
          <w:rFonts w:ascii="Times New Roman" w:eastAsia="Times New Roman" w:hAnsi="Times New Roman" w:cs="Times New Roman"/>
          <w:kern w:val="0"/>
          <w:sz w:val="20"/>
          <w:szCs w:val="20"/>
          <w14:ligatures w14:val="none"/>
        </w:rPr>
        <w:t xml:space="preserve"> (Best Overall)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xml:space="preserve">) pipelines. </w:t>
      </w:r>
      <w:r w:rsidRPr="00AA34D4">
        <w:rPr>
          <w:rFonts w:ascii="Times New Roman" w:eastAsia="Times New Roman" w:hAnsi="Times New Roman" w:cs="Times New Roman"/>
          <w:b/>
          <w:bCs/>
          <w:kern w:val="0"/>
          <w:sz w:val="20"/>
          <w:szCs w:val="20"/>
          <w14:ligatures w14:val="none"/>
        </w:rPr>
        <w:t xml:space="preserve">C) </w:t>
      </w:r>
      <w:r w:rsidRPr="00AA34D4">
        <w:rPr>
          <w:rFonts w:ascii="Times New Roman" w:eastAsia="Times New Roman" w:hAnsi="Times New Roman" w:cs="Times New Roman"/>
          <w:kern w:val="0"/>
          <w:sz w:val="20"/>
          <w:szCs w:val="20"/>
          <w14:ligatures w14:val="none"/>
        </w:rPr>
        <w:t xml:space="preserve">Number of KEGG terms assigned to the totoaba transcriptome with </w:t>
      </w:r>
      <w:proofErr w:type="spellStart"/>
      <w:r w:rsidRPr="00AA34D4">
        <w:rPr>
          <w:rFonts w:ascii="Times New Roman" w:eastAsia="Times New Roman" w:hAnsi="Times New Roman" w:cs="Times New Roman"/>
          <w:kern w:val="0"/>
          <w:sz w:val="20"/>
          <w:szCs w:val="20"/>
          <w14:ligatures w14:val="none"/>
        </w:rPr>
        <w:t>EnTAP</w:t>
      </w:r>
      <w:proofErr w:type="spellEnd"/>
      <w:r w:rsidRPr="00AA34D4">
        <w:rPr>
          <w:rFonts w:ascii="Times New Roman" w:eastAsia="Times New Roman" w:hAnsi="Times New Roman" w:cs="Times New Roman"/>
          <w:kern w:val="0"/>
          <w:sz w:val="20"/>
          <w:szCs w:val="20"/>
          <w14:ligatures w14:val="none"/>
        </w:rPr>
        <w:t xml:space="preserve"> (Best Overall)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xml:space="preserve">) pipelines. </w:t>
      </w:r>
      <w:r w:rsidRPr="00AA34D4">
        <w:rPr>
          <w:rFonts w:ascii="Times New Roman" w:eastAsia="Times New Roman" w:hAnsi="Times New Roman" w:cs="Times New Roman"/>
          <w:b/>
          <w:bCs/>
          <w:kern w:val="0"/>
          <w:sz w:val="20"/>
          <w:szCs w:val="20"/>
          <w14:ligatures w14:val="none"/>
        </w:rPr>
        <w:t xml:space="preserve">D) </w:t>
      </w:r>
      <w:r w:rsidRPr="00AA34D4">
        <w:rPr>
          <w:rFonts w:ascii="Times New Roman" w:eastAsia="Times New Roman" w:hAnsi="Times New Roman" w:cs="Times New Roman"/>
          <w:kern w:val="0"/>
          <w:sz w:val="20"/>
          <w:szCs w:val="20"/>
          <w14:ligatures w14:val="none"/>
        </w:rPr>
        <w:t xml:space="preserve">Number of unique and shared sequences annotated with </w:t>
      </w:r>
      <w:proofErr w:type="spellStart"/>
      <w:r w:rsidRPr="00AA34D4">
        <w:rPr>
          <w:rFonts w:ascii="Times New Roman" w:eastAsia="Times New Roman" w:hAnsi="Times New Roman" w:cs="Times New Roman"/>
          <w:kern w:val="0"/>
          <w:sz w:val="20"/>
          <w:szCs w:val="20"/>
          <w14:ligatures w14:val="none"/>
        </w:rPr>
        <w:t>EnTAP</w:t>
      </w:r>
      <w:proofErr w:type="spellEnd"/>
      <w:r w:rsidRPr="00AA34D4">
        <w:rPr>
          <w:rFonts w:ascii="Times New Roman" w:eastAsia="Times New Roman" w:hAnsi="Times New Roman" w:cs="Times New Roman"/>
          <w:kern w:val="0"/>
          <w:sz w:val="20"/>
          <w:szCs w:val="20"/>
          <w14:ligatures w14:val="none"/>
        </w:rPr>
        <w:t xml:space="preserve"> (Best Overall)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pipelines.</w:t>
      </w:r>
    </w:p>
    <w:p w14:paraId="4FFC2906" w14:textId="77777777"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w:t>
      </w:r>
    </w:p>
    <w:p w14:paraId="17BEBC66" w14:textId="55C96B35"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xml:space="preserve">Therefore, we believe that our transcriptome annotation approach based on the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pipeline is not an artifact of a mammalian bias. Furthermore, it is worth mentioning that </w:t>
      </w:r>
      <w:r w:rsidRPr="00AA34D4">
        <w:rPr>
          <w:rFonts w:ascii="Times New Roman" w:eastAsia="Times New Roman" w:hAnsi="Times New Roman" w:cs="Times New Roman"/>
          <w:i/>
          <w:iCs/>
          <w:kern w:val="0"/>
          <w:sz w:val="20"/>
          <w:szCs w:val="20"/>
          <w14:ligatures w14:val="none"/>
        </w:rPr>
        <w:t xml:space="preserve">de novo </w:t>
      </w:r>
      <w:r w:rsidRPr="00AA34D4">
        <w:rPr>
          <w:rFonts w:ascii="Times New Roman" w:eastAsia="Times New Roman" w:hAnsi="Times New Roman" w:cs="Times New Roman"/>
          <w:kern w:val="0"/>
          <w:sz w:val="20"/>
          <w:szCs w:val="20"/>
          <w14:ligatures w14:val="none"/>
        </w:rPr>
        <w:t xml:space="preserve">assembled transcriptome sequences are uninformative on their own and must be assigned to human-readable identifiers that have their functional and evolutionary properties characterized to elucidate the functions of the sequences </w:t>
      </w:r>
      <w:r w:rsidR="00C94886">
        <w:rPr>
          <w:rFonts w:ascii="Times New Roman" w:eastAsia="Times New Roman" w:hAnsi="Times New Roman" w:cs="Times New Roman"/>
          <w:kern w:val="0"/>
          <w:sz w:val="20"/>
          <w:szCs w:val="20"/>
          <w14:ligatures w14:val="none"/>
        </w:rPr>
        <w:fldChar w:fldCharType="begin" w:fldLock="1"/>
      </w:r>
      <w:r w:rsidR="00C94886">
        <w:rPr>
          <w:rFonts w:ascii="Times New Roman" w:eastAsia="Times New Roman" w:hAnsi="Times New Roman" w:cs="Times New Roman"/>
          <w:kern w:val="0"/>
          <w:sz w:val="20"/>
          <w:szCs w:val="20"/>
          <w14:ligatures w14:val="none"/>
        </w:rPr>
        <w:instrText>ADDIN CSL_CITATION {"citationItems":[{"id":"ITEM-1","itemData":{"DOI":"10.1093/bib/bbab563","ISSN":"14774054","PMID":"35076693","abstract":"A transcriptome constructed from short-read RNA sequencing (RNA-seq) is an easily attainable proxy catalog of protein-coding genes when genome assembly is unnecessary, expensive or difficult. In the absence of a sequenced genome to guide the reconstruction process, the transcriptome must be assembled de novo using only the information available in the RNA-seq reads. Subsequently, the sequences must be annotated in order to identify sequence-intrinsic and evolutionary features in them (for example, protein-coding regions). Although straightforward at first glance, de novo transcriptome assembly and annotation can quickly prove to be challenging undertakings. In addition to familiarizing themselves with the conceptual and technical intricacies of the tasks at hand and the numerous pre- and post-processing steps involved, those interested must also grapple with an overwhelmingly large choice of tools. The lack of standardized workflows, fast pace of development of new tools and techniques and paucity of authoritative literature have served to exacerbate the difficulty of the task even further. Here, we present a comprehensive overview of de novo transcriptome assembly and annotation. We discuss the procedures involved, including pre- and post-processing steps, and present a compendium of corresponding tools.","author":[{"dropping-particle":"","family":"Raghavan","given":"Venket","non-dropping-particle":"","parse-names":false,"suffix":""},{"dropping-particle":"","family":"Kraft","given":"Louis","non-dropping-particle":"","parse-names":false,"suffix":""},{"dropping-particle":"","family":"Mesny","given":"Fantin","non-dropping-particle":"","parse-names":false,"suffix":""},{"dropping-particle":"","family":"Rigerte","given":"Linda","non-dropping-particle":"","parse-names":false,"suffix":""}],"container-title":"Briefings in Bioinformatics","id":"ITEM-1","issue":"2","issued":{"date-parts":[["2022","3","10"]]},"page":"1-30","publisher":"Oxford Academic","title":"A simple guide to de novo transcriptome assembly and annotation","type":"article-journal","volume":"23"},"uris":["http://www.mendeley.com/documents/?uuid=c372a1a8-976c-3a5d-a987-383faa465a2f"]}],"mendeley":{"formattedCitation":"(Raghavan et al. 2022)","plainTextFormattedCitation":"(Raghavan et al. 2022)","previouslyFormattedCitation":"(Raghavan et al. 2022)"},"properties":{"noteIndex":0},"schema":"https://github.com/citation-style-language/schema/raw/master/csl-citation.json"}</w:instrText>
      </w:r>
      <w:r w:rsidR="00C94886">
        <w:rPr>
          <w:rFonts w:ascii="Times New Roman" w:eastAsia="Times New Roman" w:hAnsi="Times New Roman" w:cs="Times New Roman"/>
          <w:kern w:val="0"/>
          <w:sz w:val="20"/>
          <w:szCs w:val="20"/>
          <w14:ligatures w14:val="none"/>
        </w:rPr>
        <w:fldChar w:fldCharType="separate"/>
      </w:r>
      <w:r w:rsidR="00C94886" w:rsidRPr="00C94886">
        <w:rPr>
          <w:rFonts w:ascii="Times New Roman" w:eastAsia="Times New Roman" w:hAnsi="Times New Roman" w:cs="Times New Roman"/>
          <w:noProof/>
          <w:kern w:val="0"/>
          <w:sz w:val="20"/>
          <w:szCs w:val="20"/>
          <w14:ligatures w14:val="none"/>
        </w:rPr>
        <w:t>(Raghavan et al. 2022)</w:t>
      </w:r>
      <w:r w:rsidR="00C94886">
        <w:rPr>
          <w:rFonts w:ascii="Times New Roman" w:eastAsia="Times New Roman" w:hAnsi="Times New Roman" w:cs="Times New Roman"/>
          <w:kern w:val="0"/>
          <w:sz w:val="20"/>
          <w:szCs w:val="20"/>
          <w14:ligatures w14:val="none"/>
        </w:rPr>
        <w:fldChar w:fldCharType="end"/>
      </w:r>
      <w:r w:rsidR="00C94886">
        <w:rPr>
          <w:rFonts w:ascii="Times New Roman" w:eastAsia="Times New Roman" w:hAnsi="Times New Roman" w:cs="Times New Roman"/>
          <w:kern w:val="0"/>
          <w:sz w:val="20"/>
          <w:szCs w:val="20"/>
          <w14:ligatures w14:val="none"/>
        </w:rPr>
        <w:t>.</w:t>
      </w:r>
      <w:r w:rsidRPr="00AA34D4">
        <w:rPr>
          <w:rFonts w:ascii="Times New Roman" w:eastAsia="Times New Roman" w:hAnsi="Times New Roman" w:cs="Times New Roman"/>
          <w:kern w:val="0"/>
          <w:sz w:val="20"/>
          <w:szCs w:val="20"/>
          <w14:ligatures w14:val="none"/>
        </w:rPr>
        <w:t xml:space="preserve"> Therefore, we believe that our transcriptome annotation, based on the Swiss-</w:t>
      </w:r>
      <w:proofErr w:type="spellStart"/>
      <w:r w:rsidRPr="00AA34D4">
        <w:rPr>
          <w:rFonts w:ascii="Times New Roman" w:eastAsia="Times New Roman" w:hAnsi="Times New Roman" w:cs="Times New Roman"/>
          <w:kern w:val="0"/>
          <w:sz w:val="20"/>
          <w:szCs w:val="20"/>
          <w14:ligatures w14:val="none"/>
        </w:rPr>
        <w:t>Prot</w:t>
      </w:r>
      <w:proofErr w:type="spellEnd"/>
      <w:r w:rsidRPr="00AA34D4">
        <w:rPr>
          <w:rFonts w:ascii="Times New Roman" w:eastAsia="Times New Roman" w:hAnsi="Times New Roman" w:cs="Times New Roman"/>
          <w:kern w:val="0"/>
          <w:sz w:val="20"/>
          <w:szCs w:val="20"/>
          <w14:ligatures w14:val="none"/>
        </w:rPr>
        <w:t xml:space="preserve"> and </w:t>
      </w:r>
      <w:proofErr w:type="spellStart"/>
      <w:r w:rsidRPr="00AA34D4">
        <w:rPr>
          <w:rFonts w:ascii="Times New Roman" w:eastAsia="Times New Roman" w:hAnsi="Times New Roman" w:cs="Times New Roman"/>
          <w:kern w:val="0"/>
          <w:sz w:val="20"/>
          <w:szCs w:val="20"/>
          <w14:ligatures w14:val="none"/>
        </w:rPr>
        <w:t>Trinotate</w:t>
      </w:r>
      <w:proofErr w:type="spellEnd"/>
      <w:r w:rsidRPr="00AA34D4">
        <w:rPr>
          <w:rFonts w:ascii="Times New Roman" w:eastAsia="Times New Roman" w:hAnsi="Times New Roman" w:cs="Times New Roman"/>
          <w:kern w:val="0"/>
          <w:sz w:val="20"/>
          <w:szCs w:val="20"/>
          <w14:ligatures w14:val="none"/>
        </w:rPr>
        <w:t xml:space="preserve"> pipeline, is suitable for this study.</w:t>
      </w:r>
    </w:p>
    <w:p w14:paraId="57E4DCAF" w14:textId="77777777" w:rsidR="00C14174" w:rsidRPr="00AA34D4" w:rsidRDefault="00C14174" w:rsidP="00C14174">
      <w:pPr>
        <w:spacing w:after="0" w:line="360" w:lineRule="auto"/>
        <w:contextualSpacing/>
        <w:jc w:val="both"/>
        <w:rPr>
          <w:rFonts w:ascii="Times New Roman" w:eastAsia="Times New Roman" w:hAnsi="Times New Roman" w:cs="Times New Roman"/>
          <w:kern w:val="0"/>
          <w:sz w:val="20"/>
          <w:szCs w:val="20"/>
          <w14:ligatures w14:val="none"/>
        </w:rPr>
      </w:pPr>
      <w:r w:rsidRPr="00AA34D4">
        <w:rPr>
          <w:rFonts w:ascii="Times New Roman" w:eastAsia="Times New Roman" w:hAnsi="Times New Roman" w:cs="Times New Roman"/>
          <w:kern w:val="0"/>
          <w:sz w:val="20"/>
          <w:szCs w:val="20"/>
          <w14:ligatures w14:val="none"/>
        </w:rPr>
        <w:t> </w:t>
      </w:r>
    </w:p>
    <w:p w14:paraId="01F31BF7" w14:textId="77777777" w:rsidR="00C14174" w:rsidRPr="00C94886" w:rsidRDefault="00C14174" w:rsidP="00C14174">
      <w:pPr>
        <w:spacing w:after="0" w:line="360" w:lineRule="auto"/>
        <w:contextualSpacing/>
        <w:jc w:val="both"/>
        <w:rPr>
          <w:rFonts w:ascii="Times New Roman" w:eastAsia="Times New Roman" w:hAnsi="Times New Roman" w:cs="Times New Roman"/>
          <w:b/>
          <w:bCs/>
          <w:kern w:val="0"/>
          <w:sz w:val="20"/>
          <w:szCs w:val="20"/>
          <w14:ligatures w14:val="none"/>
        </w:rPr>
      </w:pPr>
      <w:r w:rsidRPr="00C94886">
        <w:rPr>
          <w:rFonts w:ascii="Times New Roman" w:eastAsia="Times New Roman" w:hAnsi="Times New Roman" w:cs="Times New Roman"/>
          <w:b/>
          <w:bCs/>
          <w:kern w:val="0"/>
          <w:sz w:val="20"/>
          <w:szCs w:val="20"/>
          <w14:ligatures w14:val="none"/>
        </w:rPr>
        <w:lastRenderedPageBreak/>
        <w:t>References:</w:t>
      </w:r>
    </w:p>
    <w:p w14:paraId="4B880EFD" w14:textId="4DB58336" w:rsidR="00C94886" w:rsidRPr="00C94886" w:rsidRDefault="00C94886" w:rsidP="00C94886">
      <w:pPr>
        <w:widowControl w:val="0"/>
        <w:autoSpaceDE w:val="0"/>
        <w:autoSpaceDN w:val="0"/>
        <w:adjustRightInd w:val="0"/>
        <w:spacing w:after="0" w:line="360" w:lineRule="auto"/>
        <w:ind w:left="480" w:hanging="48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Pr="00C94886">
        <w:rPr>
          <w:rFonts w:ascii="Times New Roman" w:hAnsi="Times New Roman" w:cs="Times New Roman"/>
          <w:noProof/>
          <w:sz w:val="20"/>
          <w:szCs w:val="24"/>
        </w:rPr>
        <w:t>Bryant DM, Johnson K, DiTommaso T, et al (2017) A tissue-mapped axolotl de novo transcriptome enables identification of limb regeneration factors. Cell Rep 18:762–776. https://doi.org/10.1016/j.celrep.2016.12.063</w:t>
      </w:r>
    </w:p>
    <w:p w14:paraId="3DB3D494" w14:textId="77777777" w:rsidR="00C94886" w:rsidRPr="00C94886" w:rsidRDefault="00C94886" w:rsidP="00C94886">
      <w:pPr>
        <w:widowControl w:val="0"/>
        <w:autoSpaceDE w:val="0"/>
        <w:autoSpaceDN w:val="0"/>
        <w:adjustRightInd w:val="0"/>
        <w:spacing w:after="0" w:line="360" w:lineRule="auto"/>
        <w:ind w:left="480" w:hanging="480"/>
        <w:rPr>
          <w:rFonts w:ascii="Times New Roman" w:hAnsi="Times New Roman" w:cs="Times New Roman"/>
          <w:noProof/>
          <w:sz w:val="20"/>
          <w:szCs w:val="24"/>
        </w:rPr>
      </w:pPr>
      <w:r w:rsidRPr="00C94886">
        <w:rPr>
          <w:rFonts w:ascii="Times New Roman" w:hAnsi="Times New Roman" w:cs="Times New Roman"/>
          <w:noProof/>
          <w:sz w:val="20"/>
          <w:szCs w:val="24"/>
        </w:rPr>
        <w:t>Hart AJ, Ginzburg S, Xu M, et al (2020) EnTAP: Bringing faster and smarter functional annotation to non-model eukaryotic transcriptomes. Mol Ecol Resour 20:591–604. https://doi.org/10.1111/1755-0998.13106</w:t>
      </w:r>
    </w:p>
    <w:p w14:paraId="36EF1559" w14:textId="77777777" w:rsidR="00C94886" w:rsidRPr="00C94886" w:rsidRDefault="00C94886" w:rsidP="00C94886">
      <w:pPr>
        <w:widowControl w:val="0"/>
        <w:autoSpaceDE w:val="0"/>
        <w:autoSpaceDN w:val="0"/>
        <w:adjustRightInd w:val="0"/>
        <w:spacing w:after="0" w:line="360" w:lineRule="auto"/>
        <w:ind w:left="480" w:hanging="480"/>
        <w:rPr>
          <w:rFonts w:ascii="Times New Roman" w:hAnsi="Times New Roman" w:cs="Times New Roman"/>
          <w:noProof/>
          <w:sz w:val="20"/>
        </w:rPr>
      </w:pPr>
      <w:r w:rsidRPr="00C94886">
        <w:rPr>
          <w:rFonts w:ascii="Times New Roman" w:hAnsi="Times New Roman" w:cs="Times New Roman"/>
          <w:noProof/>
          <w:sz w:val="20"/>
          <w:szCs w:val="24"/>
        </w:rPr>
        <w:t>Raghavan V, Kraft L, Mesny F, Rigerte L (2022) A simple guide to de novo transcriptome assembly and annotation. Brief Bioinform 23:1–30. https://doi.org/10.1093/bib/bbab563</w:t>
      </w:r>
    </w:p>
    <w:p w14:paraId="53FA42C7" w14:textId="2B6B47FD" w:rsidR="00C14174" w:rsidRPr="00AA34D4" w:rsidRDefault="00C94886" w:rsidP="00C14174">
      <w:pPr>
        <w:spacing w:after="0" w:line="360" w:lineRule="auto"/>
        <w:contextualSpacing/>
        <w:jc w:val="both"/>
        <w:rPr>
          <w:rFonts w:ascii="Times New Roman" w:hAnsi="Times New Roman" w:cs="Times New Roman"/>
          <w:sz w:val="20"/>
          <w:szCs w:val="20"/>
        </w:rPr>
      </w:pPr>
      <w:r>
        <w:rPr>
          <w:rFonts w:ascii="Times New Roman" w:hAnsi="Times New Roman" w:cs="Times New Roman"/>
          <w:sz w:val="20"/>
          <w:szCs w:val="20"/>
        </w:rPr>
        <w:fldChar w:fldCharType="end"/>
      </w:r>
    </w:p>
    <w:sectPr w:rsidR="00C14174" w:rsidRPr="00AA34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MbM0NDI1MjU3sTBT0lEKTi0uzszPAykwqgUA00nozywAAAA="/>
  </w:docVars>
  <w:rsids>
    <w:rsidRoot w:val="00C14174"/>
    <w:rsid w:val="004165CD"/>
    <w:rsid w:val="00753D5E"/>
    <w:rsid w:val="00AA34D4"/>
    <w:rsid w:val="00C14174"/>
    <w:rsid w:val="00C94886"/>
    <w:rsid w:val="00FE5997"/>
    <w:rsid w:val="00FF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B478"/>
  <w15:chartTrackingRefBased/>
  <w15:docId w15:val="{53F86D42-EA7B-49ED-96AE-9AEC7193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4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2304-412C-42C7-9AF4-00870BCF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1974</Words>
  <Characters>11253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Eduardo Juárez</dc:creator>
  <cp:keywords/>
  <dc:description/>
  <cp:lastModifiedBy>Oscar Eduardo Juárez</cp:lastModifiedBy>
  <cp:revision>5</cp:revision>
  <dcterms:created xsi:type="dcterms:W3CDTF">2023-03-25T19:41:00Z</dcterms:created>
  <dcterms:modified xsi:type="dcterms:W3CDTF">2023-03-27T20:48:00Z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http://www.zotero.org/styles/animal-feed-science-and-technology</vt:lpwstr>
  </property>
  <property fmtid="{D5CDD505-2E9C-101B-9397-08002B2CF9AE}" pid="11" name="Mendeley Recent Style Name 4_1">
    <vt:lpwstr>Animal Feed Science and Technology</vt:lpwstr>
  </property>
  <property fmtid="{D5CDD505-2E9C-101B-9397-08002B2CF9AE}" pid="12" name="Mendeley Recent Style Id 5_1">
    <vt:lpwstr>http://www.zotero.org/styles/aquaculture</vt:lpwstr>
  </property>
  <property fmtid="{D5CDD505-2E9C-101B-9397-08002B2CF9AE}" pid="13" name="Mendeley Recent Style Name 5_1">
    <vt:lpwstr>Aquaculture</vt:lpwstr>
  </property>
  <property fmtid="{D5CDD505-2E9C-101B-9397-08002B2CF9AE}" pid="14" name="Mendeley Recent Style Id 6_1">
    <vt:lpwstr>http://www.zotero.org/styles/aquaculture-international</vt:lpwstr>
  </property>
  <property fmtid="{D5CDD505-2E9C-101B-9397-08002B2CF9AE}" pid="15" name="Mendeley Recent Style Name 6_1">
    <vt:lpwstr>Aquaculture International</vt:lpwstr>
  </property>
  <property fmtid="{D5CDD505-2E9C-101B-9397-08002B2CF9AE}" pid="16" name="Mendeley Recent Style Id 7_1">
    <vt:lpwstr>http://www.zotero.org/styles/chicago-note-bibliography</vt:lpwstr>
  </property>
  <property fmtid="{D5CDD505-2E9C-101B-9397-08002B2CF9AE}" pid="17" name="Mendeley Recent Style Name 7_1">
    <vt:lpwstr>Chicago Manual of Style 17th edition (note)</vt:lpwstr>
  </property>
  <property fmtid="{D5CDD505-2E9C-101B-9397-08002B2CF9AE}" pid="18" name="Mendeley Recent Style Id 8_1">
    <vt:lpwstr>http://www.zotero.org/styles/conservation-genetics</vt:lpwstr>
  </property>
  <property fmtid="{D5CDD505-2E9C-101B-9397-08002B2CF9AE}" pid="19" name="Mendeley Recent Style Name 8_1">
    <vt:lpwstr>Conservation Genetics</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d37bf184-6088-36ab-a664-aff02d0a7966</vt:lpwstr>
  </property>
  <property fmtid="{D5CDD505-2E9C-101B-9397-08002B2CF9AE}" pid="24" name="Mendeley Citation Style_1">
    <vt:lpwstr>http://www.zotero.org/styles/aquaculture-international</vt:lpwstr>
  </property>
</Properties>
</file>