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msj0ntumy91p" w:id="0"/>
    <w:bookmarkEnd w:id="0"/>
    <w:p w:rsidR="00000000" w:rsidDel="00000000" w:rsidP="00000000" w:rsidRDefault="00000000" w:rsidRPr="00000000" w14:paraId="00000001">
      <w:pPr>
        <w:pStyle w:val="Heading1"/>
        <w:rPr/>
      </w:pPr>
      <w:r w:rsidDel="00000000" w:rsidR="00000000" w:rsidRPr="00000000">
        <w:rPr>
          <w:rtl w:val="0"/>
        </w:rPr>
        <w:t xml:space="preserve">SEC ROUND TABLE MEETINGS - REGULATORY INTELLIGENCE REPORT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FACTS / ANALYSIS / INFERENCE: where text is explicitly supported by meeting reports it is labeled FACTS; where it is interpretation of cross‑meeting patterns it is labeled ANALYSIS; where it is a reasoned forecast it is labeled INFERENCE.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v652a82j0ce" w:id="1"/>
    <w:bookmarkEnd w:id="1"/>
    <w:p w:rsidR="00000000" w:rsidDel="00000000" w:rsidP="00000000" w:rsidRDefault="00000000" w:rsidRPr="00000000" w14:paraId="00000004">
      <w:pPr>
        <w:pStyle w:val="Heading2"/>
        <w:rPr/>
      </w:pPr>
      <w:r w:rsidDel="00000000" w:rsidR="00000000" w:rsidRPr="00000000">
        <w:rPr>
          <w:rtl w:val="0"/>
        </w:rPr>
        <w:t xml:space="preserve">1. EXECUTIVE INTELLIGENCE BRIEF (1 page maximum)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FACTS — Inputs analyzed: five SEC Crypto Task Force roundtable reports (How We Got Here; Between a Block and a Hard Place; Know Your Custodian; Tokenization; DeFi and the American Spirit). See Sources section for files and RAG link to SAB 122.</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takeaways (5–7 bullets) - Regulators consistently prioritize investor protection and market integrity as the organizing principle; industry asks for clarity, technology‑neutral standards, and on‑ramps (guidance, sandboxes, conditional exemptive relief). (FACTS: all five meetings) - The SEC is pursuing a staged, pragmatic approach: continued public convenings + staff work (guidance/exemptions/pilots) while preserving notice‑and‑comment rulemaking where statutory change is required. (FACTS/ANALYSIS: tokenization, DeFi, custody) - Custody, qualified‑custodian definitions, and insolvency/perfection (SIPA / UCC issues) are immediate operational priorities and are unlikely to be resolved without interagency or legislative engagement. (FACTS: custody roundtable; ANALYSIS) - Howey and doctrinal questions remain central but contested — most participants accept Howey’s centrality while urging technology‑aware operational tests (control/decentralization, rebuttable presumptions, exit criteria). (FACTS: Howey roundtable) - Market‑structure and surveillance modernization (data, consolidated tape analogue, ATS / SPBD models) are elevated priorities to enable onshore trading and to manage systemic risks for tokenized securities. (FACTS: trading &amp; tokenization roundtables) - DeFi poses unique boundary problems (code vs conduct, admin keys, non‑custodial flows); SEC signaled staff work on conditional exemptive relief / “innovation exemption” to permit controlled experiments. (FACTS: DeFi roundtable) - Enforcement remains a parallel lever: participants expect enforcement and litigation to continue shaping status quo even as staff pursue guidance and pilots. (ANALYSIS)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 3 regulatory trajectories (with confidence) 1. Conditional exemptive relief / sandbox pilots for tokenization and certain on‑chain products (Confidence: High) — Chair directed staff to consider such frameworks in Tokenization &amp; DeFi meetings; participants repeatedly requested pilots. 2. Principles‑based custody guidance and clarifications of “qualified custodian” plus supervisory expectations (Confidence: High) — strong, cross‑meeting consensus calling for technology‑neutral audit/control evidence (custody meeting). 3. Incremental interpretive relief + targeted rulemaking (e.g., transfer‑agent modernization, ATS adaptations) rather than wholesale statutory reinterpretation of Howey (Confidence: Medium) — repeated calls for “same security, same treatment” and for staff to propose tailored rule changes; doctrinal disputes make large‑scale statutory reform politically uncertain absent Congress.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influential stakeholders (1–2 sentences each, evidence) - Chairman Atkins (SEC Chair) — set priorities across tokenization and DeFi roundtables and issued explicit staff directives (conditional exemptive relief). Evidence: multiple opening/keynote remarks and staff tasking in Tokenization and DeFi reports. (FACTS) - Acting Chair Mark Uyeda — framed trading/tokenization policy levers (time‑limited conditional exemptive relief suggestion). Evidence: opening remarks in trading roundtable and explicit policy orientation. (FACTS) - Nicholas Losurdo (SEC moderator / counsel) — operationally influential in shaping trading roundtable outcomes by eliciting implementable ideas; repeatedly drove agenda to actionable staff work. Evidence: moderator role and repeated framing in trading report. (FACTS) - Jason Allegrante, Rachel Anderica, Jason/industry custody leads &amp; DTCC (Christian Sabella) — repeatedly advanced operational custody and post‑trade infrastructure proposals that staff referenced as practical templates. Evidence: custody and tokenization meetings. (FACTS/ANALYSIS)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Actionable executive note: prioritize engagement on custody/qualified‑custodian comments, participate in or propose pilots aligned to SEC staff criteria, and document operational controls (audits, contracts, key ceremonies) in public submissions.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76cvlza50b0" w:id="2"/>
    <w:bookmarkEnd w:id="2"/>
    <w:p w:rsidR="00000000" w:rsidDel="00000000" w:rsidP="00000000" w:rsidRDefault="00000000" w:rsidRPr="00000000" w14:paraId="0000000B">
      <w:pPr>
        <w:pStyle w:val="Heading2"/>
        <w:rPr/>
      </w:pPr>
      <w:r w:rsidDel="00000000" w:rsidR="00000000" w:rsidRPr="00000000">
        <w:rPr>
          <w:rtl w:val="0"/>
        </w:rPr>
        <w:t xml:space="preserve">2. METHODOLOGY NOTE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FACTS - Meetings analyzed: 5 roundtable reports (files listed in Sources). - Primary data sources: full meeting transcripts and parsed SEC meeting pages for metadata (panelists/affiliations) contained in the five report files. - Additional context source: RAG search confirming Staff Accounting Bulletin No. 122 rescinding SAB 121 (SAB 122) (see Sources).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ANALYSIS — approach - Mixed qualitative aggregation: extracted topics, speaker roles, repeated signals (repetition, alignment with staff/commission statements, explicit staff directives), and cross‑meeting pattern detection. - Speaker canonicalization: unified transcript variants where possible and matched roles by meeting metadata. - Topic tagging: controlled taxonomy (see Section 5) applied to all speaker turns; created binary and depth engagement matrices.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Confidence scoring methodology - Evidence levels: - FACT: direct quote or explicit meeting statement (documented transcript). - HIGH CONFIDENCE ANALYSIS: repeated items appearing in ≥3 meetings or tied to explicit staff/Chair directives. - INFERENCE: reasoned predictions where direct evidence is lacking (labeled as such). - Prediction confidence: - High = multiple direct statements + staff/Chair action. - Medium = cross‑meeting convergence but absence of explicit commitments. - Low = single meeting mention or single stakeholder advocacy.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Meetings analyzed (files) - SEC_Meeting_Report_how-we-got-here-how-we-get-out-defining-security-s.txt - SEC_Meeting_Report_between-block-hard-place-tailoring-regulation-cryp.txt - SEC_Meeting_Report_know-your-custodian-key-considerations-crypto-cust.txt - SEC_Meeting_Report_tokenization-moving-assets-onchain-where-tradfi-de.txt - SEC_Meeting_Report_defi-american-spirit.txt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onnj5qdmrl" w:id="3"/>
    <w:bookmarkEnd w:id="3"/>
    <w:p w:rsidR="00000000" w:rsidDel="00000000" w:rsidP="00000000" w:rsidRDefault="00000000" w:rsidRPr="00000000" w14:paraId="00000011">
      <w:pPr>
        <w:pStyle w:val="Heading2"/>
        <w:rPr/>
      </w:pPr>
      <w:r w:rsidDel="00000000" w:rsidR="00000000" w:rsidRPr="00000000">
        <w:rPr>
          <w:rtl w:val="0"/>
        </w:rPr>
        <w:t xml:space="preserve">3. CROSS‑MEETING EVIDENCE SUMMARY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FACTS — Topic taxonomy (used in tables below) - Howey / Securities Classification - Control / Decentralization Tests - Custody / Qualified Custodian - Tokenization / Transfer Agent Modernization - Market Structure / Trading / ATS / SPBD - Settlement / Netting / Clearing - Disclosure / Investor Protection / Fraud - Enforcement / Litigation - DeFi / Non‑custodial Activity / Code-as-speech - AML / KYC / OFAC / Sanctions - Staking / Liquid Staking / Productive Use - Data / Surveillance / Consolidated Tape Analogue - Sandboxes / Conditional Exemptive Relief / Pilots - Inter‑agency / Legislative Gaps - NFTs &amp; Special Asset Classes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Topic × Meeting frequency (which topics appeared in which meetings) | Topic | HowWeGotHere (Howey) | BetweenBlock (Trading) | KnowYourCustodian (Custody) | Tokenization (Tokenization) | DeFiAmericanSpirit (DeFi) | MeetingsMentioned | |—|—:|—:|—:|—:|—:|—:| | Howey / Securities Classification | Yes | Yes | Yes | Yes | Yes | 5 | | Control / Decentralization Tests | Yes | No | Yes | Yes | Yes | 4 | | Custody / Qualified Custodian | Yes | Yes | Yes | Yes | Yes | 5 | | Tokenization / Transfer Agent | No | Yes | Yes | Yes | Yes | 4 | | Market Structure / ATS / SPBD | No | Yes | Yes | Yes | No | 3 | | Settlement / Netting / Clearing | No | Yes | Yes | Yes | No | 3 | | Disclosure / Investor Protection / Fraud | Yes | Yes | Yes | Yes | Yes | 5 | | Enforcement / Litigation | Yes | Yes | Yes | Yes | Yes | 5 | | DeFi / Non‑custodial Activity | Yes | Yes | Yes | Yes | Yes | 5 | | AML / KYC / Sanctions | No | Yes | Yes | Yes | Yes | 4 | | Staking / Liquid Staking | No | No | Yes | Yes | Yes | 3 | | Data / Surveillance / Consolidated Tape | No | Yes | Yes | Yes | No | 3 | | Sandboxes / Conditional Exemptive Relief | Yes | Yes | Yes | Yes | Yes | 5 | | Inter‑agency / Legislative Gaps | Yes | Yes | Yes | Yes | Yes | 5 | | NFTs &amp; Special Asset Classes | Yes | No | Yes | Yes | Yes | 4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(FACTS/ANALYSIS) - Presence = topic explicitly discussed in that meeting report. (Table: FACTS) - Tokens/issues such as Howey, custody, disclosure, enforcement and sandboxes appeared across all five meetings — indicating cross‑cutting centrality. (ANALYSIS)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Speaker × Topic engagement matrix (selected key speakers; depth: H = High, M = Medium, L = Low; stance: Support / Oppose / Neutral / Mixed) | Speaker | Role | Howey | Custody | Tokenization | Market Structure | DeFi | Staking | Surveillance | Sandboxes | Primary stance summary | |—|—|—:|—:|—:|—:|—:|—:|—:|—:|—| | Chairman Atkins | SEC Chair | H (Neutral) | H (Support clarify QC) | H (Pro‑pilot/exemptive) | H (Support pilots) | H (Pro‑innovation w/ guardrails) | H (consider accommodation) | M (support data upgrade) | H (directed staff) | Prioritize clarity, pilots, and measured rule adaptation (Support) | | Acting Chair Mark Uyeda | Acting Chair / SEC | M (Doctrinal caution) | M | M | H (advocated time‑limited relief) | L | L | L | M | Balance investor protection &amp; conditional relief (Mixed) | | Nicholas Losurdo | Moderator / SEC counsel | L | M | M | H | M | L | M | H (agenda setter) | Agenda‑setting / elicited implementable steps (Neutral) | | Chris Brummer | Academic / Bluprynt | H (Howey-as-risk) | L | L | L | L | L | L | M | Adapt doctrine to risk‑mapping; focus disclosure (Support) | | John Reed Stark | Former SEC staff | H (Apply Howey enforcement) | L | L | L | L | L | L | L | Favors enforcement approach; investor protection prioritized (Support enforcement) | | Miles (a16z) | Industry counsel | M (control test) | L | M | L | M | L | L | H (advocated sandboxes) | Favors control/decentralization test; pro‑innovation (Support) | | Jason Allegrante | Fireblocks (custody infra) | L | H (P: principles) | M | L | L | M | M | M | Technology‑neutral custody standards, audits (Support) | | Rachel Anderica | Anchorage Digital Bank | L | H (Bank model/charter) | M | L | L | L | L | M | Advocate for chartered bank model recognition (Support) | | Christian Sabella | DTCC | L | M | H | H | L | M | H | M | Post‑trade infrastructure modernization (Support) | | Chris Brummer | (duplicate consolidated above) | | | | | | | | | | | Koi / Rodrigo / Teresa (practitioners) | Law firms / counsel | H/M | M | M | L | M | L | L | M | Seek tailored doctrines (Mixed) | | Katherine Minarik | DeFi rep | L | L | M | L | H | L | L | H | Protect self‑custody and non‑intermediated flows (Oppose heavy intermediated regulation)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 Depth codes and stance were scored from meeting reports’ descriptions of each speaker’s main remarks. (FACTS) - Matrix rows limited to speakers who appeared with significant contributions in the reports. (ANALYSIS)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Ideas appearing in ≥3 meetings (recurring themes) — FACTS - Need for clarity on custody/qualified‑custodian standards and auditable evidence (custody, tokenization, trading, DeFi, Howey). - Staff‑led pilots/sandboxes/conditional exemptive relief as intermediate policy instruments (all five meetings). - Importance of a technology‑neutral, principles‑based approach (custody, tokenization, DeFi). - Control / decentralization as a practical analytic axis to derisk tokens (Howey, DeFi, tokenization). - Market structure modernization (ATS/SPBD, consolidated tape analogue, settlement innovation) needed to support onshore tokenized trading (trading, tokenization, custody).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Single‑meeting mentions (isolated ideas) — FACTS - Howey risk‑mapping phrasing and conceptual framing was strongest in the “How We Got Here” meeting (Chris Brummer’s framing). - Specific DTCC “Project Ion” experiments were principally described in the Tokenization meeting (Christian Sabella). - EtherDelta / Coburn case and code‑as‑speech legal framing had strongest presence in DeFi meeting (Commissioner Pur &amp; panelists).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g6k2jwa7lw0" w:id="4"/>
    <w:bookmarkEnd w:id="4"/>
    <w:p w:rsidR="00000000" w:rsidDel="00000000" w:rsidP="00000000" w:rsidRDefault="00000000" w:rsidRPr="00000000" w14:paraId="0000001B">
      <w:pPr>
        <w:pStyle w:val="Heading2"/>
        <w:rPr/>
      </w:pPr>
      <w:r w:rsidDel="00000000" w:rsidR="00000000" w:rsidRPr="00000000">
        <w:rPr>
          <w:rtl w:val="0"/>
        </w:rPr>
        <w:t xml:space="preserve">4. SPEAKER ANALYSIS WITH CLEAR INFLUENCE SEPARATION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 For each key speaker — Authority / Influence indicators / Likelihood of Policy Impact / Meetings participated / Combined views / Position evolution.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Authority = formal regulatory role (Commissioner/Chair higher); Influence = evidence-based composite (repetition across meetings, agenda-setting, alignment with staff action, follow‑up directives). All claims referencing meetings are FACTS drawn from meeting reports.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Influence tiers (summary table) | Influence Tier | Representative individuals | Evidence indicators | |—|—|—| | Tier 1 — High Influence | Chairman Atkins; Acting Chair Mark Uyeda | Formal authority + staff directives (Atkins); framing speeches + policy suggestions (Uyeda); appeared in multiple meetings; linked to explicit staff tasks (Atkins). | | Tier 2 — Medium Influence | Nicholas Losurdo; Nicholas/Tyler‑like moderators; Christian Sabella (DTCC); Jason Allegrante; Rachel Anderica | Agenda‑setting, repeated cross‑meeting engagement, operational proposals referenced by staff. | | Tier 3 — Lower Influence | Academic &amp; industry panelists (Chris Brummer, Miles, John Reed Stark, Katherine Minarik, Teresa, Rodrigo) | Strong subject‑matter influence; primarily persuasive rather than formal decision authority.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speaker profiles (selected)</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Chairman Atkins</w:t>
      </w:r>
    </w:p>
    <w:p w:rsidR="00000000" w:rsidDel="00000000" w:rsidP="00000000" w:rsidRDefault="00000000" w:rsidRPr="00000000" w14:paraId="000000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Authority: SEC Chair (formal rulemaking/institutional authority).</w:t>
      </w:r>
    </w:p>
    <w:p w:rsidR="00000000" w:rsidDel="00000000" w:rsidP="00000000" w:rsidRDefault="00000000" w:rsidRPr="00000000" w14:paraId="000000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Influence (evidence):</w:t>
      </w:r>
    </w:p>
    <w:p w:rsidR="00000000" w:rsidDel="00000000" w:rsidP="00000000" w:rsidRDefault="00000000" w:rsidRPr="00000000" w14:paraId="0000002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Directed staff to consider conditional exemptive relief (Tokenization &amp; DeFi reports). [FACT]</w:t>
      </w:r>
    </w:p>
    <w:p w:rsidR="00000000" w:rsidDel="00000000" w:rsidP="00000000" w:rsidRDefault="00000000" w:rsidRPr="00000000" w14:paraId="00000024">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Repeated priority setting on issuance, custody, trading across meetings. [FACT]</w:t>
      </w:r>
    </w:p>
    <w:p w:rsidR="00000000" w:rsidDel="00000000" w:rsidP="00000000" w:rsidRDefault="00000000" w:rsidRPr="00000000" w14:paraId="0000002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Likelihood of Policy Impact: High — Chair’s staff directives and repeated public framing make his views likely to shape staff work and near‑term policy options.</w:t>
      </w:r>
    </w:p>
    <w:p w:rsidR="00000000" w:rsidDel="00000000" w:rsidP="00000000" w:rsidRDefault="00000000" w:rsidRPr="00000000" w14:paraId="000000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Meetings participated in: Tokenization (may_12_2025.txt), DeFi (june_9_2025.txt), Custody (april_28_2025.txt) (per meeting reports).</w:t>
      </w:r>
    </w:p>
    <w:p w:rsidR="00000000" w:rsidDel="00000000" w:rsidP="00000000" w:rsidRDefault="00000000" w:rsidRPr="00000000" w14:paraId="0000002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Combined views: favors technology‑neutral frameworks, pilots/exemptive relief, and preserving investor protection. (FACT)</w:t>
      </w:r>
    </w:p>
    <w:p w:rsidR="00000000" w:rsidDel="00000000" w:rsidP="00000000" w:rsidRDefault="00000000" w:rsidRPr="00000000" w14:paraId="000000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Evolution/consistency: Consistently emphasized pilots, staff work and rulemaking where necessary (consistent). (ANALYSIS)</w:t>
      </w:r>
    </w:p>
    <w:p w:rsidR="00000000" w:rsidDel="00000000" w:rsidP="00000000" w:rsidRDefault="00000000" w:rsidRPr="00000000" w14:paraId="0000002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Acting Chair Mark Uyeda</w:t>
      </w:r>
    </w:p>
    <w:p w:rsidR="00000000" w:rsidDel="00000000" w:rsidP="00000000" w:rsidRDefault="00000000" w:rsidRPr="00000000" w14:paraId="0000002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Authority: Acting Chair (formal office when speaking during trading roundtable).</w:t>
      </w:r>
    </w:p>
    <w:p w:rsidR="00000000" w:rsidDel="00000000" w:rsidP="00000000" w:rsidRDefault="00000000" w:rsidRPr="00000000" w14:paraId="0000002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Influence:</w:t>
      </w:r>
    </w:p>
    <w:p w:rsidR="00000000" w:rsidDel="00000000" w:rsidP="00000000" w:rsidRDefault="00000000" w:rsidRPr="00000000" w14:paraId="0000002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Advocated time‑limited conditional exemptive relief in trading roundtable. [FACT]</w:t>
      </w:r>
    </w:p>
    <w:p w:rsidR="00000000" w:rsidDel="00000000" w:rsidP="00000000" w:rsidRDefault="00000000" w:rsidRPr="00000000" w14:paraId="0000002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Framed need to balance innovation and investor protection. [FACT]</w:t>
      </w:r>
    </w:p>
    <w:p w:rsidR="00000000" w:rsidDel="00000000" w:rsidP="00000000" w:rsidRDefault="00000000" w:rsidRPr="00000000" w14:paraId="0000002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Likelihood of Policy Impact: Medium‑High — formal role, but influence moderated by Chair Atkins’ later directives. (ANALYSIS)</w:t>
      </w:r>
    </w:p>
    <w:p w:rsidR="00000000" w:rsidDel="00000000" w:rsidP="00000000" w:rsidRDefault="00000000" w:rsidRPr="00000000" w14:paraId="0000002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Meetings: Trading (april_11_2025.txt), Howey (earlier roundtable presence noted). (FACT)</w:t>
      </w:r>
    </w:p>
    <w:p w:rsidR="00000000" w:rsidDel="00000000" w:rsidP="00000000" w:rsidRDefault="00000000" w:rsidRPr="00000000" w14:paraId="0000003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Combined views: open to experimental relief while emphasizing investor protection. (FACT)</w:t>
      </w:r>
    </w:p>
    <w:p w:rsidR="00000000" w:rsidDel="00000000" w:rsidP="00000000" w:rsidRDefault="00000000" w:rsidRPr="00000000" w14:paraId="0000003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Evolution: steady toward practical, conditional relief (consistent). (ANALYSIS)</w:t>
      </w:r>
    </w:p>
    <w:p w:rsidR="00000000" w:rsidDel="00000000" w:rsidP="00000000" w:rsidRDefault="00000000" w:rsidRPr="00000000" w14:paraId="000000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Nicholas Losurdo (moderator / SEC counsel)</w:t>
      </w:r>
    </w:p>
    <w:p w:rsidR="00000000" w:rsidDel="00000000" w:rsidP="00000000" w:rsidRDefault="00000000" w:rsidRPr="00000000" w14:paraId="0000003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Authority: SEC counsel / moderator (agenda power).</w:t>
      </w:r>
    </w:p>
    <w:p w:rsidR="00000000" w:rsidDel="00000000" w:rsidP="00000000" w:rsidRDefault="00000000" w:rsidRPr="00000000" w14:paraId="0000003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Influence:</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“who/what/how” taxonomy that produced actionable items in trading roundtable. [FACT]</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Repeatedly elicited implementable solutions leading to staff homework. [FACT]</w:t>
      </w:r>
    </w:p>
    <w:p w:rsidR="00000000" w:rsidDel="00000000" w:rsidP="00000000" w:rsidRDefault="00000000" w:rsidRPr="00000000" w14:paraId="0000003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Likelihood of Policy Impact: Medium — no formal vote but high agenda power and internal influence on staff outputs. (ANALYSIS)</w:t>
      </w:r>
    </w:p>
    <w:p w:rsidR="00000000" w:rsidDel="00000000" w:rsidP="00000000" w:rsidRDefault="00000000" w:rsidRPr="00000000" w14:paraId="000000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Meetings: Trading (april_11_2025.txt) and other panels as moderator. (FACT)</w:t>
      </w:r>
    </w:p>
    <w:p w:rsidR="00000000" w:rsidDel="00000000" w:rsidP="00000000" w:rsidRDefault="00000000" w:rsidRPr="00000000" w14:paraId="000000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Combined views: function‑first regulation, emphasis on implementable steps. (FACT)</w:t>
      </w:r>
    </w:p>
    <w:p w:rsidR="00000000" w:rsidDel="00000000" w:rsidP="00000000" w:rsidRDefault="00000000" w:rsidRPr="00000000" w14:paraId="000000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Evolution: N/A (role consistent).</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Chris Brummer (academic / Bluprynt)</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Authority: Academic / industry expert (no formal SEC authority).</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Influence:</w:t>
      </w:r>
    </w:p>
    <w:p w:rsidR="00000000" w:rsidDel="00000000" w:rsidP="00000000" w:rsidRDefault="00000000" w:rsidRPr="00000000" w14:paraId="0000003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subject‑matter influence on doctrinal adaptation (Howey risk‑mapping). [FACT]</w:t>
      </w:r>
    </w:p>
    <w:p w:rsidR="00000000" w:rsidDel="00000000" w:rsidP="00000000" w:rsidRDefault="00000000" w:rsidRPr="00000000" w14:paraId="0000003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Frequently provided framing used by others. [FACT]</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Likelihood of Policy Impact: Medium — strong influence on doctrinal framing and disclosure design, less direct impact on rule adoption. (ANALYSIS)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Meetings: How We Got Here (march_21_2025.txt) primarily. (FACT)</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Combined views: adapt Howey prongs as risk categories; design disclosure for digital assets. (FACT)</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Evolution: moving from doctrinal critique to practical disclosure solutions (ANALYSIS).</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Jason Allegrante (Fireblocks)</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Authority: Industry custody infrastructure leader.</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Influence:</w:t>
      </w:r>
    </w:p>
    <w:p w:rsidR="00000000" w:rsidDel="00000000" w:rsidP="00000000" w:rsidRDefault="00000000" w:rsidRPr="00000000" w14:paraId="0000004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Repeatedly advocated for principles‑based custody standards and objective evidence (contracts, audits). [FACT]</w:t>
      </w:r>
    </w:p>
    <w:p w:rsidR="00000000" w:rsidDel="00000000" w:rsidP="00000000" w:rsidRDefault="00000000" w:rsidRPr="00000000" w14:paraId="0000004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Often cited by staff-level summaries as a workable approach. [FACT]</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Likelihood of Policy Impact: Medium — practical recommendations likely to be reflected in supervisory guidance/exam standards. (ANALYSIS)</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Meetings: Custody (april_28_2025.txt) and referenced in tokenization context. (FACT)</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Combined views: technology‑neutral standards, audits, contract evidence for control. (FACT)</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Evolution: consistent advocacy for principles + audits.</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Christian Sabella (DTCC)</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Authority: Senior post‑trade infrastructure exec.</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Influence:</w:t>
      </w:r>
    </w:p>
    <w:p w:rsidR="00000000" w:rsidDel="00000000" w:rsidP="00000000" w:rsidRDefault="00000000" w:rsidRPr="00000000" w14:paraId="0000005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Brought DTCC experiments (Project Ion) and interoperability proposals into tokenization conversation. [FACT]</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Likelihood of Policy Impact: Medium — operational proposals will inform staff thinking on settlement/netting. (ANALYSIS)</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Meetings: Tokenization (may_12_2025.txt). (FACT)</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Combined views: support for interoperability standards and measured incorporation of ledger tech into post‑trade infrastructure. (FACT)</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Evolution: N/A (consistent).</w:t>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John Reed Stark</w:t>
      </w:r>
    </w:p>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Authority: Former SEC staff (public commentator).</w:t>
      </w:r>
    </w:p>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Influence:</w:t>
      </w:r>
    </w:p>
    <w:p w:rsidR="00000000" w:rsidDel="00000000" w:rsidP="00000000" w:rsidRDefault="00000000" w:rsidRPr="00000000" w14:paraId="0000005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 enforcement‑oriented framing in Howey roundtable (protect investors via enforcement). [FACT]</w:t>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Likelihood of Policy Impact: Low‑Medium — influences enforcement culture but limited in rulemaking. (ANALYSIS)</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Meetings: How We Got Here (march_21_2025.txt). (FACT)</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Combined views: favors applying existing securities law vigorously. (FACT)</w:t>
      </w:r>
    </w:p>
    <w:p w:rsidR="00000000" w:rsidDel="00000000" w:rsidP="00000000" w:rsidRDefault="00000000" w:rsidRPr="00000000" w14:paraId="000000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Miles (a16z) &amp; other industry counsel (Teresa, Rodrigo)</w:t>
      </w:r>
    </w:p>
    <w:p w:rsidR="00000000" w:rsidDel="00000000" w:rsidP="00000000" w:rsidRDefault="00000000" w:rsidRPr="00000000" w14:paraId="000000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Authority: Industry counsel/VCs (no formal SEC role).</w:t>
      </w:r>
    </w:p>
    <w:p w:rsidR="00000000" w:rsidDel="00000000" w:rsidP="00000000" w:rsidRDefault="00000000" w:rsidRPr="00000000" w14:paraId="000000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Influence:</w:t>
      </w:r>
    </w:p>
    <w:p w:rsidR="00000000" w:rsidDel="00000000" w:rsidP="00000000" w:rsidRDefault="00000000" w:rsidRPr="00000000" w14:paraId="0000005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Advanced control/decentralization tests and practical policy proposals (safe harbors). [FACT]</w:t>
      </w:r>
    </w:p>
    <w:p w:rsidR="00000000" w:rsidDel="00000000" w:rsidP="00000000" w:rsidRDefault="00000000" w:rsidRPr="00000000" w14:paraId="000000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Likelihood of Policy Impact: Medium — their proposals are influential among industry and some Commissioners; however, doctrinal dispute remains. (ANALYSIS)</w:t>
      </w:r>
    </w:p>
    <w:p w:rsidR="00000000" w:rsidDel="00000000" w:rsidP="00000000" w:rsidRDefault="00000000" w:rsidRPr="00000000" w14:paraId="000000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Meetings: Howey roundtable, trading, tokenization. (FACT)</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Combined views: favor operational tests, sandboxes, and conditional relief. (FACT)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(Additional speaker analyses available on request; above are the most frequently referenced across meetings.)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8ym8sz4eb8l" w:id="5"/>
    <w:bookmarkEnd w:id="5"/>
    <w:p w:rsidR="00000000" w:rsidDel="00000000" w:rsidP="00000000" w:rsidRDefault="00000000" w:rsidRPr="00000000" w14:paraId="00000065">
      <w:pPr>
        <w:pStyle w:val="Heading2"/>
        <w:rPr/>
      </w:pPr>
      <w:r w:rsidDel="00000000" w:rsidR="00000000" w:rsidRPr="00000000">
        <w:rPr>
          <w:rtl w:val="0"/>
        </w:rPr>
        <w:t xml:space="preserve">5. TOPIC TAGGING FOR SPEAKERS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FACTS — Topic taxonomy (short list) - Howey / Securities Classification - Control / Decentralization - Custody / Qualified Custodian - Tokenization / Transfer Agent - Market Structure / ATS / SPBD - Settlement / Netting / Clearing - Disclosure / Investor Protection - Enforcement / Litigation - DeFi / Non‑custodial Systems - AML / KYC / Sanctions - Staking / Liquid Staking - Data / Surveillance - Sandboxes / Pilots / Conditional Exemptive Relief - Inter‑agency / Legislative Coordination - NFTs &amp; Special Assets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Speaker × Topic matrix (selected speakers; Depth H/M/L, Stance: Support/Oppose/Neutral/Mixed) | Speaker | Howey | Control | Custody | Tokenization | Market Structure | DeFi | Staking | Surveillance | Sandboxes | Primary stance | |—|—:|—:|—:|—:|—:|—:|—:|—:|—:|—| | Chairman Atkins | H / Neutral | H / Neutral | H / Support | H / Support | H / Support | H / Support w/ guardrails | H / Support consider | M / Support | H / Support | Pro‑clarity, pilots, measured rulemaking | | Mark Uyeda | M / Neutral | M / Neutral | M / Neutral | M / Support | H / Support | L / Neutral | L / Neutral | L / Neutral | M / Support | Balance innovation &amp; protection | | Chris Brummer | H / Support (adaptation) | H / Support | L / Neutral | L / Neutral | L / Neutral | L / Neutral | L / Neutral | L / Neutral | M / Support | Howey as risk map; disclosure focus | | John Reed Stark | H / Support (apply) | L / Neutral | L / Neutral | L / Neutral | L / Neutral | L / Neutral | L / Neutral | L / Support enforcement | L / Neutral | Enforcement‑first; investor protection priority | | Miles (a16z) | M / Mixed | H / Support (control) | L / Neutral | M / Support | L / Neutral | M / Support | L / Neutral | L / Neutral | H / Support | Control/decentralization focus; pro‑pilots | | Jason Allegrante | L / Neutral | M / Neutral | H / Support | M / Neutral | L / Neutral | L / Neutral | M / Neutral | M / Support | M / Support | Custody standards, audits, contracts | | Rachel Anderica | L / Neutral | L / Neutral | H / Support (charter model) | M / Neutral | L / Neutral | L / Neutral | L / Neutral | L / Neutral | M / Neutral | Bank/charter recognition for custody | | Christian Sabella | L / Neutral | L / Neutral | M / Neutral | H / Support | H / Support | L / Neutral | M / Neutral | H / Support | M / Support | Post‑trade modernization &amp; interoperability | | Katherine Minarik | L / Neutral | M / Support | L / Oppose | L / Neutral | L / Neutral | H / Support (self‑custody) | L / Neutral | L / Neutral | H / Oppose (heavy handed) | Preserve self‑custody; oppose over‑intermediation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 Depth and stance are derived from meeting transcripts; “Support” means the speaker advocated for the topic or an enabling policy; “Oppose” means argued against regulatory imposition; “Mixed” indicates nuance. (FACTS/ANALYSIS)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60t77a0xy58" w:id="6"/>
    <w:bookmarkEnd w:id="6"/>
    <w:p w:rsidR="00000000" w:rsidDel="00000000" w:rsidP="00000000" w:rsidRDefault="00000000" w:rsidRPr="00000000" w14:paraId="0000006A">
      <w:pPr>
        <w:pStyle w:val="Heading2"/>
        <w:rPr/>
      </w:pPr>
      <w:r w:rsidDel="00000000" w:rsidR="00000000" w:rsidRPr="00000000">
        <w:rPr>
          <w:rtl w:val="0"/>
        </w:rPr>
        <w:t xml:space="preserve">6. MOST INFLUENTIAL STAKEHOLDER IDENTIFICATION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FACTS — Identification - Single most influential stakeholder: Chairman Atkins (SEC Chair)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Evidence-based justification - Formal authority: as Chair, he directs staff priorities and public agenda; meetings record explicit staff tasking and public directives. (FACT) - Substantive influence: - Issued concrete staff direction to explore conditional exemptive relief / innovation exemption (Tokenization &amp; DeFi meetings). (FACT) - His framing and public statements were repeatedly cited by panels as agenda shapers. (FACT) - Policy impact likelihood: High — Chair’s explicit directives and repeated priority statements indicate high probability of shaping near‑term staff outputs (guidance, pilots, targeted rulemaking). (ANALYSIS)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Separate analysis - Formal authority: Chairman (High). - Substantive influence: High (agenda‑setting, staff directives, repeated speech). - Policy impact likelihood: High (Chair’s leadership and staff action alignment).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Other high‑influence actors (evidence) - Acting Chair Mark Uyeda: Formal authority in related meetings and explicit policy suggestions (time‑limited conditional relief). (FACT) - Nicholas Losurdo: Agenda setting &amp; elicitation of implementable steps in trading roundtable; high operational influence on staff ideas. (FACT) - DTCC (Christian Sabella), custody infrastructure leaders (Jason Allegrante, Rachel Anderica): substantive operational influence — their practical experiments and operational proposals were repeatedly referenced as templates for pilots/guidance. (FACT)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Signals used to determine influence - Repetition across meetings (frequency of their input). - Alignment with staff/Commission actions (e.g., rescission of SAB 121 / SAB 122 RAG confirmation). - Explicit staff directives (Chairman’s instruction). - Agenda‑setting role (moderators and counsel).</w:t>
      </w:r>
    </w:p>
    <w:p w:rsidR="00000000" w:rsidDel="00000000" w:rsidP="00000000" w:rsidRDefault="00000000" w:rsidRPr="00000000" w14:paraId="00000070">
      <w:pPr>
        <w:rPr>
          <w:highlight w:val="gree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s4nxcupx7qc" w:id="7"/>
    <w:bookmarkEnd w:id="7"/>
    <w:p w:rsidR="00000000" w:rsidDel="00000000" w:rsidP="00000000" w:rsidRDefault="00000000" w:rsidRPr="00000000" w14:paraId="00000071">
      <w:pPr>
        <w:pStyle w:val="Heading2"/>
        <w:rPr>
          <w:highlight w:val="green"/>
        </w:rPr>
      </w:pPr>
      <w:r w:rsidDel="00000000" w:rsidR="00000000" w:rsidRPr="00000000">
        <w:rPr>
          <w:highlight w:val="green"/>
          <w:rtl w:val="0"/>
        </w:rPr>
        <w:t xml:space="preserve">7. “WHAT THIS MEANS FOR…” (Stakeholder implications &amp; recommended immediate actions)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FACTS + ANALYSIS — actionable items per stakeholder group. Items labeled (EVIDENCE) when supported directly by meeting reports; labeled (INFERENCE) when derived from cross‑meeting patterns.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Issuers - Prepare to treat tokenized instruments as securities when they economically mirror existing securities; plan disclosure packages equivalent to traditional filings. (EVIDENCE: Tokenization, Howey meetings) - Document token governance, rights, and upgrade pathways; include explicit legal terms tying on‑chain tokens to off‑chain legal entitlements. (EVIDENCE: Tokenization) - Participate in pilots / propose sandbox designs with operational metrics (resiliency, settlement, audit trails) to influence staff frameworks. (EVIDENCE: Tokenization &amp; DeFi) - Action items: - Inventory token designs and map Howey risk factors to features. - Draft disclosure templates that translate smart contract functions into material risk disclosures.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 Protocols - Expect activity‑based scrutiny: self‑custodial code publication alone is less likely to be regulated, but admin keys, fee‑setting, or developer control invite regulatory exposure. (EVIDENCE: DeFi meeting, EtherDelta discussion) - Adopt governance transparency (admin keys, upgrade processes) and publish clear role descriptions for developers/operators. (EVIDENCE) - Invest in privacy‑preserving on‑chain attestation techniques (ZK proofs) and scenario playbooks for AML/OFAC interactions. (ANALYSIS) - Action items: - Publish a public “roles &amp; responsibilities” governance charter. - Implement and document technical mitigants (timelocks, multisig, emergency governance).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Exchanges / ATSs - Expect pressure to adapt regulatorily (ATS/SPBD models) for tokenized securities and for additional surveillance/data reporting; plan technical and compliance roadmaps. (EVIDENCE: Trading and Tokenization meetings) - Prepare for potential special‑purpose broker‑dealer or ATS adaptations; engage with staff on pilot criteria. (EVIDENCE) - Action items: - Map existing matching/settlement engines to tokenized on‑chain models; prepare evidence on surveillance capability (on‑ and off‑chain). - Build or partner for consolidated tape / data feeds for auditable price discovery.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Custodians / Compliance Teams - The SEC is likely to demand auditable evidence of control (audited key‑ceremonies, SOC/crypto audits, contracts) and principles‑based controls; prepare documentation and third‑party attestations. (EVIDENCE: Custody roundtable) - Plan for exam‑readiness: segregation practices, proof‑of‑reserves approaches, dispute resolution and insolvency playbooks. (EVIDENCE) - Action items: - Harden operational controls and prepare standardized evidence packages (contracts, SOC reports, key‑ceremony logs). - Engage with legal teams on SIPA/UCC implications and interagency coordination.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General compliance actions (all groups) - Submit detailed, evidence‑based comments to the Crypto Task Force highlighting pilot proposals and operational metrics. (EVIDENCE) - Prioritize demonstrable investor protections (clear disclosures, custody safeguards, emergency governance) in product design. (ANALYSIS)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46tuxciupwj" w:id="8"/>
    <w:bookmarkEnd w:id="8"/>
    <w:p w:rsidR="00000000" w:rsidDel="00000000" w:rsidP="00000000" w:rsidRDefault="00000000" w:rsidRPr="00000000" w14:paraId="00000079">
      <w:pPr>
        <w:pStyle w:val="Heading2"/>
        <w:rPr/>
      </w:pPr>
      <w:r w:rsidDel="00000000" w:rsidR="00000000" w:rsidRPr="00000000">
        <w:rPr>
          <w:rtl w:val="0"/>
        </w:rPr>
        <w:t xml:space="preserve">8. UNRESOLVED QUESTIONS &amp; REGULATORY GAPS (MANDATORY)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FACTS / ANALYSIS — Each gap lists why it matters, meeting(s) where raised, who raised it, and potential resolution paths. Where inference is used the entry is explicitly labeled INFERENCE.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Doctrinal / Legal Uncertainty | Gap | Why it matters | Meetings raised | Who raised | Potential paths to resolution | Grounding | |—|—|—|—|—|—| | Applicability of Howey to new token forms (governance tokens, DeFi primitives) | Determines securities law coverage; affects registration, disclosure, enforcement risk | Howey (3/21), Tokenization (5/12), DeFi (6/9) | Academics (Brummer, Reiners), industry (Miles), Commissioners | Staff interpretive guidance, tailored bright‑line safe harbors, court litigation, or Congress codifying tests | FACT | | When secondary trading or protocol evolution changes legal status (exit criteria) | Impacts exchanges, broker‑dealers, and secondary market obligations | Howey, Trading, Tokenization | Practitioners (Collins, Chelsea), academics | Staff guidance on exit tests, safe harbor transition rules, targeted rulemaking | FACT | | Treatment of code publication vs operative conduct (speech vs conduct boundary) | Implicates First Amendment and enforcement reach | DeFi | Commissioner Pur, panelists (Peter) | Legal clarifications via rulemaking, enforcement test articulation, potential targeted litigation to define boundaries | FACT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Operational / Compliance Ambiguity | Gap | Why it matters | Meetings raised | Who raised | Potential paths | Grounding | |—|—|—|—|—|—| | Objective standards for “qualified custodian” and acceptable proof of exclusive control | Determines who can custody customer assets and how advisers comply | Custody (4/25), Tokenization (5/12), Trading (4/11) | Custodians (Fireblocks, Anchorage), Chair, Chuck Mooney | Staff guidance, acceptable attestation frameworks (SOC, cryptographic proofs), notice &amp; comment rulemaking to update custody rule | FACT | | How to reconcile staking / productive on‑chain uses with custody rules | Adviser fiduciary duties vs on‑chain movement conflicts | Custody, Tokenization, DeFi | Fund managers, legal counsel (Justin Browder, Larry Florio) | Staff safe harbors for staking; custody guidance defining permitted practices; rule adjustments to custody rule | FACT | | Proof‑of‑reserves and Merkle tree attestations — sufficiency and auditability | Affects transparency claims and market trust | Custody | Industry custodians (Kraken, BitGo) | Staff supervisory expectations + audit standards + sample reporting templates | FACT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Market Structure &amp; Infrastructure Gaps | Gap | Why it matters | Meetings raised | Who raised | Potential paths | Grounding | |—|—|—|—|—|—| | How NMS/OPR/Reg ATS concepts translate to tokenized, atomic settlement markets | Affects best execution, fair access, competition, and surveillance | Trading, Tokenization | Market structure experts (Tyler, Greg), DTCC | Functional rule adaptation (retain transparency &amp; surveillance); ATS/SPBD model adaptation; pilot programs with reporting obligations | FACT | | Lack of consolidated tape / integrated on‑chain/off‑chain surveillance capability | Hampers regulator monitoring and market integrity | Trading, Tokenization, Custody | Tyler Gellasch, DTCC, SEC staff | Build on‑chain/off‑chain analytic capabilities; create a consolidated tape analogue; data reporting mandates | FACT | | Cross‑chain interoperability &amp; legal perfection of security interests | Affects collateral reuse, cross‑border recognition | Tokenization, DeFi | DTCC, tokenization practitioners | Industry standards + UCC Article updates or Article 12 adoption; interagency legal harmonization | FACT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Inter‑agency / Legislative Gaps | Gap | Why it matters | Meetings raised | Who raised | Potential paths | Grounding | |—|—|—|—|—|—| | SIPA coverage ambiguity for non‑security crypto assets / resolution regime | Customer protection in failures is unclear; impacts bankruptcy outcomes | Custody, Tokenization | Chair, Chuck Mooney, industry | Legislative action (SIPA expansion) or interagency protocol coordinated by Treasury/SEC/FDIC | FACT | | Overlap SEC vs CFTC jurisdiction for tokens with commodity characteristics | Regulatory uncertainty, enforcement conflict | Trading, Howey, DeFi | Practitioners, commissioners | MoUs, joint guidance, or Congressional statute clarifying jurisdiction | FACT | | International reciprocity / global regulatory fragmentation | Onshoring of activity depends on harmonized rules | Trading, Tokenization | Industry (Austin Reid) | Bilateral/regulatory coordination and international standards; active engagement in IOSCO / FSB | FACT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Quotes (FACTS — blockquoted) &gt; “A key priority of my chairmanship will be to develop a rational regulatory framework for crypto asset markets that establishes clear rules of the road for issuance, custody and trading.” — Chairman Atkins (Tokenization meeting)</w:t>
        <w:br w:type="textWrapping"/>
        <w:t xml:space="preserve">&gt; “Existing SEC custody rules are a gold standard of investor protection.” — Chairman Atkins (Custody meeting)</w:t>
        <w:br w:type="textWrapping"/>
        <w:t xml:space="preserve">&gt; “When I think about the Howey test … each of those prongs represents a kind of a risk …” — Chris Brummer (Howey meeting)</w:t>
        <w:br w:type="textWrapping"/>
        <w:t xml:space="preserve">&gt; “I’ve directed the staff to consider a conditional exemptive relief framework or… an innovation exemption” — Chairman Atkins (DeFi meeting)</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l70x2lija3c" w:id="9"/>
    <w:bookmarkEnd w:id="9"/>
    <w:p w:rsidR="00000000" w:rsidDel="00000000" w:rsidP="00000000" w:rsidRDefault="00000000" w:rsidRPr="00000000" w14:paraId="00000081">
      <w:pPr>
        <w:pStyle w:val="Heading2"/>
        <w:rPr/>
      </w:pPr>
      <w:r w:rsidDel="00000000" w:rsidR="00000000" w:rsidRPr="00000000">
        <w:rPr>
          <w:rtl w:val="0"/>
        </w:rPr>
        <w:t xml:space="preserve">9. FUTURE PREDICTIONS (WITH CLEAR LABELING)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 structure: A. Decisions on hold/planned; B. SEC‑Crypto predictions; C. Future steps based on influencers; D. What could change predictions.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Decisions on Hold or Planned (list) - [EXPLICITLY STATED] Staff to consider conditional exemptive relief / “innovation exemption” for on‑chain products. Confidence: High. Meetings: Tokenization (may_12_2025.txt), DeFi (june_9_2025.txt). Evidence: Chair Atkins explicit staff directive. (FACT) - [EXPLICITLY STATED] Rescission of SAB 121 referenced as completed step; Staff Accounting Bulletin No. 122 rescinds SAB 121. Confidence: High. Meetings: Tokenization. Evidence: RAG search (SAB 122) and meeting record. (FACT + RAG) - [STRONGLY INFERRED] SEC staff will publish targeted custody supervisory expectations (acceptable evidence of control: audits, SOC reports, key‑ceremony attestations). Confidence: High. Basis: Custody roundtable consensus and industry asks; staff repeatedly asked for evidence. (ANALYSIS) - [STRONGLY INFERRED] SEC staff will solicit pilot proposals &amp; may run time‑limited experiments with exchanges/issuers using conditional exemptive relief. Confidence: High. Basis: Chair’s directive + repeated panel calls for pilots. (ANALYSIS) - [SPECULATIVE] SEC will propose rulemaking to codify a technology‑neutral “qualified custodian” definition that expands formal QC recognition to state trust charters under specified conditions. Confidence: Medium. Basis: custody meeting advocacy and Chair’s willingness to explore rule changes; legislative or interagency constraints could alter path. (INFERENCE)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SEC‑Crypto Future Predictions (label &amp; probability ranges) - [STRONGLY INFERRED] Probability ~70–85%: Near‑term staff guidance on custody evidence and supervisory priorities will be released within 6–12 months. Confidence: High. Basis: repeated custody meeting emphasis and industry readiness. (ANALYSIS) - [STRONGLY INFERRED] Probability ~60–80%: The SEC will authorize at least one time‑limited, conditional exemptive pilot (on‑chain tokenized security or transfer agent pilot). Confidence: Medium‑High. Basis: Chair’s directive + industry requests. (ANALYSIS) - [STRONGLY INFERRED] Probability ~50–70%: Regulators will publish a consolidated data reporting request / pilot to improve on‑chain/off‑chain surveillance; could begin as staff data‑sharing exercises. Confidence: Medium. Basis: Trading &amp; Tokenization calls for surveillance. (ANALYSIS) - [SPECULATIVE] Probability ~20–40%: The SEC will issue a new doctrinal test supplanting Howey (e.g., a statutory reinterpretation or bright‑line control threshold). Confidence: Low. Basis: doctrinal debates strong but statutory change or definitive courts required. (INFERENCE) - [SPECULATIVE] Probability ~10–30%: Congress enacts SIPA‑style insolvency protections extended to certain token classes in the next 1–3 years. Confidence: Low. Basis: legislative inertia and interagency tradeoffs. (INFERENCE)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Future Steps / Decisions Based on Influencers (label + evidence) - [EXPLICITLY STATED] Chair Atkins → staff directive to explore innovation exemption/pilots (Tokenization &amp; DeFi). Likely outcome: staff RFI or pilot program design. Confidence: High. (FACT) - [STRONGLY INFERRED] DTCC / post‑trade incumbents (Sabella) + large asset managers (BlackRock, Franklin Templeton) → accelerate operational pilots demonstrating settlement/netting models acceptable to regulators. Confidence: Medium‑High. Evidence: Tokenization meeting operational examples and DTCC experiments. (ANALYSIS) - [STRONGLY INFERRED] Custody infrastructure leaders (Fireblocks, Anchorage) → will be asked to provide audit templates and exam‑readiness packages; those firms’ proposals will heavily influence supervisory expectations. Confidence: High. Evidence: Custody meeting focus on audits, key ceremonies. (ANALYSIS) - [SPECULATIVE] Influential Commissioners favoring tech‑neutral sandboxes (Peirce, Uyeda incl.) → may push for less restrictive pilot parameters, which could increase industry participation. Confidence: Medium. (INFERENCE)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What Could Change These Predictions - Litigation outcomes altering Howey jurisprudence or a major appellate court reversal/clarification. (FACT/INFERENCE) - Congressional action (statutory fixes around custody/SIPA, jurisdictional allocation) that supersedes staff actions. (FACT/INFERENCE) - Inter‑agency conflict or cooperation outcomes (CFTC/Treasury/FinCEN positions) affecting regulatory assignment. (FACT) - Geopolitical or market shocks (major protocol failure, new systemic stablecoin collapse) that force accelerated rulemaking. (INFERENCE)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leyi3p1xzfq" w:id="10"/>
    <w:bookmarkEnd w:id="10"/>
    <w:p w:rsidR="00000000" w:rsidDel="00000000" w:rsidP="00000000" w:rsidRDefault="00000000" w:rsidRPr="00000000" w14:paraId="00000088">
      <w:pPr>
        <w:pStyle w:val="Heading2"/>
        <w:rPr>
          <w:highlight w:val="green"/>
        </w:rPr>
      </w:pPr>
      <w:r w:rsidDel="00000000" w:rsidR="00000000" w:rsidRPr="00000000">
        <w:rPr>
          <w:highlight w:val="green"/>
          <w:rtl w:val="0"/>
        </w:rPr>
        <w:t xml:space="preserve">10. SOURCES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Primary meeting reports analyzed (files) - SEC_Meeting_Report_how-we-got-here-how-we-get-out-defining-security-s.txt (transcript: march_21_2025.txt) - SEC_Meeting_Report_between-block-hard-place-tailoring-regulation-cryp.txt (transcript: april_11_2025.txt) - SEC_Meeting_Report_know-your-custodian-key-considerations-crypto-cust.txt (transcript: april_28_2025.txt) - SEC_Meeting_Report_tokenization-moving-assets-onchain-where-tradfi-de.txt (transcript: may_12_2025.txt) - SEC_Meeting_Report_defi-american-spirit.txt (transcript: june_9_2025.txt)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 / web sources cited - SEC Staff Accounting Bulletin No. 122 — rescission of Staff Accounting Bulletin No. 121 (SAB 122): https://www.sec.gov/rules-regulations/staff-guidance/staff-accounting-bulletins/staff-accounting-bulletin-122 (RAG search result referenced during Tokenization meeting). (FACT)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Additional context sources referenced in meeting reports (RAG) - EtherDelta / Coburn enforcement order — cited in DeFi meeting and enforcement discussions (see SEC enforcement releases and staff speeches). (FACT) - SEC speeches/statements by Commissioners (e.g., Peirce) referenced across meetings (RAG search results included in meeting reports). (FACT)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Caveat on sourcing - All direct meeting quotations and meeting‑specific facts are drawn from the supplied meeting report text / transcripts listed above. External RAG citations were used only to corroborate regulatory actions explicitly referenced in meetings (e.g., SAB 122 rescind). Items flagged INFERENCE are analyst forecasts based on cross‑meeting patterns and influence indicators.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Appendix: Influence tier table (simple list for client dashboards) | Tier | Names (representative) | |—|—| | High | Chairman Atkins; Acting Chair Mark Uyeda | | Medium | Nicholas Losurdo; Christian Sabella (DTCC); Jason Allegrante; Rachel Anderica | | Low | Chris Brummer; Miles (a16z counsel); John Reed Stark; Katherine Minarik; panel academics/practitioners |</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would like, next steps I can perform (pick one or more): - Produce an executive one‑page slide (markdown‑to‑slide) summarizing the 5‑point action plan for in‑house counsel and product teams. (EVIDENCE) - Generate a prioritized response checklist for Custody teams (document templates for audits, contracts, proof‑of‑control) mapped to likely supervisory expectations. (EVIDENCE) - Extract a CSV of speaker turns and topic tags from transcripts (quantitative speaker engagement matrix). (ANALYSIS)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want any item above expanded (e.g., complete speaker list with meeting‑by‑meeting quotes, or draft suggested language for a conditional exemptive relief pilot), tell me which and I will prepare it and include exact supporting citations from the transcripts.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4"/>
      <w:numFmt w:val="decimal"/>
      <w:lvlText w:val="%1)"/>
      <w:lvlJc w:val="left"/>
      <w:pPr>
        <w:ind w:left="720" w:hanging="480"/>
      </w:pPr>
      <w:rPr/>
    </w:lvl>
    <w:lvl w:ilvl="1">
      <w:start w:val="4"/>
      <w:numFmt w:val="decimal"/>
      <w:lvlText w:val="%2)"/>
      <w:lvlJc w:val="left"/>
      <w:pPr>
        <w:ind w:left="1440" w:hanging="480"/>
      </w:pPr>
      <w:rPr/>
    </w:lvl>
    <w:lvl w:ilvl="2">
      <w:start w:val="4"/>
      <w:numFmt w:val="decimal"/>
      <w:lvlText w:val="%3)"/>
      <w:lvlJc w:val="left"/>
      <w:pPr>
        <w:ind w:left="2160" w:hanging="480"/>
      </w:pPr>
      <w:rPr/>
    </w:lvl>
    <w:lvl w:ilvl="3">
      <w:start w:val="4"/>
      <w:numFmt w:val="decimal"/>
      <w:lvlText w:val="%4)"/>
      <w:lvlJc w:val="left"/>
      <w:pPr>
        <w:ind w:left="2880" w:hanging="480"/>
      </w:pPr>
      <w:rPr/>
    </w:lvl>
    <w:lvl w:ilvl="4">
      <w:start w:val="4"/>
      <w:numFmt w:val="decimal"/>
      <w:lvlText w:val="%5)"/>
      <w:lvlJc w:val="left"/>
      <w:pPr>
        <w:ind w:left="3600" w:hanging="480"/>
      </w:pPr>
      <w:rPr/>
    </w:lvl>
    <w:lvl w:ilvl="5">
      <w:start w:val="4"/>
      <w:numFmt w:val="decimal"/>
      <w:lvlText w:val="%6)"/>
      <w:lvlJc w:val="left"/>
      <w:pPr>
        <w:ind w:left="4320" w:hanging="480"/>
      </w:pPr>
      <w:rPr/>
    </w:lvl>
    <w:lvl w:ilvl="6">
      <w:start w:val="4"/>
      <w:numFmt w:val="decimal"/>
      <w:lvlText w:val="%7)"/>
      <w:lvlJc w:val="left"/>
      <w:pPr>
        <w:ind w:left="5040" w:hanging="480"/>
      </w:pPr>
      <w:rPr/>
    </w:lvl>
    <w:lvl w:ilvl="7">
      <w:start w:val="4"/>
      <w:numFmt w:val="decimal"/>
      <w:lvlText w:val="%8)"/>
      <w:lvlJc w:val="left"/>
      <w:pPr>
        <w:ind w:left="5760" w:hanging="480"/>
      </w:pPr>
      <w:rPr/>
    </w:lvl>
    <w:lvl w:ilvl="8">
      <w:start w:val="4"/>
      <w:numFmt w:val="decimal"/>
      <w:lvlText w:val="%9)"/>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5"/>
      <w:numFmt w:val="decimal"/>
      <w:lvlText w:val="%1)"/>
      <w:lvlJc w:val="left"/>
      <w:pPr>
        <w:ind w:left="720" w:hanging="480"/>
      </w:pPr>
      <w:rPr/>
    </w:lvl>
    <w:lvl w:ilvl="1">
      <w:start w:val="5"/>
      <w:numFmt w:val="decimal"/>
      <w:lvlText w:val="%2)"/>
      <w:lvlJc w:val="left"/>
      <w:pPr>
        <w:ind w:left="1440" w:hanging="480"/>
      </w:pPr>
      <w:rPr/>
    </w:lvl>
    <w:lvl w:ilvl="2">
      <w:start w:val="5"/>
      <w:numFmt w:val="decimal"/>
      <w:lvlText w:val="%3)"/>
      <w:lvlJc w:val="left"/>
      <w:pPr>
        <w:ind w:left="2160" w:hanging="480"/>
      </w:pPr>
      <w:rPr/>
    </w:lvl>
    <w:lvl w:ilvl="3">
      <w:start w:val="5"/>
      <w:numFmt w:val="decimal"/>
      <w:lvlText w:val="%4)"/>
      <w:lvlJc w:val="left"/>
      <w:pPr>
        <w:ind w:left="2880" w:hanging="480"/>
      </w:pPr>
      <w:rPr/>
    </w:lvl>
    <w:lvl w:ilvl="4">
      <w:start w:val="5"/>
      <w:numFmt w:val="decimal"/>
      <w:lvlText w:val="%5)"/>
      <w:lvlJc w:val="left"/>
      <w:pPr>
        <w:ind w:left="3600" w:hanging="480"/>
      </w:pPr>
      <w:rPr/>
    </w:lvl>
    <w:lvl w:ilvl="5">
      <w:start w:val="5"/>
      <w:numFmt w:val="decimal"/>
      <w:lvlText w:val="%6)"/>
      <w:lvlJc w:val="left"/>
      <w:pPr>
        <w:ind w:left="4320" w:hanging="480"/>
      </w:pPr>
      <w:rPr/>
    </w:lvl>
    <w:lvl w:ilvl="6">
      <w:start w:val="5"/>
      <w:numFmt w:val="decimal"/>
      <w:lvlText w:val="%7)"/>
      <w:lvlJc w:val="left"/>
      <w:pPr>
        <w:ind w:left="5040" w:hanging="480"/>
      </w:pPr>
      <w:rPr/>
    </w:lvl>
    <w:lvl w:ilvl="7">
      <w:start w:val="5"/>
      <w:numFmt w:val="decimal"/>
      <w:lvlText w:val="%8)"/>
      <w:lvlJc w:val="left"/>
      <w:pPr>
        <w:ind w:left="5760" w:hanging="480"/>
      </w:pPr>
      <w:rPr/>
    </w:lvl>
    <w:lvl w:ilvl="8">
      <w:start w:val="5"/>
      <w:numFmt w:val="decimal"/>
      <w:lvlText w:val="%9)"/>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6"/>
      <w:numFmt w:val="decimal"/>
      <w:lvlText w:val="%1)"/>
      <w:lvlJc w:val="left"/>
      <w:pPr>
        <w:ind w:left="720" w:hanging="480"/>
      </w:pPr>
      <w:rPr/>
    </w:lvl>
    <w:lvl w:ilvl="1">
      <w:start w:val="6"/>
      <w:numFmt w:val="decimal"/>
      <w:lvlText w:val="%2)"/>
      <w:lvlJc w:val="left"/>
      <w:pPr>
        <w:ind w:left="1440" w:hanging="480"/>
      </w:pPr>
      <w:rPr/>
    </w:lvl>
    <w:lvl w:ilvl="2">
      <w:start w:val="6"/>
      <w:numFmt w:val="decimal"/>
      <w:lvlText w:val="%3)"/>
      <w:lvlJc w:val="left"/>
      <w:pPr>
        <w:ind w:left="2160" w:hanging="480"/>
      </w:pPr>
      <w:rPr/>
    </w:lvl>
    <w:lvl w:ilvl="3">
      <w:start w:val="6"/>
      <w:numFmt w:val="decimal"/>
      <w:lvlText w:val="%4)"/>
      <w:lvlJc w:val="left"/>
      <w:pPr>
        <w:ind w:left="2880" w:hanging="480"/>
      </w:pPr>
      <w:rPr/>
    </w:lvl>
    <w:lvl w:ilvl="4">
      <w:start w:val="6"/>
      <w:numFmt w:val="decimal"/>
      <w:lvlText w:val="%5)"/>
      <w:lvlJc w:val="left"/>
      <w:pPr>
        <w:ind w:left="3600" w:hanging="480"/>
      </w:pPr>
      <w:rPr/>
    </w:lvl>
    <w:lvl w:ilvl="5">
      <w:start w:val="6"/>
      <w:numFmt w:val="decimal"/>
      <w:lvlText w:val="%6)"/>
      <w:lvlJc w:val="left"/>
      <w:pPr>
        <w:ind w:left="4320" w:hanging="480"/>
      </w:pPr>
      <w:rPr/>
    </w:lvl>
    <w:lvl w:ilvl="6">
      <w:start w:val="6"/>
      <w:numFmt w:val="decimal"/>
      <w:lvlText w:val="%7)"/>
      <w:lvlJc w:val="left"/>
      <w:pPr>
        <w:ind w:left="5040" w:hanging="480"/>
      </w:pPr>
      <w:rPr/>
    </w:lvl>
    <w:lvl w:ilvl="7">
      <w:start w:val="6"/>
      <w:numFmt w:val="decimal"/>
      <w:lvlText w:val="%8)"/>
      <w:lvlJc w:val="left"/>
      <w:pPr>
        <w:ind w:left="5760" w:hanging="480"/>
      </w:pPr>
      <w:rPr/>
    </w:lvl>
    <w:lvl w:ilvl="8">
      <w:start w:val="6"/>
      <w:numFmt w:val="decimal"/>
      <w:lvlText w:val="%9)"/>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7"/>
      <w:numFmt w:val="decimal"/>
      <w:lvlText w:val="%1)"/>
      <w:lvlJc w:val="left"/>
      <w:pPr>
        <w:ind w:left="720" w:hanging="480"/>
      </w:pPr>
      <w:rPr/>
    </w:lvl>
    <w:lvl w:ilvl="1">
      <w:start w:val="7"/>
      <w:numFmt w:val="decimal"/>
      <w:lvlText w:val="%2)"/>
      <w:lvlJc w:val="left"/>
      <w:pPr>
        <w:ind w:left="1440" w:hanging="480"/>
      </w:pPr>
      <w:rPr/>
    </w:lvl>
    <w:lvl w:ilvl="2">
      <w:start w:val="7"/>
      <w:numFmt w:val="decimal"/>
      <w:lvlText w:val="%3)"/>
      <w:lvlJc w:val="left"/>
      <w:pPr>
        <w:ind w:left="2160" w:hanging="480"/>
      </w:pPr>
      <w:rPr/>
    </w:lvl>
    <w:lvl w:ilvl="3">
      <w:start w:val="7"/>
      <w:numFmt w:val="decimal"/>
      <w:lvlText w:val="%4)"/>
      <w:lvlJc w:val="left"/>
      <w:pPr>
        <w:ind w:left="2880" w:hanging="480"/>
      </w:pPr>
      <w:rPr/>
    </w:lvl>
    <w:lvl w:ilvl="4">
      <w:start w:val="7"/>
      <w:numFmt w:val="decimal"/>
      <w:lvlText w:val="%5)"/>
      <w:lvlJc w:val="left"/>
      <w:pPr>
        <w:ind w:left="3600" w:hanging="480"/>
      </w:pPr>
      <w:rPr/>
    </w:lvl>
    <w:lvl w:ilvl="5">
      <w:start w:val="7"/>
      <w:numFmt w:val="decimal"/>
      <w:lvlText w:val="%6)"/>
      <w:lvlJc w:val="left"/>
      <w:pPr>
        <w:ind w:left="4320" w:hanging="480"/>
      </w:pPr>
      <w:rPr/>
    </w:lvl>
    <w:lvl w:ilvl="6">
      <w:start w:val="7"/>
      <w:numFmt w:val="decimal"/>
      <w:lvlText w:val="%7)"/>
      <w:lvlJc w:val="left"/>
      <w:pPr>
        <w:ind w:left="5040" w:hanging="480"/>
      </w:pPr>
      <w:rPr/>
    </w:lvl>
    <w:lvl w:ilvl="7">
      <w:start w:val="7"/>
      <w:numFmt w:val="decimal"/>
      <w:lvlText w:val="%8)"/>
      <w:lvlJc w:val="left"/>
      <w:pPr>
        <w:ind w:left="5760" w:hanging="480"/>
      </w:pPr>
      <w:rPr/>
    </w:lvl>
    <w:lvl w:ilvl="8">
      <w:start w:val="7"/>
      <w:numFmt w:val="decimal"/>
      <w:lvlText w:val="%9)"/>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8"/>
      <w:numFmt w:val="decimal"/>
      <w:lvlText w:val="%1)"/>
      <w:lvlJc w:val="left"/>
      <w:pPr>
        <w:ind w:left="720" w:hanging="480"/>
      </w:pPr>
      <w:rPr/>
    </w:lvl>
    <w:lvl w:ilvl="1">
      <w:start w:val="8"/>
      <w:numFmt w:val="decimal"/>
      <w:lvlText w:val="%2)"/>
      <w:lvlJc w:val="left"/>
      <w:pPr>
        <w:ind w:left="1440" w:hanging="480"/>
      </w:pPr>
      <w:rPr/>
    </w:lvl>
    <w:lvl w:ilvl="2">
      <w:start w:val="8"/>
      <w:numFmt w:val="decimal"/>
      <w:lvlText w:val="%3)"/>
      <w:lvlJc w:val="left"/>
      <w:pPr>
        <w:ind w:left="2160" w:hanging="480"/>
      </w:pPr>
      <w:rPr/>
    </w:lvl>
    <w:lvl w:ilvl="3">
      <w:start w:val="8"/>
      <w:numFmt w:val="decimal"/>
      <w:lvlText w:val="%4)"/>
      <w:lvlJc w:val="left"/>
      <w:pPr>
        <w:ind w:left="2880" w:hanging="480"/>
      </w:pPr>
      <w:rPr/>
    </w:lvl>
    <w:lvl w:ilvl="4">
      <w:start w:val="8"/>
      <w:numFmt w:val="decimal"/>
      <w:lvlText w:val="%5)"/>
      <w:lvlJc w:val="left"/>
      <w:pPr>
        <w:ind w:left="3600" w:hanging="480"/>
      </w:pPr>
      <w:rPr/>
    </w:lvl>
    <w:lvl w:ilvl="5">
      <w:start w:val="8"/>
      <w:numFmt w:val="decimal"/>
      <w:lvlText w:val="%6)"/>
      <w:lvlJc w:val="left"/>
      <w:pPr>
        <w:ind w:left="4320" w:hanging="480"/>
      </w:pPr>
      <w:rPr/>
    </w:lvl>
    <w:lvl w:ilvl="6">
      <w:start w:val="8"/>
      <w:numFmt w:val="decimal"/>
      <w:lvlText w:val="%7)"/>
      <w:lvlJc w:val="left"/>
      <w:pPr>
        <w:ind w:left="5040" w:hanging="480"/>
      </w:pPr>
      <w:rPr/>
    </w:lvl>
    <w:lvl w:ilvl="7">
      <w:start w:val="8"/>
      <w:numFmt w:val="decimal"/>
      <w:lvlText w:val="%8)"/>
      <w:lvlJc w:val="left"/>
      <w:pPr>
        <w:ind w:left="5760" w:hanging="480"/>
      </w:pPr>
      <w:rPr/>
    </w:lvl>
    <w:lvl w:ilvl="8">
      <w:start w:val="8"/>
      <w:numFmt w:val="decimal"/>
      <w:lvlText w:val="%9)"/>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2"/>
      <w:numFmt w:val="decimal"/>
      <w:lvlText w:val="%1)"/>
      <w:lvlJc w:val="left"/>
      <w:pPr>
        <w:ind w:left="720" w:hanging="480"/>
      </w:pPr>
      <w:rPr/>
    </w:lvl>
    <w:lvl w:ilvl="1">
      <w:start w:val="2"/>
      <w:numFmt w:val="decimal"/>
      <w:lvlText w:val="%2)"/>
      <w:lvlJc w:val="left"/>
      <w:pPr>
        <w:ind w:left="1440" w:hanging="480"/>
      </w:pPr>
      <w:rPr/>
    </w:lvl>
    <w:lvl w:ilvl="2">
      <w:start w:val="2"/>
      <w:numFmt w:val="decimal"/>
      <w:lvlText w:val="%3)"/>
      <w:lvlJc w:val="left"/>
      <w:pPr>
        <w:ind w:left="2160" w:hanging="480"/>
      </w:pPr>
      <w:rPr/>
    </w:lvl>
    <w:lvl w:ilvl="3">
      <w:start w:val="2"/>
      <w:numFmt w:val="decimal"/>
      <w:lvlText w:val="%4)"/>
      <w:lvlJc w:val="left"/>
      <w:pPr>
        <w:ind w:left="2880" w:hanging="480"/>
      </w:pPr>
      <w:rPr/>
    </w:lvl>
    <w:lvl w:ilvl="4">
      <w:start w:val="2"/>
      <w:numFmt w:val="decimal"/>
      <w:lvlText w:val="%5)"/>
      <w:lvlJc w:val="left"/>
      <w:pPr>
        <w:ind w:left="3600" w:hanging="480"/>
      </w:pPr>
      <w:rPr/>
    </w:lvl>
    <w:lvl w:ilvl="5">
      <w:start w:val="2"/>
      <w:numFmt w:val="decimal"/>
      <w:lvlText w:val="%6)"/>
      <w:lvlJc w:val="left"/>
      <w:pPr>
        <w:ind w:left="4320" w:hanging="480"/>
      </w:pPr>
      <w:rPr/>
    </w:lvl>
    <w:lvl w:ilvl="6">
      <w:start w:val="2"/>
      <w:numFmt w:val="decimal"/>
      <w:lvlText w:val="%7)"/>
      <w:lvlJc w:val="left"/>
      <w:pPr>
        <w:ind w:left="5040" w:hanging="480"/>
      </w:pPr>
      <w:rPr/>
    </w:lvl>
    <w:lvl w:ilvl="7">
      <w:start w:val="2"/>
      <w:numFmt w:val="decimal"/>
      <w:lvlText w:val="%8)"/>
      <w:lvlJc w:val="left"/>
      <w:pPr>
        <w:ind w:left="5760" w:hanging="480"/>
      </w:pPr>
      <w:rPr/>
    </w:lvl>
    <w:lvl w:ilvl="8">
      <w:start w:val="2"/>
      <w:numFmt w:val="decimal"/>
      <w:lvlText w:val="%9)"/>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3"/>
      <w:numFmt w:val="decimal"/>
      <w:lvlText w:val="%1)"/>
      <w:lvlJc w:val="left"/>
      <w:pPr>
        <w:ind w:left="720" w:hanging="480"/>
      </w:pPr>
      <w:rPr/>
    </w:lvl>
    <w:lvl w:ilvl="1">
      <w:start w:val="3"/>
      <w:numFmt w:val="decimal"/>
      <w:lvlText w:val="%2)"/>
      <w:lvlJc w:val="left"/>
      <w:pPr>
        <w:ind w:left="1440" w:hanging="480"/>
      </w:pPr>
      <w:rPr/>
    </w:lvl>
    <w:lvl w:ilvl="2">
      <w:start w:val="3"/>
      <w:numFmt w:val="decimal"/>
      <w:lvlText w:val="%3)"/>
      <w:lvlJc w:val="left"/>
      <w:pPr>
        <w:ind w:left="2160" w:hanging="480"/>
      </w:pPr>
      <w:rPr/>
    </w:lvl>
    <w:lvl w:ilvl="3">
      <w:start w:val="3"/>
      <w:numFmt w:val="decimal"/>
      <w:lvlText w:val="%4)"/>
      <w:lvlJc w:val="left"/>
      <w:pPr>
        <w:ind w:left="2880" w:hanging="480"/>
      </w:pPr>
      <w:rPr/>
    </w:lvl>
    <w:lvl w:ilvl="4">
      <w:start w:val="3"/>
      <w:numFmt w:val="decimal"/>
      <w:lvlText w:val="%5)"/>
      <w:lvlJc w:val="left"/>
      <w:pPr>
        <w:ind w:left="3600" w:hanging="480"/>
      </w:pPr>
      <w:rPr/>
    </w:lvl>
    <w:lvl w:ilvl="5">
      <w:start w:val="3"/>
      <w:numFmt w:val="decimal"/>
      <w:lvlText w:val="%6)"/>
      <w:lvlJc w:val="left"/>
      <w:pPr>
        <w:ind w:left="4320" w:hanging="480"/>
      </w:pPr>
      <w:rPr/>
    </w:lvl>
    <w:lvl w:ilvl="6">
      <w:start w:val="3"/>
      <w:numFmt w:val="decimal"/>
      <w:lvlText w:val="%7)"/>
      <w:lvlJc w:val="left"/>
      <w:pPr>
        <w:ind w:left="5040" w:hanging="480"/>
      </w:pPr>
      <w:rPr/>
    </w:lvl>
    <w:lvl w:ilvl="7">
      <w:start w:val="3"/>
      <w:numFmt w:val="decimal"/>
      <w:lvlText w:val="%8)"/>
      <w:lvlJc w:val="left"/>
      <w:pPr>
        <w:ind w:left="5760" w:hanging="480"/>
      </w:pPr>
      <w:rPr/>
    </w:lvl>
    <w:lvl w:ilvl="8">
      <w:start w:val="3"/>
      <w:numFmt w:val="decimal"/>
      <w:lvlText w:val="%9)"/>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 Text"/>
    <w:next w:val="Footnote 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1yzKejOEGrEjat8Pww080gLMOQ==">CgMxLjAyD2lkLm1zajBudHVteTkxcDIPaWQuZ3Y2NTJhODJqMGNlMg9pZC5oNzZjdmx6YTUwYjAyDmlkLjdvbm5qNXFkbXJsMg9pZC43ZzZrMmp3YTdsdzAyD2lkLjI4eW04c3o0ZWI4bDIPaWQucjYwdDc3YTB4eTU4Mg9pZC5hczRueGN1cHg3cWMyD2lkLnA0NnR1eGNpdXB3ajIPaWQuY2w3MHgybGlqYTNjMg9pZC5ibGV5aTNwMXh6ZnE4AHIhMUJWTzQ4UVVtdEFHanFzRU80d2t6RTJfb2pKLVJiTF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2025-12-22T17:49:46Z</dcterms:created>
</cp:coreProperties>
</file>

<file path=docProps/custom.xml><?xml version="1.0" encoding="utf-8"?>
<Properties xmlns="http://schemas.openxmlformats.org/officeDocument/2006/custom-properties" xmlns:vt="http://schemas.openxmlformats.org/officeDocument/2006/docPropsVTypes"/>
</file>