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SEC Crypto Regulatory Intelligence</w:t>
      </w:r>
    </w:p>
    <w:p w:rsidR="00000000" w:rsidDel="00000000" w:rsidP="00000000" w:rsidRDefault="00000000" w:rsidRPr="00000000" w14:paraId="00000002">
      <w:pPr>
        <w:spacing w:after="120" w:lineRule="auto"/>
        <w:jc w:val="center"/>
        <w:rPr/>
      </w:pPr>
      <w:r w:rsidDel="00000000" w:rsidR="00000000" w:rsidRPr="00000000">
        <w:rPr>
          <w:color w:val="4a5568"/>
          <w:sz w:val="28"/>
          <w:szCs w:val="28"/>
          <w:rtl w:val="0"/>
        </w:rPr>
        <w:t xml:space="preserve">Data Collection &amp; Analysis Methodology</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color w:val="718096"/>
          <w:sz w:val="24"/>
          <w:szCs w:val="24"/>
          <w:rtl w:val="0"/>
        </w:rPr>
        <w:t xml:space="preserve">10 Strategic Use Cases for Regulatory Research</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Executive Summary</w:t>
      </w:r>
    </w:p>
    <w:p w:rsidR="00000000" w:rsidDel="00000000" w:rsidP="00000000" w:rsidRDefault="00000000" w:rsidRPr="00000000" w14:paraId="00000005">
      <w:pPr>
        <w:spacing w:after="120" w:line="276" w:lineRule="auto"/>
        <w:rPr/>
      </w:pPr>
      <w:r w:rsidDel="00000000" w:rsidR="00000000" w:rsidRPr="00000000">
        <w:rPr>
          <w:sz w:val="22"/>
          <w:szCs w:val="22"/>
          <w:rtl w:val="0"/>
        </w:rPr>
        <w:t xml:space="preserve">This document provides comprehensive methodologies for ten strategic use cases designed to leverage SEC crypto regulatory data. Each use case includes detailed data collection strategies, analysis frameworks, deliverable specifications, and implementation guidance. The methodologies build upon existing roundtable analysis and stakeholder categorization work to create actionable intelligence products.</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Use Case 1: Regulatory Influence Network Analysis</w:t>
      </w:r>
    </w:p>
    <w:p w:rsidR="00000000" w:rsidDel="00000000" w:rsidP="00000000" w:rsidRDefault="00000000" w:rsidRPr="00000000" w14:paraId="00000008">
      <w:pPr>
        <w:pStyle w:val="Heading2"/>
        <w:rPr/>
      </w:pPr>
      <w:r w:rsidDel="00000000" w:rsidR="00000000" w:rsidRPr="00000000">
        <w:rPr>
          <w:rtl w:val="0"/>
        </w:rPr>
        <w:t xml:space="preserve">Objective</w:t>
      </w:r>
    </w:p>
    <w:p w:rsidR="00000000" w:rsidDel="00000000" w:rsidP="00000000" w:rsidRDefault="00000000" w:rsidRPr="00000000" w14:paraId="00000009">
      <w:pPr>
        <w:spacing w:after="120" w:line="276" w:lineRule="auto"/>
        <w:rPr/>
      </w:pPr>
      <w:r w:rsidDel="00000000" w:rsidR="00000000" w:rsidRPr="00000000">
        <w:rPr>
          <w:sz w:val="22"/>
          <w:szCs w:val="22"/>
          <w:rtl w:val="0"/>
        </w:rPr>
        <w:t xml:space="preserve">Map relationships between roundtable participants, their written submissions, and subsequent SEC policy shifts to identify which voices actually shape regulatory outcomes versus those that participate without measurable influence.</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Data Collection Strategy</w:t>
      </w:r>
    </w:p>
    <w:p w:rsidR="00000000" w:rsidDel="00000000" w:rsidP="00000000" w:rsidRDefault="00000000" w:rsidRPr="00000000" w14:paraId="0000000B">
      <w:pPr>
        <w:pStyle w:val="Heading3"/>
        <w:rPr/>
      </w:pPr>
      <w:r w:rsidDel="00000000" w:rsidR="00000000" w:rsidRPr="00000000">
        <w:rPr>
          <w:rtl w:val="0"/>
        </w:rPr>
        <w:t xml:space="preserve">Primary Data Sources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Crypto Task Force roundtable transcripts (all sessions from 2025)</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written submission database (comments.sec.gov)</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rulemaking files and comment letters on crypto-related proposals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No-action letter requests and responses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commissioner speeches and public statements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enforcement action announcements and settlements</w:t>
      </w:r>
    </w:p>
    <w:p w:rsidR="00000000" w:rsidDel="00000000" w:rsidP="00000000" w:rsidRDefault="00000000" w:rsidRPr="00000000" w14:paraId="00000012">
      <w:pPr>
        <w:pStyle w:val="Heading3"/>
        <w:rPr/>
      </w:pPr>
      <w:r w:rsidDel="00000000" w:rsidR="00000000" w:rsidRPr="00000000">
        <w:rPr>
          <w:rtl w:val="0"/>
        </w:rPr>
        <w:t xml:space="preserve">Collection Methods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Roundtable Participant Extraction: Parse all roundtable transcripts to extract speaker names, organizational affiliations, and speaking time/frequency. Build upon existing 68+ stakeholder database.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Submission Harvesting: Use SEC EDGAR API and comments portal to pull all crypto-related submissions. Filter by participant names from roundtable database. Query format: site:sec.gov/comments [participant name] OR [organization name].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Document Timeline: Compile chronological list of all SEC crypto-related guidance, no-action letters, and rule proposals from 2023-present.</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Action Mapping: Catalog enforcement actions with dates, defendants, and legal theories employed.</w:t>
      </w:r>
    </w:p>
    <w:p w:rsidR="00000000" w:rsidDel="00000000" w:rsidP="00000000" w:rsidRDefault="00000000" w:rsidRPr="00000000" w14:paraId="00000017">
      <w:pPr>
        <w:pStyle w:val="Heading2"/>
        <w:rPr/>
      </w:pPr>
      <w:r w:rsidDel="00000000" w:rsidR="00000000" w:rsidRPr="00000000">
        <w:rPr>
          <w:rtl w:val="0"/>
        </w:rPr>
        <w:t xml:space="preserve">Analysis Framework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18">
            <w:pPr>
              <w:rPr/>
            </w:pPr>
            <w:r w:rsidDel="00000000" w:rsidR="00000000" w:rsidRPr="00000000">
              <w:rPr>
                <w:b w:val="1"/>
                <w:bCs w:val="1"/>
                <w:sz w:val="22"/>
                <w:szCs w:val="22"/>
                <w:rtl w:val="0"/>
              </w:rPr>
              <w:t xml:space="preserve">Analysis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19">
            <w:pPr>
              <w:rPr/>
            </w:pPr>
            <w:r w:rsidDel="00000000" w:rsidR="00000000" w:rsidRPr="00000000">
              <w:rPr>
                <w:b w:val="1"/>
                <w:bCs w:val="1"/>
                <w:sz w:val="22"/>
                <w:szCs w:val="22"/>
                <w:rtl w:val="0"/>
              </w:rPr>
              <w:t xml:space="preserve">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1A">
            <w:pPr>
              <w:rPr/>
            </w:pPr>
            <w:r w:rsidDel="00000000" w:rsidR="00000000" w:rsidRPr="00000000">
              <w:rPr>
                <w:b w:val="1"/>
                <w:bCs w:val="1"/>
                <w:sz w:val="22"/>
                <w:szCs w:val="22"/>
                <w:rtl w:val="0"/>
              </w:rPr>
              <w:t xml:space="preserve">Output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rPr/>
            </w:pPr>
            <w:r w:rsidDel="00000000" w:rsidR="00000000" w:rsidRPr="00000000">
              <w:rPr>
                <w:b w:val="0"/>
                <w:bCs w:val="0"/>
                <w:sz w:val="20"/>
                <w:szCs w:val="20"/>
                <w:rtl w:val="0"/>
              </w:rPr>
              <w:t xml:space="preserve">Participation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rPr/>
            </w:pPr>
            <w:r w:rsidDel="00000000" w:rsidR="00000000" w:rsidRPr="00000000">
              <w:rPr>
                <w:b w:val="0"/>
                <w:bCs w:val="0"/>
                <w:sz w:val="20"/>
                <w:szCs w:val="20"/>
                <w:rtl w:val="0"/>
              </w:rPr>
              <w:t xml:space="preserve">Count appearances across roundtables, submissions, meetings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rPr/>
            </w:pPr>
            <w:r w:rsidDel="00000000" w:rsidR="00000000" w:rsidRPr="00000000">
              <w:rPr>
                <w:b w:val="0"/>
                <w:bCs w:val="0"/>
                <w:sz w:val="20"/>
                <w:szCs w:val="20"/>
                <w:rtl w:val="0"/>
              </w:rPr>
              <w:t xml:space="preserve">Engagement score (1-10)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rPr/>
            </w:pPr>
            <w:r w:rsidDel="00000000" w:rsidR="00000000" w:rsidRPr="00000000">
              <w:rPr>
                <w:b w:val="0"/>
                <w:bCs w:val="0"/>
                <w:sz w:val="20"/>
                <w:szCs w:val="20"/>
                <w:rtl w:val="0"/>
              </w:rPr>
              <w:t xml:space="preserve">Argument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rPr/>
            </w:pPr>
            <w:r w:rsidDel="00000000" w:rsidR="00000000" w:rsidRPr="00000000">
              <w:rPr>
                <w:b w:val="0"/>
                <w:bCs w:val="0"/>
                <w:sz w:val="20"/>
                <w:szCs w:val="20"/>
                <w:rtl w:val="0"/>
              </w:rPr>
              <w:t xml:space="preserve">Text similarity analysis between submissions and final guidance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rPr/>
            </w:pPr>
            <w:r w:rsidDel="00000000" w:rsidR="00000000" w:rsidRPr="00000000">
              <w:rPr>
                <w:b w:val="0"/>
                <w:bCs w:val="0"/>
                <w:sz w:val="20"/>
                <w:szCs w:val="20"/>
                <w:rtl w:val="0"/>
              </w:rPr>
              <w:t xml:space="preserve">Influence coefficient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rPr/>
            </w:pPr>
            <w:r w:rsidDel="00000000" w:rsidR="00000000" w:rsidRPr="00000000">
              <w:rPr>
                <w:b w:val="0"/>
                <w:bCs w:val="0"/>
                <w:sz w:val="20"/>
                <w:szCs w:val="20"/>
                <w:rtl w:val="0"/>
              </w:rPr>
              <w:t xml:space="preserve">Network Centrality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rPr/>
            </w:pPr>
            <w:r w:rsidDel="00000000" w:rsidR="00000000" w:rsidRPr="00000000">
              <w:rPr>
                <w:b w:val="0"/>
                <w:bCs w:val="0"/>
                <w:sz w:val="20"/>
                <w:szCs w:val="20"/>
                <w:rtl w:val="0"/>
              </w:rPr>
              <w:t xml:space="preserve">Map co-signatories, shared counsel, organizational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rPr/>
            </w:pPr>
            <w:r w:rsidDel="00000000" w:rsidR="00000000" w:rsidRPr="00000000">
              <w:rPr>
                <w:b w:val="0"/>
                <w:bCs w:val="0"/>
                <w:sz w:val="20"/>
                <w:szCs w:val="20"/>
                <w:rtl w:val="0"/>
              </w:rPr>
              <w:t xml:space="preserve">Network position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rPr/>
            </w:pPr>
            <w:r w:rsidDel="00000000" w:rsidR="00000000" w:rsidRPr="00000000">
              <w:rPr>
                <w:b w:val="0"/>
                <w:bCs w:val="0"/>
                <w:sz w:val="20"/>
                <w:szCs w:val="20"/>
                <w:rtl w:val="0"/>
              </w:rPr>
              <w:t xml:space="preserve">Temporal 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rPr/>
            </w:pPr>
            <w:r w:rsidDel="00000000" w:rsidR="00000000" w:rsidRPr="00000000">
              <w:rPr>
                <w:b w:val="0"/>
                <w:bCs w:val="0"/>
                <w:sz w:val="20"/>
                <w:szCs w:val="20"/>
                <w:rtl w:val="0"/>
              </w:rPr>
              <w:t xml:space="preserve">Measure lag between advocacy and policy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rPr/>
            </w:pPr>
            <w:r w:rsidDel="00000000" w:rsidR="00000000" w:rsidRPr="00000000">
              <w:rPr>
                <w:b w:val="0"/>
                <w:bCs w:val="0"/>
                <w:sz w:val="20"/>
                <w:szCs w:val="20"/>
                <w:rtl w:val="0"/>
              </w:rPr>
              <w:t xml:space="preserve">Response time (days)</w:t>
            </w:r>
            <w:r w:rsidDel="00000000" w:rsidR="00000000" w:rsidRPr="00000000">
              <w:rPr>
                <w:rtl w:val="0"/>
              </w:rPr>
            </w:r>
          </w:p>
        </w:tc>
      </w:tr>
    </w:tbl>
    <w:p w:rsidR="00000000" w:rsidDel="00000000" w:rsidP="00000000" w:rsidRDefault="00000000" w:rsidRPr="00000000" w14:paraId="00000027">
      <w:pPr>
        <w:pStyle w:val="Heading2"/>
        <w:rPr/>
      </w:pPr>
      <w:r w:rsidDel="00000000" w:rsidR="00000000" w:rsidRPr="00000000">
        <w:rPr>
          <w:rtl w:val="0"/>
        </w:rPr>
        <w:t xml:space="preserve">Deliverables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network graph showing participant relationships and influence pathways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Ranked influence scorecard by stakeholder and organization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studies of successful advocacy campaigns with replicable tactics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influence trend reports</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Use Case 2: Institutional Position Tracker</w:t>
      </w:r>
    </w:p>
    <w:p w:rsidR="00000000" w:rsidDel="00000000" w:rsidP="00000000" w:rsidRDefault="00000000" w:rsidRPr="00000000" w14:paraId="0000002E">
      <w:pPr>
        <w:pStyle w:val="Heading2"/>
        <w:rPr/>
      </w:pPr>
      <w:r w:rsidDel="00000000" w:rsidR="00000000" w:rsidRPr="00000000">
        <w:rPr>
          <w:rtl w:val="0"/>
        </w:rPr>
        <w:t xml:space="preserve">Objective</w:t>
      </w:r>
    </w:p>
    <w:p w:rsidR="00000000" w:rsidDel="00000000" w:rsidP="00000000" w:rsidRDefault="00000000" w:rsidRPr="00000000" w14:paraId="0000002F">
      <w:pPr>
        <w:spacing w:after="120" w:line="276" w:lineRule="auto"/>
        <w:rPr/>
      </w:pPr>
      <w:r w:rsidDel="00000000" w:rsidR="00000000" w:rsidRPr="00000000">
        <w:rPr>
          <w:sz w:val="22"/>
          <w:szCs w:val="22"/>
          <w:rtl w:val="0"/>
        </w:rPr>
        <w:t xml:space="preserve">Build a longitudinal database tracking how major players evolve their regulatory positions across time, enabling prediction of coalition formation, opposition strategies, and industry consensus development.</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Data Collection Strategy</w:t>
      </w:r>
    </w:p>
    <w:p w:rsidR="00000000" w:rsidDel="00000000" w:rsidP="00000000" w:rsidRDefault="00000000" w:rsidRPr="00000000" w14:paraId="00000031">
      <w:pPr>
        <w:pStyle w:val="Heading3"/>
        <w:rPr/>
      </w:pPr>
      <w:r w:rsidDel="00000000" w:rsidR="00000000" w:rsidRPr="00000000">
        <w:rPr>
          <w:rtl w:val="0"/>
        </w:rPr>
        <w:t xml:space="preserve">Target Institutions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(Crypto-Native): a16z, Coinbase, Circle, Ripple, Uniswap, Paradigm</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(Traditional Finance): BlackRock, Fidelity, Goldman Sachs, JPMorgan, BNY Mellon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(Advocacy Groups): Blockchain Association, Chamber of Digital Commerce, DeFi Education Fund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4 (Skeptic Organizations): Better Markets, Americans for Financial Reform, Consumer Federation</w:t>
      </w:r>
    </w:p>
    <w:p w:rsidR="00000000" w:rsidDel="00000000" w:rsidP="00000000" w:rsidRDefault="00000000" w:rsidRPr="00000000" w14:paraId="00000036">
      <w:pPr>
        <w:pStyle w:val="Heading3"/>
        <w:rPr/>
      </w:pPr>
      <w:r w:rsidDel="00000000" w:rsidR="00000000" w:rsidRPr="00000000">
        <w:rPr>
          <w:rtl w:val="0"/>
        </w:rPr>
        <w:t xml:space="preserve">Collection Methods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Statement Archive: Compile all public statements, blog posts, press releases, and testimony from target institutions on crypto regulation topics.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Engagement History: Pull all SEC submissions, meeting requests (via FOIA if needed), and comment letters by institution.</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Litigation Position Tracking: Monitor amicus briefs and party filings in crypto-related litigation (SEC v. Ripple, SEC v. Coinbase, etc.).</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Statement Database: Track public statements from C-suite executives and chief legal officers at quarterly earnings calls, conferences, and interviews.</w:t>
      </w:r>
    </w:p>
    <w:p w:rsidR="00000000" w:rsidDel="00000000" w:rsidP="00000000" w:rsidRDefault="00000000" w:rsidRPr="00000000" w14:paraId="0000003B">
      <w:pPr>
        <w:pStyle w:val="Heading2"/>
        <w:rPr/>
      </w:pPr>
      <w:r w:rsidDel="00000000" w:rsidR="00000000" w:rsidRPr="00000000">
        <w:rPr>
          <w:rtl w:val="0"/>
        </w:rPr>
        <w:t xml:space="preserve">Analysis Framework</w:t>
      </w:r>
    </w:p>
    <w:p w:rsidR="00000000" w:rsidDel="00000000" w:rsidP="00000000" w:rsidRDefault="00000000" w:rsidRPr="00000000" w14:paraId="0000003C">
      <w:pPr>
        <w:pStyle w:val="Heading3"/>
        <w:rPr/>
      </w:pPr>
      <w:r w:rsidDel="00000000" w:rsidR="00000000" w:rsidRPr="00000000">
        <w:rPr>
          <w:rtl w:val="0"/>
        </w:rPr>
        <w:t xml:space="preserve">Position Coding Schema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3D">
            <w:pP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3E">
            <w:pPr>
              <w:rPr/>
            </w:pPr>
            <w:r w:rsidDel="00000000" w:rsidR="00000000" w:rsidRPr="00000000">
              <w:rPr>
                <w:b w:val="1"/>
                <w:bCs w:val="1"/>
                <w:sz w:val="22"/>
                <w:szCs w:val="22"/>
                <w:rtl w:val="0"/>
              </w:rPr>
              <w:t xml:space="preserve">Coding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3F">
            <w:pPr>
              <w:rPr/>
            </w:pPr>
            <w:r w:rsidDel="00000000" w:rsidR="00000000" w:rsidRPr="00000000">
              <w:rPr>
                <w:b w:val="1"/>
                <w:bCs w:val="1"/>
                <w:sz w:val="22"/>
                <w:szCs w:val="22"/>
                <w:rtl w:val="0"/>
              </w:rPr>
              <w:t xml:space="preserve">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0">
            <w:pPr>
              <w:rPr/>
            </w:pPr>
            <w:r w:rsidDel="00000000" w:rsidR="00000000" w:rsidRPr="00000000">
              <w:rPr>
                <w:b w:val="0"/>
                <w:bCs w:val="0"/>
                <w:sz w:val="22"/>
                <w:szCs w:val="22"/>
                <w:rtl w:val="0"/>
              </w:rPr>
              <w:t xml:space="preserve">Securities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1">
            <w:pPr>
              <w:rPr/>
            </w:pPr>
            <w:r w:rsidDel="00000000" w:rsidR="00000000" w:rsidRPr="00000000">
              <w:rPr>
                <w:b w:val="0"/>
                <w:bCs w:val="0"/>
                <w:sz w:val="22"/>
                <w:szCs w:val="22"/>
                <w:rtl w:val="0"/>
              </w:rPr>
              <w:t xml:space="preserve">Broad (most tokens are securities) / Narrow (few tokens are securities) / Contextual (depends on 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2">
            <w:pPr>
              <w:rPr/>
            </w:pPr>
            <w:r w:rsidDel="00000000" w:rsidR="00000000" w:rsidRPr="00000000">
              <w:rPr>
                <w:b w:val="0"/>
                <w:bCs w:val="0"/>
                <w:sz w:val="22"/>
                <w:szCs w:val="22"/>
                <w:rtl w:val="0"/>
              </w:rPr>
              <w:t xml:space="preserve">Explicit statements on token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3">
            <w:pPr>
              <w:rPr/>
            </w:pPr>
            <w:r w:rsidDel="00000000" w:rsidR="00000000" w:rsidRPr="00000000">
              <w:rPr>
                <w:b w:val="0"/>
                <w:bCs w:val="0"/>
                <w:sz w:val="22"/>
                <w:szCs w:val="22"/>
                <w:rtl w:val="0"/>
              </w:rPr>
              <w:t xml:space="preserve">Regulatory 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4">
            <w:pPr>
              <w:rPr/>
            </w:pPr>
            <w:r w:rsidDel="00000000" w:rsidR="00000000" w:rsidRPr="00000000">
              <w:rPr>
                <w:b w:val="0"/>
                <w:bCs w:val="0"/>
                <w:sz w:val="22"/>
                <w:szCs w:val="22"/>
                <w:rtl w:val="0"/>
              </w:rPr>
              <w:t xml:space="preserve">SEC-primary / CFTC-primary / New regime / Self-regulation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5">
            <w:pPr>
              <w:rPr/>
            </w:pPr>
            <w:r w:rsidDel="00000000" w:rsidR="00000000" w:rsidRPr="00000000">
              <w:rPr>
                <w:b w:val="0"/>
                <w:bCs w:val="0"/>
                <w:sz w:val="22"/>
                <w:szCs w:val="22"/>
                <w:rtl w:val="0"/>
              </w:rPr>
              <w:t xml:space="preserve">Advocacy for specific regulatory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6">
            <w:pPr>
              <w:rPr/>
            </w:pPr>
            <w:r w:rsidDel="00000000" w:rsidR="00000000" w:rsidRPr="00000000">
              <w:rPr>
                <w:b w:val="0"/>
                <w:bCs w:val="0"/>
                <w:sz w:val="22"/>
                <w:szCs w:val="22"/>
                <w:rtl w:val="0"/>
              </w:rPr>
              <w:t xml:space="preserve">Compliance Pathway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7">
            <w:pPr>
              <w:rPr/>
            </w:pPr>
            <w:r w:rsidDel="00000000" w:rsidR="00000000" w:rsidRPr="00000000">
              <w:rPr>
                <w:b w:val="0"/>
                <w:bCs w:val="0"/>
                <w:sz w:val="22"/>
                <w:szCs w:val="22"/>
                <w:rtl w:val="0"/>
              </w:rPr>
              <w:t xml:space="preserve">Full registration / Exemptive relief / Safe harbor / Principles-based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8">
            <w:pPr>
              <w:rPr/>
            </w:pPr>
            <w:r w:rsidDel="00000000" w:rsidR="00000000" w:rsidRPr="00000000">
              <w:rPr>
                <w:b w:val="0"/>
                <w:bCs w:val="0"/>
                <w:sz w:val="22"/>
                <w:szCs w:val="22"/>
                <w:rtl w:val="0"/>
              </w:rPr>
              <w:t xml:space="preserve">Proposed solutions in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9">
            <w:pPr>
              <w:rPr/>
            </w:pPr>
            <w:r w:rsidDel="00000000" w:rsidR="00000000" w:rsidRPr="00000000">
              <w:rPr>
                <w:b w:val="0"/>
                <w:bCs w:val="0"/>
                <w:sz w:val="22"/>
                <w:szCs w:val="22"/>
                <w:rtl w:val="0"/>
              </w:rPr>
              <w:t xml:space="preserve">Enforcement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A">
            <w:pPr>
              <w:rPr/>
            </w:pPr>
            <w:r w:rsidDel="00000000" w:rsidR="00000000" w:rsidRPr="00000000">
              <w:rPr>
                <w:b w:val="0"/>
                <w:bCs w:val="0"/>
                <w:sz w:val="22"/>
                <w:szCs w:val="22"/>
                <w:rtl w:val="0"/>
              </w:rPr>
              <w:t xml:space="preserve">Supportive / Critical / Reform-oriented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B">
            <w:pPr>
              <w:rPr/>
            </w:pPr>
            <w:r w:rsidDel="00000000" w:rsidR="00000000" w:rsidRPr="00000000">
              <w:rPr>
                <w:b w:val="0"/>
                <w:bCs w:val="0"/>
                <w:sz w:val="22"/>
                <w:szCs w:val="22"/>
                <w:rtl w:val="0"/>
              </w:rPr>
              <w:t xml:space="preserve">Statements on SEC enforcement actions</w:t>
            </w: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tl w:val="0"/>
        </w:rPr>
        <w:t xml:space="preserve">Deliverables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evolution timeline visualization for each tracked institution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Coalition mapping showing alignment/divergence on key issues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shift alerts when institutions change stance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Consensus tracker showing industry-wide position convergence/divergence</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Use Case 3: Regulatory Signal Detection System</w:t>
      </w:r>
    </w:p>
    <w:p w:rsidR="00000000" w:rsidDel="00000000" w:rsidP="00000000" w:rsidRDefault="00000000" w:rsidRPr="00000000" w14:paraId="00000053">
      <w:pPr>
        <w:pStyle w:val="Heading2"/>
        <w:rPr/>
      </w:pPr>
      <w:r w:rsidDel="00000000" w:rsidR="00000000" w:rsidRPr="00000000">
        <w:rPr>
          <w:rtl w:val="0"/>
        </w:rPr>
        <w:t xml:space="preserve">Objective</w:t>
      </w:r>
    </w:p>
    <w:p w:rsidR="00000000" w:rsidDel="00000000" w:rsidP="00000000" w:rsidRDefault="00000000" w:rsidRPr="00000000" w14:paraId="00000054">
      <w:pPr>
        <w:spacing w:after="120" w:line="276" w:lineRule="auto"/>
        <w:rPr/>
      </w:pPr>
      <w:r w:rsidDel="00000000" w:rsidR="00000000" w:rsidRPr="00000000">
        <w:rPr>
          <w:sz w:val="22"/>
          <w:szCs w:val="22"/>
          <w:rtl w:val="0"/>
        </w:rPr>
        <w:t xml:space="preserve">Develop an early warning system that analyzes commissioner speeches, staff statements, and enforcement action language to identify leading indicators of policy direction changes before formal announcements.</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Data Collection Strategy</w:t>
      </w:r>
    </w:p>
    <w:p w:rsidR="00000000" w:rsidDel="00000000" w:rsidP="00000000" w:rsidRDefault="00000000" w:rsidRPr="00000000" w14:paraId="00000056">
      <w:pPr>
        <w:pStyle w:val="Heading3"/>
        <w:rPr/>
      </w:pPr>
      <w:r w:rsidDel="00000000" w:rsidR="00000000" w:rsidRPr="00000000">
        <w:rPr>
          <w:rtl w:val="0"/>
        </w:rPr>
        <w:t xml:space="preserve">Signal Sources (Ranked by Lead Time)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Commissioner Speeches &amp; Remarks: Longest lead time (3-12 months). Source: sec.gov/news/speeches. Focus on Chair Atkins, pro-crypto commissioners Peirce and Uyeda.</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No-Action Letters &amp; Guidance: Medium lead time (1-6 months). Source: sec.gov/divisions/corpfin/cf-noaction. Indicates staff thinking before formal rules.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Action Language: Short lead time (0-3 months). Source: sec.gov/litigation. Changes in legal theories signal policy shifts.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Force Meeting Agendas &amp; Participants: Medium lead time. Source: sec.gov/securities-crypto-assets. Topic prioritization signals focus areas.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Congressional Testimony: Variable lead time. Source: congress.gov. SEC positions stated under oath indicate committed direction.</w:t>
      </w:r>
    </w:p>
    <w:p w:rsidR="00000000" w:rsidDel="00000000" w:rsidP="00000000" w:rsidRDefault="00000000" w:rsidRPr="00000000" w14:paraId="0000005C">
      <w:pPr>
        <w:pStyle w:val="Heading2"/>
        <w:rPr/>
      </w:pPr>
      <w:r w:rsidDel="00000000" w:rsidR="00000000" w:rsidRPr="00000000">
        <w:rPr>
          <w:rtl w:val="0"/>
        </w:rPr>
        <w:t xml:space="preserve">Analysis Framework</w:t>
      </w:r>
    </w:p>
    <w:p w:rsidR="00000000" w:rsidDel="00000000" w:rsidP="00000000" w:rsidRDefault="00000000" w:rsidRPr="00000000" w14:paraId="0000005D">
      <w:pPr>
        <w:pStyle w:val="Heading3"/>
        <w:rPr/>
      </w:pPr>
      <w:r w:rsidDel="00000000" w:rsidR="00000000" w:rsidRPr="00000000">
        <w:rPr>
          <w:rtl w:val="0"/>
        </w:rPr>
        <w:t xml:space="preserve">Signal Detection Methodology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Lexical Analysis: Track frequency of key terms (decentralization, sufficiently decentralized, common enterprise, investor protection, innovation) across all sources over time.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 Scoring: Apply sentiment analysis to commissioner statements on specific topics. Track sentiment trajectory.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Theory Tracking: Catalog legal theories used in enforcement actions. Track introduction of new theories and abandonment of old ones.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Reference Analysis: Note which industry participants or arguments commissioners cite favorably or critically.</w:t>
      </w:r>
    </w:p>
    <w:p w:rsidR="00000000" w:rsidDel="00000000" w:rsidP="00000000" w:rsidRDefault="00000000" w:rsidRPr="00000000" w14:paraId="00000062">
      <w:pPr>
        <w:pStyle w:val="Heading3"/>
        <w:rPr/>
      </w:pPr>
      <w:r w:rsidDel="00000000" w:rsidR="00000000" w:rsidRPr="00000000">
        <w:rPr>
          <w:rtl w:val="0"/>
        </w:rPr>
        <w:t xml:space="preserve">Key Indicators to Monitor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63">
            <w:pPr>
              <w:rPr/>
            </w:pPr>
            <w:r w:rsidDel="00000000" w:rsidR="00000000" w:rsidRPr="00000000">
              <w:rPr>
                <w:b w:val="1"/>
                <w:bCs w:val="1"/>
                <w:sz w:val="22"/>
                <w:szCs w:val="22"/>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64">
            <w:pPr>
              <w:rPr/>
            </w:pPr>
            <w:r w:rsidDel="00000000" w:rsidR="00000000" w:rsidRPr="00000000">
              <w:rPr>
                <w:b w:val="1"/>
                <w:bCs w:val="1"/>
                <w:sz w:val="22"/>
                <w:szCs w:val="22"/>
                <w:rtl w:val="0"/>
              </w:rPr>
              <w:t xml:space="preserve">Bullish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65">
            <w:pPr>
              <w:rPr/>
            </w:pPr>
            <w:r w:rsidDel="00000000" w:rsidR="00000000" w:rsidRPr="00000000">
              <w:rPr>
                <w:b w:val="1"/>
                <w:bCs w:val="1"/>
                <w:sz w:val="22"/>
                <w:szCs w:val="22"/>
                <w:rtl w:val="0"/>
              </w:rPr>
              <w:t xml:space="preserve">Bearish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6">
            <w:pPr>
              <w:rPr/>
            </w:pPr>
            <w:r w:rsidDel="00000000" w:rsidR="00000000" w:rsidRPr="00000000">
              <w:rPr>
                <w:b w:val="0"/>
                <w:bCs w:val="0"/>
                <w:sz w:val="20"/>
                <w:szCs w:val="20"/>
                <w:rtl w:val="0"/>
              </w:rPr>
              <w:t xml:space="preserve">Decentralization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7">
            <w:pPr>
              <w:rPr/>
            </w:pPr>
            <w:r w:rsidDel="00000000" w:rsidR="00000000" w:rsidRPr="00000000">
              <w:rPr>
                <w:b w:val="0"/>
                <w:bCs w:val="0"/>
                <w:sz w:val="20"/>
                <w:szCs w:val="20"/>
                <w:rtl w:val="0"/>
              </w:rPr>
              <w:t xml:space="preserve">Increased frequency, definitional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8">
            <w:pPr>
              <w:rPr/>
            </w:pPr>
            <w:r w:rsidDel="00000000" w:rsidR="00000000" w:rsidRPr="00000000">
              <w:rPr>
                <w:b w:val="0"/>
                <w:bCs w:val="0"/>
                <w:sz w:val="20"/>
                <w:szCs w:val="20"/>
                <w:rtl w:val="0"/>
              </w:rPr>
              <w:t xml:space="preserve">Dismissal, narrowing of applicability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9">
            <w:pPr>
              <w:rPr/>
            </w:pPr>
            <w:r w:rsidDel="00000000" w:rsidR="00000000" w:rsidRPr="00000000">
              <w:rPr>
                <w:b w:val="0"/>
                <w:bCs w:val="0"/>
                <w:sz w:val="20"/>
                <w:szCs w:val="20"/>
                <w:rtl w:val="0"/>
              </w:rPr>
              <w:t xml:space="preserve">Enforcement filing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rPr/>
            </w:pPr>
            <w:r w:rsidDel="00000000" w:rsidR="00000000" w:rsidRPr="00000000">
              <w:rPr>
                <w:b w:val="0"/>
                <w:bCs w:val="0"/>
                <w:sz w:val="20"/>
                <w:szCs w:val="20"/>
                <w:rtl w:val="0"/>
              </w:rPr>
              <w:t xml:space="preserve">Declining, case dismissals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rPr/>
            </w:pPr>
            <w:r w:rsidDel="00000000" w:rsidR="00000000" w:rsidRPr="00000000">
              <w:rPr>
                <w:b w:val="0"/>
                <w:bCs w:val="0"/>
                <w:sz w:val="20"/>
                <w:szCs w:val="20"/>
                <w:rtl w:val="0"/>
              </w:rPr>
              <w:t xml:space="preserve">Increasing, new legal theories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rPr/>
            </w:pPr>
            <w:r w:rsidDel="00000000" w:rsidR="00000000" w:rsidRPr="00000000">
              <w:rPr>
                <w:b w:val="0"/>
                <w:bCs w:val="0"/>
                <w:sz w:val="20"/>
                <w:szCs w:val="20"/>
                <w:rtl w:val="0"/>
              </w:rPr>
              <w:t xml:space="preserve">Industry meeting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rPr/>
            </w:pPr>
            <w:r w:rsidDel="00000000" w:rsidR="00000000" w:rsidRPr="00000000">
              <w:rPr>
                <w:b w:val="0"/>
                <w:bCs w:val="0"/>
                <w:sz w:val="20"/>
                <w:szCs w:val="20"/>
                <w:rtl w:val="0"/>
              </w:rPr>
              <w:t xml:space="preserve">More meetings, broader participant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rPr/>
            </w:pPr>
            <w:r w:rsidDel="00000000" w:rsidR="00000000" w:rsidRPr="00000000">
              <w:rPr>
                <w:b w:val="0"/>
                <w:bCs w:val="0"/>
                <w:sz w:val="20"/>
                <w:szCs w:val="20"/>
                <w:rtl w:val="0"/>
              </w:rPr>
              <w:t xml:space="preserve">Fewer meetings, restricted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rPr/>
            </w:pPr>
            <w:r w:rsidDel="00000000" w:rsidR="00000000" w:rsidRPr="00000000">
              <w:rPr>
                <w:b w:val="0"/>
                <w:bCs w:val="0"/>
                <w:sz w:val="20"/>
                <w:szCs w:val="20"/>
                <w:rtl w:val="0"/>
              </w:rPr>
              <w:t xml:space="preserve">Safe harbor 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rPr/>
            </w:pPr>
            <w:r w:rsidDel="00000000" w:rsidR="00000000" w:rsidRPr="00000000">
              <w:rPr>
                <w:b w:val="0"/>
                <w:bCs w:val="0"/>
                <w:sz w:val="20"/>
                <w:szCs w:val="20"/>
                <w:rtl w:val="0"/>
              </w:rPr>
              <w:t xml:space="preserve">Active consideration, draft 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rPr/>
            </w:pPr>
            <w:r w:rsidDel="00000000" w:rsidR="00000000" w:rsidRPr="00000000">
              <w:rPr>
                <w:b w:val="0"/>
                <w:bCs w:val="0"/>
                <w:sz w:val="20"/>
                <w:szCs w:val="20"/>
                <w:rtl w:val="0"/>
              </w:rPr>
              <w:t xml:space="preserve">Dismissal, statutory limitation claims</w:t>
            </w:r>
            <w:r w:rsidDel="00000000" w:rsidR="00000000" w:rsidRPr="00000000">
              <w:rPr>
                <w:rtl w:val="0"/>
              </w:rPr>
            </w:r>
          </w:p>
        </w:tc>
      </w:tr>
    </w:tbl>
    <w:p w:rsidR="00000000" w:rsidDel="00000000" w:rsidP="00000000" w:rsidRDefault="00000000" w:rsidRPr="00000000" w14:paraId="00000072">
      <w:pPr>
        <w:pStyle w:val="Heading2"/>
        <w:rPr/>
      </w:pPr>
      <w:r w:rsidDel="00000000" w:rsidR="00000000" w:rsidRPr="00000000">
        <w:rPr>
          <w:rtl w:val="0"/>
        </w:rPr>
        <w:t xml:space="preserve">Deliverables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signal dashboard with trend indicators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alerts on significant language shifts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policy direction forecast with confidence intervals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accuracy tracking for model calibration</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highlight w:val="yellow"/>
        </w:rPr>
      </w:pPr>
      <w:r w:rsidDel="00000000" w:rsidR="00000000" w:rsidRPr="00000000">
        <w:rPr>
          <w:highlight w:val="yellow"/>
          <w:rtl w:val="0"/>
        </w:rPr>
        <w:t xml:space="preserve">Use Case 4: Enforcement-to-Guidance Pipeline Analysis</w:t>
      </w:r>
    </w:p>
    <w:p w:rsidR="00000000" w:rsidDel="00000000" w:rsidP="00000000" w:rsidRDefault="00000000" w:rsidRPr="00000000" w14:paraId="00000079">
      <w:pPr>
        <w:pStyle w:val="Heading2"/>
        <w:rPr/>
      </w:pPr>
      <w:r w:rsidDel="00000000" w:rsidR="00000000" w:rsidRPr="00000000">
        <w:rPr>
          <w:rtl w:val="0"/>
        </w:rPr>
        <w:t xml:space="preserve">Objective</w:t>
      </w:r>
    </w:p>
    <w:p w:rsidR="00000000" w:rsidDel="00000000" w:rsidP="00000000" w:rsidRDefault="00000000" w:rsidRPr="00000000" w14:paraId="0000007A">
      <w:pPr>
        <w:spacing w:after="120" w:line="276" w:lineRule="auto"/>
        <w:rPr/>
      </w:pPr>
      <w:r w:rsidDel="00000000" w:rsidR="00000000" w:rsidRPr="00000000">
        <w:rPr>
          <w:sz w:val="22"/>
          <w:szCs w:val="22"/>
          <w:rtl w:val="0"/>
        </w:rPr>
        <w:t xml:space="preserve">Map the pathway from enforcement actions to subsequent guidance documents, identifying which enforcement theories get codified into rules and which are abandoned, providing predictive value for compliance teams.</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Data Collection Strategy</w:t>
      </w:r>
    </w:p>
    <w:p w:rsidR="00000000" w:rsidDel="00000000" w:rsidP="00000000" w:rsidRDefault="00000000" w:rsidRPr="00000000" w14:paraId="0000007C">
      <w:pPr>
        <w:pStyle w:val="Heading3"/>
        <w:rPr/>
      </w:pPr>
      <w:r w:rsidDel="00000000" w:rsidR="00000000" w:rsidRPr="00000000">
        <w:rPr>
          <w:rtl w:val="0"/>
        </w:rPr>
        <w:t xml:space="preserve">Primary Data Sources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Litigation Releases (2017-present): sec.gov/litigation/litreleases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Proceedings: sec.gov/litigation/admin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Staff Guidance Documents: sec.gov/corpfin/framework-investment-contract-analysis-digital-assets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No-Action Letters: sec.gov/divisions/corpfin/cf-noaction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Decisions in SEC Cases: PACER/Court Listener for full opinions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Agreements: Full text of cease-and-desist orders</w:t>
      </w:r>
    </w:p>
    <w:p w:rsidR="00000000" w:rsidDel="00000000" w:rsidP="00000000" w:rsidRDefault="00000000" w:rsidRPr="00000000" w14:paraId="00000083">
      <w:pPr>
        <w:pStyle w:val="Heading2"/>
        <w:rPr/>
      </w:pPr>
      <w:r w:rsidDel="00000000" w:rsidR="00000000" w:rsidRPr="00000000">
        <w:rPr>
          <w:rtl w:val="0"/>
        </w:rPr>
        <w:t xml:space="preserve">Analysis Framework</w:t>
      </w:r>
    </w:p>
    <w:p w:rsidR="00000000" w:rsidDel="00000000" w:rsidP="00000000" w:rsidRDefault="00000000" w:rsidRPr="00000000" w14:paraId="00000084">
      <w:pPr>
        <w:pStyle w:val="Heading3"/>
        <w:rPr/>
      </w:pPr>
      <w:r w:rsidDel="00000000" w:rsidR="00000000" w:rsidRPr="00000000">
        <w:rPr>
          <w:rtl w:val="0"/>
        </w:rPr>
        <w:t xml:space="preserve">Enforcement Theory Taxonomy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5">
            <w:pPr>
              <w:rPr/>
            </w:pPr>
            <w:r w:rsidDel="00000000" w:rsidR="00000000" w:rsidRPr="00000000">
              <w:rPr>
                <w:b w:val="1"/>
                <w:bCs w:val="1"/>
                <w:sz w:val="22"/>
                <w:szCs w:val="22"/>
                <w:rtl w:val="0"/>
              </w:rPr>
              <w:t xml:space="preserve">Theory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6">
            <w:pPr>
              <w:rPr/>
            </w:pPr>
            <w:r w:rsidDel="00000000" w:rsidR="00000000" w:rsidRPr="00000000">
              <w:rPr>
                <w:b w:val="1"/>
                <w:bCs w:val="1"/>
                <w:sz w:val="22"/>
                <w:szCs w:val="22"/>
                <w:rtl w:val="0"/>
              </w:rPr>
              <w:t xml:space="preserve">Specific Theories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7">
            <w:pPr>
              <w:rPr/>
            </w:pPr>
            <w:r w:rsidDel="00000000" w:rsidR="00000000" w:rsidRPr="00000000">
              <w:rPr>
                <w:b w:val="1"/>
                <w:bCs w:val="1"/>
                <w:sz w:val="22"/>
                <w:szCs w:val="22"/>
                <w:rtl w:val="0"/>
              </w:rPr>
              <w:t xml:space="preserve">Key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8">
            <w:pPr>
              <w:rPr/>
            </w:pPr>
            <w:r w:rsidDel="00000000" w:rsidR="00000000" w:rsidRPr="00000000">
              <w:rPr>
                <w:b w:val="0"/>
                <w:bCs w:val="0"/>
                <w:sz w:val="22"/>
                <w:szCs w:val="22"/>
                <w:rtl w:val="0"/>
              </w:rPr>
              <w:t xml:space="preserve">Investment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9">
            <w:pPr>
              <w:rPr/>
            </w:pPr>
            <w:r w:rsidDel="00000000" w:rsidR="00000000" w:rsidRPr="00000000">
              <w:rPr>
                <w:b w:val="0"/>
                <w:bCs w:val="0"/>
                <w:sz w:val="22"/>
                <w:szCs w:val="22"/>
                <w:rtl w:val="0"/>
              </w:rPr>
              <w:t xml:space="preserve">Token as security, ICO as securities offering, Ongoing obligations post-sale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A">
            <w:pPr>
              <w:rPr/>
            </w:pPr>
            <w:r w:rsidDel="00000000" w:rsidR="00000000" w:rsidRPr="00000000">
              <w:rPr>
                <w:b w:val="0"/>
                <w:bCs w:val="0"/>
                <w:sz w:val="22"/>
                <w:szCs w:val="22"/>
                <w:rtl w:val="0"/>
              </w:rPr>
              <w:t xml:space="preserve">SEC v. Telegram, SEC v. Ripple, SEC v. LBRY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B">
            <w:pPr>
              <w:rPr/>
            </w:pPr>
            <w:r w:rsidDel="00000000" w:rsidR="00000000" w:rsidRPr="00000000">
              <w:rPr>
                <w:b w:val="0"/>
                <w:bCs w:val="0"/>
                <w:sz w:val="22"/>
                <w:szCs w:val="22"/>
                <w:rtl w:val="0"/>
              </w:rPr>
              <w:t xml:space="preserve">Exchange/Broker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C">
            <w:pPr>
              <w:rPr/>
            </w:pPr>
            <w:r w:rsidDel="00000000" w:rsidR="00000000" w:rsidRPr="00000000">
              <w:rPr>
                <w:b w:val="0"/>
                <w:bCs w:val="0"/>
                <w:sz w:val="22"/>
                <w:szCs w:val="22"/>
                <w:rtl w:val="0"/>
              </w:rPr>
              <w:t xml:space="preserve">Unregistered exchange, Unregistered broker-dealer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D">
            <w:pPr>
              <w:rPr/>
            </w:pPr>
            <w:r w:rsidDel="00000000" w:rsidR="00000000" w:rsidRPr="00000000">
              <w:rPr>
                <w:b w:val="0"/>
                <w:bCs w:val="0"/>
                <w:sz w:val="22"/>
                <w:szCs w:val="22"/>
                <w:rtl w:val="0"/>
              </w:rPr>
              <w:t xml:space="preserve">SEC v. Coinbase, SEC v. Binance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E">
            <w:pPr>
              <w:rPr/>
            </w:pPr>
            <w:r w:rsidDel="00000000" w:rsidR="00000000" w:rsidRPr="00000000">
              <w:rPr>
                <w:b w:val="0"/>
                <w:bCs w:val="0"/>
                <w:sz w:val="22"/>
                <w:szCs w:val="22"/>
                <w:rtl w:val="0"/>
              </w:rPr>
              <w:t xml:space="preserve">Lending/Staking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F">
            <w:pPr>
              <w:rPr/>
            </w:pPr>
            <w:r w:rsidDel="00000000" w:rsidR="00000000" w:rsidRPr="00000000">
              <w:rPr>
                <w:b w:val="0"/>
                <w:bCs w:val="0"/>
                <w:sz w:val="22"/>
                <w:szCs w:val="22"/>
                <w:rtl w:val="0"/>
              </w:rPr>
              <w:t xml:space="preserve">Crypto lending as security, Staking services as investment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0">
            <w:pPr>
              <w:rPr/>
            </w:pPr>
            <w:r w:rsidDel="00000000" w:rsidR="00000000" w:rsidRPr="00000000">
              <w:rPr>
                <w:b w:val="0"/>
                <w:bCs w:val="0"/>
                <w:sz w:val="22"/>
                <w:szCs w:val="22"/>
                <w:rtl w:val="0"/>
              </w:rPr>
              <w:t xml:space="preserve">BlockFi settlement, Kraken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1">
            <w:pPr>
              <w:rPr/>
            </w:pPr>
            <w:r w:rsidDel="00000000" w:rsidR="00000000" w:rsidRPr="00000000">
              <w:rPr>
                <w:b w:val="0"/>
                <w:bCs w:val="0"/>
                <w:sz w:val="22"/>
                <w:szCs w:val="22"/>
                <w:rtl w:val="0"/>
              </w:rPr>
              <w:t xml:space="preserve">DeFi-Specific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2">
            <w:pPr>
              <w:rPr/>
            </w:pPr>
            <w:r w:rsidDel="00000000" w:rsidR="00000000" w:rsidRPr="00000000">
              <w:rPr>
                <w:b w:val="0"/>
                <w:bCs w:val="0"/>
                <w:sz w:val="22"/>
                <w:szCs w:val="22"/>
                <w:rtl w:val="0"/>
              </w:rPr>
              <w:t xml:space="preserve">Protocol as issuer, DAO liability, Token governance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3">
            <w:pPr>
              <w:rPr/>
            </w:pPr>
            <w:r w:rsidDel="00000000" w:rsidR="00000000" w:rsidRPr="00000000">
              <w:rPr>
                <w:b w:val="0"/>
                <w:bCs w:val="0"/>
                <w:sz w:val="22"/>
                <w:szCs w:val="22"/>
                <w:rtl w:val="0"/>
              </w:rPr>
              <w:t xml:space="preserve">Emerging theories (track new filings)</w:t>
            </w:r>
            <w:r w:rsidDel="00000000" w:rsidR="00000000" w:rsidRPr="00000000">
              <w:rPr>
                <w:rtl w:val="0"/>
              </w:rPr>
            </w:r>
          </w:p>
        </w:tc>
      </w:tr>
    </w:tbl>
    <w:p w:rsidR="00000000" w:rsidDel="00000000" w:rsidP="00000000" w:rsidRDefault="00000000" w:rsidRPr="00000000" w14:paraId="00000094">
      <w:pPr>
        <w:pStyle w:val="Heading3"/>
        <w:rPr/>
      </w:pPr>
      <w:r w:rsidDel="00000000" w:rsidR="00000000" w:rsidRPr="00000000">
        <w:rPr>
          <w:rtl w:val="0"/>
        </w:rPr>
        <w:t xml:space="preserve">Pipeline Tracking Methodology</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Novel Theories: Flag enforcement actions that introduce legal arguments not previously used.</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Theory Outcomes: Monitor whether theories succeed in court, lead to settlements, or are abandoned.</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to Guidance: When guidance is issued, trace back to originating enforcement theories.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Adoption Lag: Calculate time from first enforcement use to formal guidance incorporation.</w:t>
      </w:r>
    </w:p>
    <w:p w:rsidR="00000000" w:rsidDel="00000000" w:rsidP="00000000" w:rsidRDefault="00000000" w:rsidRPr="00000000" w14:paraId="00000099">
      <w:pPr>
        <w:pStyle w:val="Heading2"/>
        <w:rPr/>
      </w:pPr>
      <w:r w:rsidDel="00000000" w:rsidR="00000000" w:rsidRPr="00000000">
        <w:rPr>
          <w:rtl w:val="0"/>
        </w:rPr>
        <w:t xml:space="preserve">Deliverables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 lifecycle tracker showing progression from enforcement to guidance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model for which current enforcement theories will become rules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risk assessment based on enforcement theory trajectory</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digest organized by regulatory theory</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shd w:fill="b7b7b7" w:val="clear"/>
        </w:rPr>
      </w:pPr>
      <w:r w:rsidDel="00000000" w:rsidR="00000000" w:rsidRPr="00000000">
        <w:rPr>
          <w:shd w:fill="b7b7b7" w:val="clear"/>
          <w:rtl w:val="0"/>
        </w:rPr>
        <w:t xml:space="preserve">Use Case 5: Token Classification Decision Tool</w:t>
      </w:r>
    </w:p>
    <w:p w:rsidR="00000000" w:rsidDel="00000000" w:rsidP="00000000" w:rsidRDefault="00000000" w:rsidRPr="00000000" w14:paraId="000000A0">
      <w:pPr>
        <w:pStyle w:val="Heading2"/>
        <w:rPr/>
      </w:pPr>
      <w:r w:rsidDel="00000000" w:rsidR="00000000" w:rsidRPr="00000000">
        <w:rPr>
          <w:rtl w:val="0"/>
        </w:rPr>
        <w:t xml:space="preserve">Objective</w:t>
      </w:r>
    </w:p>
    <w:p w:rsidR="00000000" w:rsidDel="00000000" w:rsidP="00000000" w:rsidRDefault="00000000" w:rsidRPr="00000000" w14:paraId="000000A1">
      <w:pPr>
        <w:spacing w:after="120" w:line="276" w:lineRule="auto"/>
        <w:rPr/>
      </w:pPr>
      <w:r w:rsidDel="00000000" w:rsidR="00000000" w:rsidRPr="00000000">
        <w:rPr>
          <w:sz w:val="22"/>
          <w:szCs w:val="22"/>
          <w:rtl w:val="0"/>
        </w:rPr>
        <w:t xml:space="preserve">Synthesize Howey test interpretations from all available sources into a structured decision framework that provides probabilistic classification guidance for specific token characteristics.</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Data Collection Strategy</w:t>
      </w:r>
    </w:p>
    <w:p w:rsidR="00000000" w:rsidDel="00000000" w:rsidP="00000000" w:rsidRDefault="00000000" w:rsidRPr="00000000" w14:paraId="000000A3">
      <w:pPr>
        <w:pStyle w:val="Heading3"/>
        <w:rPr/>
      </w:pPr>
      <w:r w:rsidDel="00000000" w:rsidR="00000000" w:rsidRPr="00000000">
        <w:rPr>
          <w:rtl w:val="0"/>
        </w:rPr>
        <w:t xml:space="preserve">Interpretive Source Hierarchy</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Decisions: Binding interpretations from federal courts. Sources: PACER, Court Listener, Westlaw. Key cases: SEC v. W.J. Howey Co., SEC v. Ripple Labs, SEC v. Terraform Labs.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Guidance Documents: Official staff positions. Sources: Framework for Investment Contract Analysis (2019), Staff statements, No-action letters (TurnKey Jet, Pocketful of Quarters).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Roundtable Expert Testimony: Practitioner interpretations. Source: Task force transcripts. Extract speaker-by-speaker positions on each Howey prong.</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Submissions: Industry and academic analysis. Source: SEC comment portal. Filter for legal analysis of Howey test application.</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Literature: Law review articles and working papers. Sources: SSRN, HeinOnline. Search: Howey AND cryptocurrency OR digital asset.</w:t>
      </w:r>
    </w:p>
    <w:p w:rsidR="00000000" w:rsidDel="00000000" w:rsidP="00000000" w:rsidRDefault="00000000" w:rsidRPr="00000000" w14:paraId="000000A9">
      <w:pPr>
        <w:pStyle w:val="Heading2"/>
        <w:rPr/>
      </w:pPr>
      <w:r w:rsidDel="00000000" w:rsidR="00000000" w:rsidRPr="00000000">
        <w:rPr>
          <w:rtl w:val="0"/>
        </w:rPr>
        <w:t xml:space="preserve">Analysis Framework</w:t>
      </w:r>
    </w:p>
    <w:p w:rsidR="00000000" w:rsidDel="00000000" w:rsidP="00000000" w:rsidRDefault="00000000" w:rsidRPr="00000000" w14:paraId="000000AA">
      <w:pPr>
        <w:pStyle w:val="Heading3"/>
        <w:rPr/>
      </w:pPr>
      <w:r w:rsidDel="00000000" w:rsidR="00000000" w:rsidRPr="00000000">
        <w:rPr>
          <w:rtl w:val="0"/>
        </w:rPr>
        <w:t xml:space="preserve">Decision Tree Structure</w:t>
      </w:r>
    </w:p>
    <w:p w:rsidR="00000000" w:rsidDel="00000000" w:rsidP="00000000" w:rsidRDefault="00000000" w:rsidRPr="00000000" w14:paraId="000000AB">
      <w:pPr>
        <w:spacing w:after="80" w:before="200" w:lineRule="auto"/>
        <w:rPr/>
      </w:pPr>
      <w:r w:rsidDel="00000000" w:rsidR="00000000" w:rsidRPr="00000000">
        <w:rPr>
          <w:sz w:val="22"/>
          <w:szCs w:val="22"/>
          <w:rtl w:val="0"/>
        </w:rPr>
        <w:t xml:space="preserve">Prong 1: Investment of Money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Purchaser gives value (fiat, crypto, services)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question: Was there exchange of value for the token?</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cases: Airdrops, mining rewards, utility redemptions</w:t>
      </w:r>
    </w:p>
    <w:p w:rsidR="00000000" w:rsidDel="00000000" w:rsidP="00000000" w:rsidRDefault="00000000" w:rsidRPr="00000000" w14:paraId="000000AF">
      <w:pPr>
        <w:spacing w:after="80" w:before="200" w:lineRule="auto"/>
        <w:rPr/>
      </w:pPr>
      <w:r w:rsidDel="00000000" w:rsidR="00000000" w:rsidRPr="00000000">
        <w:rPr>
          <w:sz w:val="22"/>
          <w:szCs w:val="22"/>
          <w:rtl w:val="0"/>
        </w:rPr>
        <w:t xml:space="preserve">Prong 2: Common Enterprise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Horizontal commonality: Pooling of investor funds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Vertical commonality: Investor returns tied to promoter efforts</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debate: Does common interest in asset price = common enterprise? (See Cohen, Belton positions)</w:t>
      </w:r>
    </w:p>
    <w:p w:rsidR="00000000" w:rsidDel="00000000" w:rsidP="00000000" w:rsidRDefault="00000000" w:rsidRPr="00000000" w14:paraId="000000B3">
      <w:pPr>
        <w:spacing w:after="80" w:before="200" w:lineRule="auto"/>
        <w:rPr/>
      </w:pPr>
      <w:r w:rsidDel="00000000" w:rsidR="00000000" w:rsidRPr="00000000">
        <w:rPr>
          <w:sz w:val="22"/>
          <w:szCs w:val="22"/>
          <w:rtl w:val="0"/>
        </w:rPr>
        <w:t xml:space="preserve">Prong 3: Expectation of Profits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appreciation vs. consumptive use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analysis: How was token promoted?</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Purchaser intent factors</w:t>
      </w:r>
    </w:p>
    <w:p w:rsidR="00000000" w:rsidDel="00000000" w:rsidP="00000000" w:rsidRDefault="00000000" w:rsidRPr="00000000" w14:paraId="000000B7">
      <w:pPr>
        <w:spacing w:after="80" w:before="200" w:lineRule="auto"/>
        <w:rPr/>
      </w:pPr>
      <w:r w:rsidDel="00000000" w:rsidR="00000000" w:rsidRPr="00000000">
        <w:rPr>
          <w:sz w:val="22"/>
          <w:szCs w:val="22"/>
          <w:rtl w:val="0"/>
        </w:rPr>
        <w:t xml:space="preserve">Prong 4: Efforts of Others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Centralization spectrum: Core team control to full decentralization</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thresholds: Token distribution %, governance structure, upgradeability</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Sufficiently decentralized standard (Clayton/Hinman statements)</w:t>
      </w:r>
    </w:p>
    <w:p w:rsidR="00000000" w:rsidDel="00000000" w:rsidP="00000000" w:rsidRDefault="00000000" w:rsidRPr="00000000" w14:paraId="000000BB">
      <w:pPr>
        <w:pStyle w:val="Heading2"/>
        <w:rPr/>
      </w:pPr>
      <w:r w:rsidDel="00000000" w:rsidR="00000000" w:rsidRPr="00000000">
        <w:rPr>
          <w:rtl w:val="0"/>
        </w:rPr>
        <w:t xml:space="preserve">Deliverables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decision tree tool with branching logic</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weighting model based on case law outcomes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probability calculator for specific token profiles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Comparable token database with classification outcomes</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highlight w:val="green"/>
        </w:rPr>
      </w:pPr>
      <w:r w:rsidDel="00000000" w:rsidR="00000000" w:rsidRPr="00000000">
        <w:rPr>
          <w:highlight w:val="green"/>
          <w:rtl w:val="0"/>
        </w:rPr>
        <w:t xml:space="preserve">Use Case 6: Regulatory Arbitrage Risk Assessment</w:t>
      </w:r>
    </w:p>
    <w:p w:rsidR="00000000" w:rsidDel="00000000" w:rsidP="00000000" w:rsidRDefault="00000000" w:rsidRPr="00000000" w14:paraId="000000C2">
      <w:pPr>
        <w:pStyle w:val="Heading2"/>
        <w:rPr/>
      </w:pPr>
      <w:r w:rsidDel="00000000" w:rsidR="00000000" w:rsidRPr="00000000">
        <w:rPr>
          <w:rtl w:val="0"/>
        </w:rPr>
        <w:t xml:space="preserve">Objective</w:t>
      </w:r>
    </w:p>
    <w:p w:rsidR="00000000" w:rsidDel="00000000" w:rsidP="00000000" w:rsidRDefault="00000000" w:rsidRPr="00000000" w14:paraId="000000C3">
      <w:pPr>
        <w:spacing w:after="120" w:line="276" w:lineRule="auto"/>
        <w:rPr/>
      </w:pPr>
      <w:r w:rsidDel="00000000" w:rsidR="00000000" w:rsidRPr="00000000">
        <w:rPr>
          <w:sz w:val="22"/>
          <w:szCs w:val="22"/>
          <w:rtl w:val="0"/>
        </w:rPr>
        <w:t xml:space="preserve">Compare SEC positions against CFTC statements, state regulator actions, and international frameworks to identify jurisdictional gaps, overlaps, and arbitrage opportunities/risks.</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Data Collection Strategy</w:t>
      </w:r>
    </w:p>
    <w:p w:rsidR="00000000" w:rsidDel="00000000" w:rsidP="00000000" w:rsidRDefault="00000000" w:rsidRPr="00000000" w14:paraId="000000C5">
      <w:pPr>
        <w:pStyle w:val="Heading3"/>
        <w:rPr/>
      </w:pPr>
      <w:r w:rsidDel="00000000" w:rsidR="00000000" w:rsidRPr="00000000">
        <w:rPr>
          <w:rtl w:val="0"/>
        </w:rPr>
        <w:t xml:space="preserve">Multi-Jurisdictional Sources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6">
            <w:pPr>
              <w:rPr/>
            </w:pPr>
            <w:r w:rsidDel="00000000" w:rsidR="00000000" w:rsidRPr="00000000">
              <w:rPr>
                <w:b w:val="1"/>
                <w:bCs w:val="1"/>
                <w:sz w:val="22"/>
                <w:szCs w:val="22"/>
                <w:rtl w:val="0"/>
              </w:rPr>
              <w:t xml:space="preserve">Regulator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7">
            <w:pPr>
              <w:rPr/>
            </w:pPr>
            <w:r w:rsidDel="00000000" w:rsidR="00000000" w:rsidRPr="00000000">
              <w:rPr>
                <w:b w:val="1"/>
                <w:bCs w:val="1"/>
                <w:sz w:val="22"/>
                <w:szCs w:val="22"/>
                <w:rtl w:val="0"/>
              </w:rPr>
              <w:t xml:space="preserve">Primary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8">
            <w:pPr>
              <w:rPr/>
            </w:pPr>
            <w:r w:rsidDel="00000000" w:rsidR="00000000" w:rsidRPr="00000000">
              <w:rPr>
                <w:b w:val="1"/>
                <w:bCs w:val="1"/>
                <w:sz w:val="22"/>
                <w:szCs w:val="22"/>
                <w:rtl w:val="0"/>
              </w:rPr>
              <w:t xml:space="preserve">Collection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9">
            <w:pPr>
              <w:rPr/>
            </w:pPr>
            <w:r w:rsidDel="00000000" w:rsidR="00000000" w:rsidRPr="00000000">
              <w:rPr>
                <w:b w:val="0"/>
                <w:bCs w:val="0"/>
                <w:sz w:val="22"/>
                <w:szCs w:val="22"/>
                <w:rtl w:val="0"/>
              </w:rPr>
              <w:t xml:space="preserve">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A">
            <w:pPr>
              <w:rPr/>
            </w:pPr>
            <w:r w:rsidDel="00000000" w:rsidR="00000000" w:rsidRPr="00000000">
              <w:rPr>
                <w:b w:val="0"/>
                <w:bCs w:val="0"/>
                <w:sz w:val="22"/>
                <w:szCs w:val="22"/>
                <w:rtl w:val="0"/>
              </w:rPr>
              <w:t xml:space="preserve">Task force materials, enforcement actions,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B">
            <w:pPr>
              <w:rPr/>
            </w:pPr>
            <w:r w:rsidDel="00000000" w:rsidR="00000000" w:rsidRPr="00000000">
              <w:rPr>
                <w:b w:val="0"/>
                <w:bCs w:val="0"/>
                <w:sz w:val="22"/>
                <w:szCs w:val="22"/>
                <w:rtl w:val="0"/>
              </w:rPr>
              <w:t xml:space="preserve">Existing methodology from prior use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C">
            <w:pPr>
              <w:rPr/>
            </w:pPr>
            <w:r w:rsidDel="00000000" w:rsidR="00000000" w:rsidRPr="00000000">
              <w:rPr>
                <w:b w:val="0"/>
                <w:bCs w:val="0"/>
                <w:sz w:val="22"/>
                <w:szCs w:val="22"/>
                <w:rtl w:val="0"/>
              </w:rPr>
              <w:t xml:space="preserve">CFTC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D">
            <w:pPr>
              <w:rPr/>
            </w:pPr>
            <w:r w:rsidDel="00000000" w:rsidR="00000000" w:rsidRPr="00000000">
              <w:rPr>
                <w:b w:val="0"/>
                <w:bCs w:val="0"/>
                <w:sz w:val="22"/>
                <w:szCs w:val="22"/>
                <w:rtl w:val="0"/>
              </w:rPr>
              <w:t xml:space="preserve">cftc.gov advisories, enforcement, testimony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rPr/>
            </w:pPr>
            <w:r w:rsidDel="00000000" w:rsidR="00000000" w:rsidRPr="00000000">
              <w:rPr>
                <w:b w:val="0"/>
                <w:bCs w:val="0"/>
                <w:sz w:val="20"/>
                <w:szCs w:val="20"/>
                <w:rtl w:val="0"/>
              </w:rPr>
              <w:t xml:space="preserve">RSS feeds, CFTC.gov scraping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F">
            <w:pPr>
              <w:rPr/>
            </w:pPr>
            <w:r w:rsidDel="00000000" w:rsidR="00000000" w:rsidRPr="00000000">
              <w:rPr>
                <w:b w:val="0"/>
                <w:bCs w:val="0"/>
                <w:sz w:val="22"/>
                <w:szCs w:val="22"/>
                <w:rtl w:val="0"/>
              </w:rPr>
              <w:t xml:space="preserve">FinCEN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0">
            <w:pPr>
              <w:rPr/>
            </w:pPr>
            <w:r w:rsidDel="00000000" w:rsidR="00000000" w:rsidRPr="00000000">
              <w:rPr>
                <w:b w:val="0"/>
                <w:bCs w:val="0"/>
                <w:sz w:val="22"/>
                <w:szCs w:val="22"/>
                <w:rtl w:val="0"/>
              </w:rPr>
              <w:t xml:space="preserve">fincen.gov guidance, rulings,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1">
            <w:pPr>
              <w:rPr/>
            </w:pPr>
            <w:r w:rsidDel="00000000" w:rsidR="00000000" w:rsidRPr="00000000">
              <w:rPr>
                <w:b w:val="0"/>
                <w:bCs w:val="0"/>
                <w:sz w:val="22"/>
                <w:szCs w:val="22"/>
                <w:rtl w:val="0"/>
              </w:rPr>
              <w:t xml:space="preserve">Guidance document archive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2">
            <w:pPr>
              <w:rPr/>
            </w:pPr>
            <w:r w:rsidDel="00000000" w:rsidR="00000000" w:rsidRPr="00000000">
              <w:rPr>
                <w:b w:val="0"/>
                <w:bCs w:val="0"/>
                <w:sz w:val="22"/>
                <w:szCs w:val="22"/>
                <w:rtl w:val="0"/>
              </w:rPr>
              <w:t xml:space="preserve">State Regulators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3">
            <w:pPr>
              <w:rPr/>
            </w:pPr>
            <w:r w:rsidDel="00000000" w:rsidR="00000000" w:rsidRPr="00000000">
              <w:rPr>
                <w:b w:val="0"/>
                <w:bCs w:val="0"/>
                <w:sz w:val="22"/>
                <w:szCs w:val="22"/>
                <w:rtl w:val="0"/>
              </w:rPr>
              <w:t xml:space="preserve">NYDFS, TX Securities Board, state AG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4">
            <w:pPr>
              <w:rPr/>
            </w:pPr>
            <w:r w:rsidDel="00000000" w:rsidR="00000000" w:rsidRPr="00000000">
              <w:rPr>
                <w:b w:val="0"/>
                <w:bCs w:val="0"/>
                <w:sz w:val="22"/>
                <w:szCs w:val="22"/>
                <w:rtl w:val="0"/>
              </w:rPr>
              <w:t xml:space="preserve">State-by-state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5">
            <w:pPr>
              <w:rPr/>
            </w:pPr>
            <w:r w:rsidDel="00000000" w:rsidR="00000000" w:rsidRPr="00000000">
              <w:rPr>
                <w:b w:val="0"/>
                <w:bCs w:val="0"/>
                <w:sz w:val="22"/>
                <w:szCs w:val="22"/>
                <w:rtl w:val="0"/>
              </w:rPr>
              <w:t xml:space="preserve">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6">
            <w:pPr>
              <w:rPr/>
            </w:pPr>
            <w:r w:rsidDel="00000000" w:rsidR="00000000" w:rsidRPr="00000000">
              <w:rPr>
                <w:b w:val="0"/>
                <w:bCs w:val="0"/>
                <w:sz w:val="22"/>
                <w:szCs w:val="22"/>
                <w:rtl w:val="0"/>
              </w:rPr>
              <w:t xml:space="preserve">EU MiCA, UK FCA, Singapore MAS, Japan FSA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7">
            <w:pPr>
              <w:rPr/>
            </w:pPr>
            <w:r w:rsidDel="00000000" w:rsidR="00000000" w:rsidRPr="00000000">
              <w:rPr>
                <w:b w:val="0"/>
                <w:bCs w:val="0"/>
                <w:sz w:val="22"/>
                <w:szCs w:val="22"/>
                <w:rtl w:val="0"/>
              </w:rPr>
              <w:t xml:space="preserve">Regulatory agency RSS/newsletters</w:t>
            </w:r>
            <w:r w:rsidDel="00000000" w:rsidR="00000000" w:rsidRPr="00000000">
              <w:rPr>
                <w:rtl w:val="0"/>
              </w:rPr>
            </w:r>
          </w:p>
        </w:tc>
      </w:tr>
    </w:tbl>
    <w:p w:rsidR="00000000" w:rsidDel="00000000" w:rsidP="00000000" w:rsidRDefault="00000000" w:rsidRPr="00000000" w14:paraId="000000D8">
      <w:pPr>
        <w:pStyle w:val="Heading2"/>
        <w:rPr/>
      </w:pPr>
      <w:r w:rsidDel="00000000" w:rsidR="00000000" w:rsidRPr="00000000">
        <w:rPr>
          <w:rtl w:val="0"/>
        </w:rPr>
        <w:t xml:space="preserve">Analysis Framework</w:t>
      </w:r>
    </w:p>
    <w:p w:rsidR="00000000" w:rsidDel="00000000" w:rsidP="00000000" w:rsidRDefault="00000000" w:rsidRPr="00000000" w14:paraId="000000D9">
      <w:pPr>
        <w:pStyle w:val="Heading3"/>
        <w:rPr/>
      </w:pPr>
      <w:r w:rsidDel="00000000" w:rsidR="00000000" w:rsidRPr="00000000">
        <w:rPr>
          <w:rtl w:val="0"/>
        </w:rPr>
        <w:t xml:space="preserve">Jurisdictional Mapping Dimensions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Classification Comparison: How does each regulator classify specific asset types (BTC, ETH, stablecoins, utility tokens, governance tokens)?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Regulation Comparison: Exchange licensing, custody requirements, staking services, lending, DeFi protocols.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Posture Comparison: Active enforcement vs. guidance-first approach by regulator.</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Requirements: What triggers registration with each regulator?</w:t>
      </w:r>
    </w:p>
    <w:p w:rsidR="00000000" w:rsidDel="00000000" w:rsidP="00000000" w:rsidRDefault="00000000" w:rsidRPr="00000000" w14:paraId="000000DE">
      <w:pPr>
        <w:pStyle w:val="Heading3"/>
        <w:rPr/>
      </w:pPr>
      <w:r w:rsidDel="00000000" w:rsidR="00000000" w:rsidRPr="00000000">
        <w:rPr>
          <w:rtl w:val="0"/>
        </w:rPr>
        <w:t xml:space="preserve">Gap/Overlap Identification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Gaps: Activities not clearly covered by any regulator (creates risk of future enforcement sweep).</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Overlaps: Activities claimed by multiple regulators (creates compliance complexity and cost).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Conflicting Requirements: Where compliance with one regime may violate another.</w:t>
      </w:r>
    </w:p>
    <w:p w:rsidR="00000000" w:rsidDel="00000000" w:rsidP="00000000" w:rsidRDefault="00000000" w:rsidRPr="00000000" w14:paraId="000000E2">
      <w:pPr>
        <w:pStyle w:val="Heading2"/>
        <w:rPr/>
      </w:pPr>
      <w:r w:rsidDel="00000000" w:rsidR="00000000" w:rsidRPr="00000000">
        <w:rPr>
          <w:rtl w:val="0"/>
        </w:rPr>
        <w:t xml:space="preserve">Deliverables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Jurisdictional comparison matrix by asset type and activity</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analysis report identifying regulatory blind spots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map showing irreconcilable regulatory requirements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Arbitrage opportunity/risk scorecard by business model</w:t>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Use Case 7: Comment Period Strategy Guide ( Written Input Analysis - relationship mapping, stand evolvement) </w:t>
      </w:r>
    </w:p>
    <w:p w:rsidR="00000000" w:rsidDel="00000000" w:rsidP="00000000" w:rsidRDefault="00000000" w:rsidRPr="00000000" w14:paraId="000000E9">
      <w:pPr>
        <w:pStyle w:val="Heading2"/>
        <w:rPr/>
      </w:pPr>
      <w:r w:rsidDel="00000000" w:rsidR="00000000" w:rsidRPr="00000000">
        <w:rPr>
          <w:rtl w:val="0"/>
        </w:rPr>
        <w:t xml:space="preserve">Objective</w:t>
      </w:r>
    </w:p>
    <w:p w:rsidR="00000000" w:rsidDel="00000000" w:rsidP="00000000" w:rsidRDefault="00000000" w:rsidRPr="00000000" w14:paraId="000000EA">
      <w:pPr>
        <w:spacing w:after="120" w:line="276" w:lineRule="auto"/>
        <w:rPr/>
      </w:pPr>
      <w:r w:rsidDel="00000000" w:rsidR="00000000" w:rsidRPr="00000000">
        <w:rPr>
          <w:sz w:val="22"/>
          <w:szCs w:val="22"/>
          <w:rtl w:val="0"/>
        </w:rPr>
        <w:t xml:space="preserve">Analyze which types of written submissions correlate with favorable regulatory outcomes to develop evidence-based advocacy strategies for future comment periods.</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Data Collection Strategy</w:t>
      </w:r>
    </w:p>
    <w:p w:rsidR="00000000" w:rsidDel="00000000" w:rsidP="00000000" w:rsidRDefault="00000000" w:rsidRPr="00000000" w14:paraId="000000EC">
      <w:pPr>
        <w:pStyle w:val="Heading3"/>
        <w:rPr/>
      </w:pPr>
      <w:r w:rsidDel="00000000" w:rsidR="00000000" w:rsidRPr="00000000">
        <w:rPr>
          <w:rtl w:val="0"/>
        </w:rPr>
        <w:t xml:space="preserve">Historical Comment Analysis</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Completed Rulemakings: Compile list of all SEC crypto-related rulemakings that proceeded from proposal to final rule.</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All Comments: Download complete comment files from SEC.gov for each rulemaking.</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Comment Characteristics: Categorize each comment by: Submitter type (industry, academic, consumer advocate, individual); Argument type (legal, economic, technical, policy); Supporting evidence (data, case studies, expert citations); Tone (adversarial, collaborative, technical); Length and structure.</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to Outcomes: Compare proposed rule to final rule. Identify which changes were made and which comments advocated for those changes.</w:t>
      </w:r>
    </w:p>
    <w:p w:rsidR="00000000" w:rsidDel="00000000" w:rsidP="00000000" w:rsidRDefault="00000000" w:rsidRPr="00000000" w14:paraId="000000F1">
      <w:pPr>
        <w:pStyle w:val="Heading2"/>
        <w:rPr/>
      </w:pPr>
      <w:r w:rsidDel="00000000" w:rsidR="00000000" w:rsidRPr="00000000">
        <w:rPr>
          <w:rtl w:val="0"/>
        </w:rPr>
        <w:t xml:space="preserve">Analysis Framework</w:t>
      </w:r>
    </w:p>
    <w:p w:rsidR="00000000" w:rsidDel="00000000" w:rsidP="00000000" w:rsidRDefault="00000000" w:rsidRPr="00000000" w14:paraId="000000F2">
      <w:pPr>
        <w:pStyle w:val="Heading3"/>
        <w:rPr/>
      </w:pPr>
      <w:r w:rsidDel="00000000" w:rsidR="00000000" w:rsidRPr="00000000">
        <w:rPr>
          <w:rtl w:val="0"/>
        </w:rPr>
        <w:t xml:space="preserve">Effectiveness Scoring Model</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F3">
            <w:pPr>
              <w:rPr/>
            </w:pPr>
            <w:r w:rsidDel="00000000" w:rsidR="00000000" w:rsidRPr="00000000">
              <w:rPr>
                <w:b w:val="1"/>
                <w:bCs w:val="1"/>
                <w:sz w:val="22"/>
                <w:szCs w:val="22"/>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F4">
            <w:pPr>
              <w:rPr/>
            </w:pPr>
            <w:r w:rsidDel="00000000" w:rsidR="00000000" w:rsidRPr="00000000">
              <w:rPr>
                <w:b w:val="1"/>
                <w:bCs w:val="1"/>
                <w:sz w:val="22"/>
                <w:szCs w:val="22"/>
                <w:rtl w:val="0"/>
              </w:rPr>
              <w:t xml:space="preserve">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F5">
            <w:pPr>
              <w:rPr/>
            </w:pPr>
            <w:r w:rsidDel="00000000" w:rsidR="00000000" w:rsidRPr="00000000">
              <w:rPr>
                <w:b w:val="1"/>
                <w:bCs w:val="1"/>
                <w:sz w:val="22"/>
                <w:szCs w:val="22"/>
                <w:rtl w:val="0"/>
              </w:rPr>
              <w:t xml:space="preserve">Hypothesis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6">
            <w:pPr>
              <w:rPr/>
            </w:pPr>
            <w:r w:rsidDel="00000000" w:rsidR="00000000" w:rsidRPr="00000000">
              <w:rPr>
                <w:b w:val="0"/>
                <w:bCs w:val="0"/>
                <w:sz w:val="20"/>
                <w:szCs w:val="20"/>
                <w:rtl w:val="0"/>
              </w:rPr>
              <w:t xml:space="preserve">Data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7">
            <w:pPr>
              <w:rPr/>
            </w:pPr>
            <w:r w:rsidDel="00000000" w:rsidR="00000000" w:rsidRPr="00000000">
              <w:rPr>
                <w:b w:val="0"/>
                <w:bCs w:val="0"/>
                <w:sz w:val="20"/>
                <w:szCs w:val="20"/>
                <w:rtl w:val="0"/>
              </w:rPr>
              <w:t xml:space="preserve">Presence of original research, economic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8">
            <w:pPr>
              <w:rPr/>
            </w:pPr>
            <w:r w:rsidDel="00000000" w:rsidR="00000000" w:rsidRPr="00000000">
              <w:rPr>
                <w:b w:val="0"/>
                <w:bCs w:val="0"/>
                <w:sz w:val="20"/>
                <w:szCs w:val="20"/>
                <w:rtl w:val="0"/>
              </w:rPr>
              <w:t xml:space="preserve">Data-rich comments more influential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9">
            <w:pPr>
              <w:rPr/>
            </w:pPr>
            <w:r w:rsidDel="00000000" w:rsidR="00000000" w:rsidRPr="00000000">
              <w:rPr>
                <w:b w:val="0"/>
                <w:bCs w:val="0"/>
                <w:sz w:val="20"/>
                <w:szCs w:val="20"/>
                <w:rtl w:val="0"/>
              </w:rPr>
              <w:t xml:space="preserve">Legal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A">
            <w:pPr>
              <w:rPr/>
            </w:pPr>
            <w:r w:rsidDel="00000000" w:rsidR="00000000" w:rsidRPr="00000000">
              <w:rPr>
                <w:b w:val="0"/>
                <w:bCs w:val="0"/>
                <w:sz w:val="20"/>
                <w:szCs w:val="20"/>
                <w:rtl w:val="0"/>
              </w:rPr>
              <w:t xml:space="preserve">Statutory citations, case law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B">
            <w:pPr>
              <w:rPr/>
            </w:pPr>
            <w:r w:rsidDel="00000000" w:rsidR="00000000" w:rsidRPr="00000000">
              <w:rPr>
                <w:b w:val="0"/>
                <w:bCs w:val="0"/>
                <w:sz w:val="20"/>
                <w:szCs w:val="20"/>
                <w:rtl w:val="0"/>
              </w:rPr>
              <w:t xml:space="preserve">Legal framing increases adoption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rPr/>
            </w:pPr>
            <w:r w:rsidDel="00000000" w:rsidR="00000000" w:rsidRPr="00000000">
              <w:rPr>
                <w:b w:val="0"/>
                <w:bCs w:val="0"/>
                <w:sz w:val="20"/>
                <w:szCs w:val="20"/>
                <w:rtl w:val="0"/>
              </w:rPr>
              <w:t xml:space="preserve">Constructive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rPr/>
            </w:pPr>
            <w:r w:rsidDel="00000000" w:rsidR="00000000" w:rsidRPr="00000000">
              <w:rPr>
                <w:b w:val="0"/>
                <w:bCs w:val="0"/>
                <w:sz w:val="20"/>
                <w:szCs w:val="20"/>
                <w:rtl w:val="0"/>
              </w:rPr>
              <w:t xml:space="preserve">Sentiment analysis, proposed alternatives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rPr/>
            </w:pPr>
            <w:r w:rsidDel="00000000" w:rsidR="00000000" w:rsidRPr="00000000">
              <w:rPr>
                <w:b w:val="0"/>
                <w:bCs w:val="0"/>
                <w:sz w:val="20"/>
                <w:szCs w:val="20"/>
                <w:rtl w:val="0"/>
              </w:rPr>
              <w:t xml:space="preserve">Collaborative comments more effective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rPr/>
            </w:pPr>
            <w:r w:rsidDel="00000000" w:rsidR="00000000" w:rsidRPr="00000000">
              <w:rPr>
                <w:b w:val="0"/>
                <w:bCs w:val="0"/>
                <w:sz w:val="20"/>
                <w:szCs w:val="20"/>
                <w:rtl w:val="0"/>
              </w:rPr>
              <w:t xml:space="preserve">Coalition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rPr/>
            </w:pPr>
            <w:r w:rsidDel="00000000" w:rsidR="00000000" w:rsidRPr="00000000">
              <w:rPr>
                <w:b w:val="0"/>
                <w:bCs w:val="0"/>
                <w:sz w:val="20"/>
                <w:szCs w:val="20"/>
                <w:rtl w:val="0"/>
              </w:rPr>
              <w:t xml:space="preserve">Co-signatories, aligned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rPr/>
            </w:pPr>
            <w:r w:rsidDel="00000000" w:rsidR="00000000" w:rsidRPr="00000000">
              <w:rPr>
                <w:b w:val="0"/>
                <w:bCs w:val="0"/>
                <w:sz w:val="20"/>
                <w:szCs w:val="20"/>
                <w:rtl w:val="0"/>
              </w:rPr>
              <w:t xml:space="preserve">Coordinated comments have more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rPr/>
            </w:pPr>
            <w:r w:rsidDel="00000000" w:rsidR="00000000" w:rsidRPr="00000000">
              <w:rPr>
                <w:b w:val="0"/>
                <w:bCs w:val="0"/>
                <w:sz w:val="20"/>
                <w:szCs w:val="20"/>
                <w:rtl w:val="0"/>
              </w:rPr>
              <w:t xml:space="preserve">Submitter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rPr/>
            </w:pPr>
            <w:r w:rsidDel="00000000" w:rsidR="00000000" w:rsidRPr="00000000">
              <w:rPr>
                <w:b w:val="0"/>
                <w:bCs w:val="0"/>
                <w:sz w:val="20"/>
                <w:szCs w:val="20"/>
                <w:rtl w:val="0"/>
              </w:rPr>
              <w:t xml:space="preserve">Past participation, expertise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rPr/>
            </w:pPr>
            <w:r w:rsidDel="00000000" w:rsidR="00000000" w:rsidRPr="00000000">
              <w:rPr>
                <w:b w:val="0"/>
                <w:bCs w:val="0"/>
                <w:sz w:val="20"/>
                <w:szCs w:val="20"/>
                <w:rtl w:val="0"/>
              </w:rPr>
              <w:t xml:space="preserve">Known entities get more attention</w:t>
            </w:r>
            <w:r w:rsidDel="00000000" w:rsidR="00000000" w:rsidRPr="00000000">
              <w:rPr>
                <w:rtl w:val="0"/>
              </w:rPr>
            </w:r>
          </w:p>
        </w:tc>
      </w:tr>
    </w:tbl>
    <w:p w:rsidR="00000000" w:rsidDel="00000000" w:rsidP="00000000" w:rsidRDefault="00000000" w:rsidRPr="00000000" w14:paraId="00000105">
      <w:pPr>
        <w:pStyle w:val="Heading2"/>
        <w:rPr/>
      </w:pPr>
      <w:r w:rsidDel="00000000" w:rsidR="00000000" w:rsidRPr="00000000">
        <w:rPr>
          <w:rtl w:val="0"/>
        </w:rPr>
        <w:t xml:space="preserve">Deliverables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 guide for effective regulatory comments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library for different comment types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Submitter effectiveness rankings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comment period monitoring with strategic recommendations</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shd w:fill="999999" w:val="clear"/>
        </w:rPr>
      </w:pPr>
      <w:r w:rsidDel="00000000" w:rsidR="00000000" w:rsidRPr="00000000">
        <w:rPr>
          <w:shd w:fill="999999" w:val="clear"/>
          <w:rtl w:val="0"/>
        </w:rPr>
        <w:t xml:space="preserve">Use Case 8: Geographic &amp; Sectoral Representation Analysis</w:t>
      </w:r>
    </w:p>
    <w:p w:rsidR="00000000" w:rsidDel="00000000" w:rsidP="00000000" w:rsidRDefault="00000000" w:rsidRPr="00000000" w14:paraId="0000010C">
      <w:pPr>
        <w:pStyle w:val="Heading2"/>
        <w:rPr/>
      </w:pPr>
      <w:r w:rsidDel="00000000" w:rsidR="00000000" w:rsidRPr="00000000">
        <w:rPr>
          <w:rtl w:val="0"/>
        </w:rPr>
        <w:t xml:space="preserve">Objective</w:t>
      </w:r>
    </w:p>
    <w:p w:rsidR="00000000" w:rsidDel="00000000" w:rsidP="00000000" w:rsidRDefault="00000000" w:rsidRPr="00000000" w14:paraId="0000010D">
      <w:pPr>
        <w:spacing w:after="120" w:line="276" w:lineRule="auto"/>
        <w:rPr/>
      </w:pPr>
      <w:r w:rsidDel="00000000" w:rsidR="00000000" w:rsidRPr="00000000">
        <w:rPr>
          <w:sz w:val="22"/>
          <w:szCs w:val="22"/>
          <w:rtl w:val="0"/>
        </w:rPr>
        <w:t xml:space="preserve">Expand participant categorization to track which industries, regions, and demographic groups are over/underrepresented in SEC crypto engagement to identify advocacy gaps and potential coalition partners.</w:t>
      </w: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Data Collection Strategy</w:t>
      </w:r>
    </w:p>
    <w:p w:rsidR="00000000" w:rsidDel="00000000" w:rsidP="00000000" w:rsidRDefault="00000000" w:rsidRPr="00000000" w14:paraId="0000010F">
      <w:pPr>
        <w:pStyle w:val="Heading3"/>
        <w:rPr/>
      </w:pPr>
      <w:r w:rsidDel="00000000" w:rsidR="00000000" w:rsidRPr="00000000">
        <w:rPr>
          <w:rtl w:val="0"/>
        </w:rPr>
        <w:t xml:space="preserve">Participant Enrichment Data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Location: Headquarters location for organizations, LinkedIn/bio location for individuals. Sources: Company websites, LinkedIn, SEC registration data.</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Sector: Detailed classification beyond crypto/TradFi. Categories: DeFi protocols, CeFi exchanges, custody providers, payment processors, NFT platforms, gaming/metaverse, traditional banks, asset managers, broker-dealers, law firms, accounting firms, academics.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Size: Revenue, employee count, AUM where applicable. Sources: PitchBook, Crunchbase, SEC filings.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Indicators: Where available and appropriate, track diversity of voices (gender, founding team composition).</w:t>
      </w:r>
    </w:p>
    <w:p w:rsidR="00000000" w:rsidDel="00000000" w:rsidP="00000000" w:rsidRDefault="00000000" w:rsidRPr="00000000" w14:paraId="00000114">
      <w:pPr>
        <w:pStyle w:val="Heading2"/>
        <w:rPr/>
      </w:pPr>
      <w:r w:rsidDel="00000000" w:rsidR="00000000" w:rsidRPr="00000000">
        <w:rPr>
          <w:rtl w:val="0"/>
        </w:rPr>
        <w:t xml:space="preserve">Analysis Framework</w:t>
      </w:r>
    </w:p>
    <w:p w:rsidR="00000000" w:rsidDel="00000000" w:rsidP="00000000" w:rsidRDefault="00000000" w:rsidRPr="00000000" w14:paraId="00000115">
      <w:pPr>
        <w:pStyle w:val="Heading3"/>
        <w:rPr/>
      </w:pPr>
      <w:r w:rsidDel="00000000" w:rsidR="00000000" w:rsidRPr="00000000">
        <w:rPr>
          <w:rtl w:val="0"/>
        </w:rPr>
        <w:t xml:space="preserve">Representation Metrics</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 Rate by Sector: Compare sector representation in roundtables/comments to sector size in industry.</w:t>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Concentration: Map participant locations. Identify underrepresented regions (non-coastal US, international).</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Diversity Index: Measure diversity of perspectives within each stakeholder category.</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Business Representation: Track participation by company size to identify if regulatory process favors large players.</w:t>
      </w:r>
    </w:p>
    <w:p w:rsidR="00000000" w:rsidDel="00000000" w:rsidP="00000000" w:rsidRDefault="00000000" w:rsidRPr="00000000" w14:paraId="0000011A">
      <w:pPr>
        <w:pStyle w:val="Heading3"/>
        <w:rPr/>
      </w:pPr>
      <w:r w:rsidDel="00000000" w:rsidR="00000000" w:rsidRPr="00000000">
        <w:rPr>
          <w:rtl w:val="0"/>
        </w:rPr>
        <w:t xml:space="preserve">Gap Analysis Questions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sectors are affected by crypto regulation but not participating in policy discussions?</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certain geographic regions systematically excluded from the conversation?</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participation patterns favor incumbents over emerging players?</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retail investor perspectives adequately represented?</w:t>
      </w:r>
    </w:p>
    <w:p w:rsidR="00000000" w:rsidDel="00000000" w:rsidP="00000000" w:rsidRDefault="00000000" w:rsidRPr="00000000" w14:paraId="0000011F">
      <w:pPr>
        <w:pStyle w:val="Heading2"/>
        <w:rPr/>
      </w:pPr>
      <w:r w:rsidDel="00000000" w:rsidR="00000000" w:rsidRPr="00000000">
        <w:rPr>
          <w:rtl w:val="0"/>
        </w:rPr>
        <w:t xml:space="preserve">Deliverables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Representation heatmap by sector and geography</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Underrepresented stakeholder identification report</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Coalition opportunity analysis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Advocacy gap recommendations for industry associations</w:t>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Use Case 9: Regulatory Debt Inventory</w:t>
      </w:r>
    </w:p>
    <w:p w:rsidR="00000000" w:rsidDel="00000000" w:rsidP="00000000" w:rsidRDefault="00000000" w:rsidRPr="00000000" w14:paraId="00000126">
      <w:pPr>
        <w:pStyle w:val="Heading2"/>
        <w:rPr/>
      </w:pPr>
      <w:r w:rsidDel="00000000" w:rsidR="00000000" w:rsidRPr="00000000">
        <w:rPr>
          <w:rtl w:val="0"/>
        </w:rPr>
        <w:t xml:space="preserve">Objective</w:t>
      </w:r>
    </w:p>
    <w:p w:rsidR="00000000" w:rsidDel="00000000" w:rsidP="00000000" w:rsidRDefault="00000000" w:rsidRPr="00000000" w14:paraId="00000127">
      <w:pPr>
        <w:spacing w:after="120" w:line="276" w:lineRule="auto"/>
        <w:rPr/>
      </w:pPr>
      <w:r w:rsidDel="00000000" w:rsidR="00000000" w:rsidRPr="00000000">
        <w:rPr>
          <w:sz w:val="22"/>
          <w:szCs w:val="22"/>
          <w:rtl w:val="0"/>
        </w:rPr>
        <w:t xml:space="preserve">Building on Chris Brummer's 'regulatory debt' concept from roundtable analysis, catalog specific outdated rules, conflicting guidance, and unresolved questions across SEC crypto pronouncements to create a comprehensive reform agenda.</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Data Collection Strategy</w:t>
      </w:r>
    </w:p>
    <w:p w:rsidR="00000000" w:rsidDel="00000000" w:rsidP="00000000" w:rsidRDefault="00000000" w:rsidRPr="00000000" w14:paraId="00000129">
      <w:pPr>
        <w:pStyle w:val="Heading3"/>
        <w:rPr/>
      </w:pPr>
      <w:r w:rsidDel="00000000" w:rsidR="00000000" w:rsidRPr="00000000">
        <w:rPr>
          <w:rtl w:val="0"/>
        </w:rPr>
        <w:t xml:space="preserve">Regulatory Archaeology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Guidance Compilation: Compile all SEC statements, guidance, no-action letters, and speeches on crypto from 2013-present. Source: SEC.gov historical archives.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Supersession Analysis: Identify which guidance has been explicitly superseded vs. implicitly abandoned vs. still technically valid.</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Detection: Map instances where different SEC statements take inconsistent positions.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Pain Points: Extract complaints about specific regulatory problems from roundtable transcripts and comment letters.</w:t>
      </w:r>
    </w:p>
    <w:p w:rsidR="00000000" w:rsidDel="00000000" w:rsidP="00000000" w:rsidRDefault="00000000" w:rsidRPr="00000000" w14:paraId="0000012E">
      <w:pPr>
        <w:pStyle w:val="Heading2"/>
        <w:rPr/>
      </w:pPr>
      <w:r w:rsidDel="00000000" w:rsidR="00000000" w:rsidRPr="00000000">
        <w:rPr>
          <w:rtl w:val="0"/>
        </w:rPr>
        <w:t xml:space="preserve">Analysis Framework</w:t>
      </w:r>
    </w:p>
    <w:p w:rsidR="00000000" w:rsidDel="00000000" w:rsidP="00000000" w:rsidRDefault="00000000" w:rsidRPr="00000000" w14:paraId="0000012F">
      <w:pPr>
        <w:pStyle w:val="Heading3"/>
        <w:rPr/>
      </w:pPr>
      <w:r w:rsidDel="00000000" w:rsidR="00000000" w:rsidRPr="00000000">
        <w:rPr>
          <w:rtl w:val="0"/>
        </w:rPr>
        <w:t xml:space="preserve">Regulatory Debt Categories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0">
            <w:pPr>
              <w:rPr/>
            </w:pPr>
            <w:r w:rsidDel="00000000" w:rsidR="00000000" w:rsidRPr="00000000">
              <w:rPr>
                <w:b w:val="1"/>
                <w:bCs w:val="1"/>
                <w:sz w:val="22"/>
                <w:szCs w:val="22"/>
                <w:rtl w:val="0"/>
              </w:rPr>
              <w:t xml:space="preserve">Debt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1">
            <w:pPr>
              <w:rPr/>
            </w:pPr>
            <w:r w:rsidDel="00000000" w:rsidR="00000000" w:rsidRPr="00000000">
              <w:rPr>
                <w:b w:val="1"/>
                <w:bCs w:val="1"/>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2">
            <w:pPr>
              <w:rPr/>
            </w:pPr>
            <w:r w:rsidDel="00000000" w:rsidR="00000000" w:rsidRPr="00000000">
              <w:rPr>
                <w:b w:val="1"/>
                <w:bCs w:val="1"/>
                <w:sz w:val="22"/>
                <w:szCs w:val="22"/>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3">
            <w:pPr>
              <w:rPr/>
            </w:pPr>
            <w:r w:rsidDel="00000000" w:rsidR="00000000" w:rsidRPr="00000000">
              <w:rPr>
                <w:b w:val="0"/>
                <w:bCs w:val="0"/>
                <w:sz w:val="22"/>
                <w:szCs w:val="22"/>
                <w:rtl w:val="0"/>
              </w:rPr>
              <w:t xml:space="preserve">Outdated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4">
            <w:pPr>
              <w:rPr/>
            </w:pPr>
            <w:r w:rsidDel="00000000" w:rsidR="00000000" w:rsidRPr="00000000">
              <w:rPr>
                <w:b w:val="0"/>
                <w:bCs w:val="0"/>
                <w:sz w:val="22"/>
                <w:szCs w:val="22"/>
                <w:rtl w:val="0"/>
              </w:rPr>
              <w:t xml:space="preserve">Rules/statements based on obsolete technology or market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5">
            <w:pPr>
              <w:rPr/>
            </w:pPr>
            <w:r w:rsidDel="00000000" w:rsidR="00000000" w:rsidRPr="00000000">
              <w:rPr>
                <w:b w:val="0"/>
                <w:bCs w:val="0"/>
                <w:sz w:val="22"/>
                <w:szCs w:val="22"/>
                <w:rtl w:val="0"/>
              </w:rPr>
              <w:t xml:space="preserve">2019 Framework predating DeFi explosion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6">
            <w:pPr>
              <w:rPr/>
            </w:pPr>
            <w:r w:rsidDel="00000000" w:rsidR="00000000" w:rsidRPr="00000000">
              <w:rPr>
                <w:b w:val="0"/>
                <w:bCs w:val="0"/>
                <w:sz w:val="22"/>
                <w:szCs w:val="22"/>
                <w:rtl w:val="0"/>
              </w:rPr>
              <w:t xml:space="preserve">Internal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7">
            <w:pPr>
              <w:rPr/>
            </w:pPr>
            <w:r w:rsidDel="00000000" w:rsidR="00000000" w:rsidRPr="00000000">
              <w:rPr>
                <w:b w:val="0"/>
                <w:bCs w:val="0"/>
                <w:sz w:val="22"/>
                <w:szCs w:val="22"/>
                <w:rtl w:val="0"/>
              </w:rPr>
              <w:t xml:space="preserve">Inconsistent SEC positions that create compliance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8">
            <w:pPr>
              <w:rPr/>
            </w:pPr>
            <w:r w:rsidDel="00000000" w:rsidR="00000000" w:rsidRPr="00000000">
              <w:rPr>
                <w:b w:val="0"/>
                <w:bCs w:val="0"/>
                <w:sz w:val="22"/>
                <w:szCs w:val="22"/>
                <w:rtl w:val="0"/>
              </w:rPr>
              <w:t xml:space="preserve">Varying commissioner views on decentralization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9">
            <w:pPr>
              <w:rPr/>
            </w:pPr>
            <w:r w:rsidDel="00000000" w:rsidR="00000000" w:rsidRPr="00000000">
              <w:rPr>
                <w:b w:val="0"/>
                <w:bCs w:val="0"/>
                <w:sz w:val="22"/>
                <w:szCs w:val="22"/>
                <w:rtl w:val="0"/>
              </w:rPr>
              <w:t xml:space="preserve">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A">
            <w:pPr>
              <w:rPr/>
            </w:pPr>
            <w:r w:rsidDel="00000000" w:rsidR="00000000" w:rsidRPr="00000000">
              <w:rPr>
                <w:b w:val="0"/>
                <w:bCs w:val="0"/>
                <w:sz w:val="22"/>
                <w:szCs w:val="22"/>
                <w:rtl w:val="0"/>
              </w:rPr>
              <w:t xml:space="preserve">Areas where guidance is needed but absent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B">
            <w:pPr>
              <w:rPr/>
            </w:pPr>
            <w:r w:rsidDel="00000000" w:rsidR="00000000" w:rsidRPr="00000000">
              <w:rPr>
                <w:b w:val="0"/>
                <w:bCs w:val="0"/>
                <w:sz w:val="22"/>
                <w:szCs w:val="22"/>
                <w:rtl w:val="0"/>
              </w:rPr>
              <w:t xml:space="preserve">Fee switch mechanics, DAO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C">
            <w:pPr>
              <w:rPr/>
            </w:pPr>
            <w:r w:rsidDel="00000000" w:rsidR="00000000" w:rsidRPr="00000000">
              <w:rPr>
                <w:b w:val="0"/>
                <w:bCs w:val="0"/>
                <w:sz w:val="22"/>
                <w:szCs w:val="22"/>
                <w:rtl w:val="0"/>
              </w:rPr>
              <w:t xml:space="preserve">Practical Impossibilities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D">
            <w:pPr>
              <w:rPr/>
            </w:pPr>
            <w:r w:rsidDel="00000000" w:rsidR="00000000" w:rsidRPr="00000000">
              <w:rPr>
                <w:b w:val="0"/>
                <w:bCs w:val="0"/>
                <w:sz w:val="22"/>
                <w:szCs w:val="22"/>
                <w:rtl w:val="0"/>
              </w:rPr>
              <w:t xml:space="preserve">Requirements that cannot be met with current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E">
            <w:pPr>
              <w:rPr/>
            </w:pPr>
            <w:r w:rsidDel="00000000" w:rsidR="00000000" w:rsidRPr="00000000">
              <w:rPr>
                <w:b w:val="0"/>
                <w:bCs w:val="0"/>
                <w:sz w:val="22"/>
                <w:szCs w:val="22"/>
                <w:rtl w:val="0"/>
              </w:rPr>
              <w:t xml:space="preserve">BlockFi-style registration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F">
            <w:pPr>
              <w:rPr/>
            </w:pPr>
            <w:r w:rsidDel="00000000" w:rsidR="00000000" w:rsidRPr="00000000">
              <w:rPr>
                <w:b w:val="0"/>
                <w:bCs w:val="0"/>
                <w:sz w:val="22"/>
                <w:szCs w:val="22"/>
                <w:rtl w:val="0"/>
              </w:rPr>
              <w:t xml:space="preserve">Jurisdictional Confusion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40">
            <w:pPr>
              <w:rPr/>
            </w:pPr>
            <w:r w:rsidDel="00000000" w:rsidR="00000000" w:rsidRPr="00000000">
              <w:rPr>
                <w:b w:val="0"/>
                <w:bCs w:val="0"/>
                <w:sz w:val="22"/>
                <w:szCs w:val="22"/>
                <w:rtl w:val="0"/>
              </w:rPr>
              <w:t xml:space="preserve">Unclear boundaries between SEC and other regulators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41">
            <w:pPr>
              <w:rPr/>
            </w:pPr>
            <w:r w:rsidDel="00000000" w:rsidR="00000000" w:rsidRPr="00000000">
              <w:rPr>
                <w:b w:val="0"/>
                <w:bCs w:val="0"/>
                <w:sz w:val="22"/>
                <w:szCs w:val="22"/>
                <w:rtl w:val="0"/>
              </w:rPr>
              <w:t xml:space="preserve">SEC vs. CFTC on token classification</w:t>
            </w:r>
            <w:r w:rsidDel="00000000" w:rsidR="00000000" w:rsidRPr="00000000">
              <w:rPr>
                <w:rtl w:val="0"/>
              </w:rPr>
            </w:r>
          </w:p>
        </w:tc>
      </w:tr>
    </w:tbl>
    <w:p w:rsidR="00000000" w:rsidDel="00000000" w:rsidP="00000000" w:rsidRDefault="00000000" w:rsidRPr="00000000" w14:paraId="00000142">
      <w:pPr>
        <w:pStyle w:val="Heading2"/>
        <w:rPr/>
      </w:pPr>
      <w:r w:rsidDel="00000000" w:rsidR="00000000" w:rsidRPr="00000000">
        <w:rPr>
          <w:rtl w:val="0"/>
        </w:rPr>
        <w:t xml:space="preserve">Deliverables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regulatory debt inventory with severity rankings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 priority recommendations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Cost-of-debt analysis (compliance costs imposed by outdated rules)</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Clean-up agenda for task force consideration</w:t>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Use Case 10: Systemic Risk Indicator Dashboard</w:t>
      </w:r>
    </w:p>
    <w:p w:rsidR="00000000" w:rsidDel="00000000" w:rsidP="00000000" w:rsidRDefault="00000000" w:rsidRPr="00000000" w14:paraId="00000149">
      <w:pPr>
        <w:pStyle w:val="Heading2"/>
        <w:rPr/>
      </w:pPr>
      <w:r w:rsidDel="00000000" w:rsidR="00000000" w:rsidRPr="00000000">
        <w:rPr>
          <w:rtl w:val="0"/>
        </w:rPr>
        <w:t xml:space="preserve">Objective</w:t>
      </w:r>
    </w:p>
    <w:p w:rsidR="00000000" w:rsidDel="00000000" w:rsidP="00000000" w:rsidRDefault="00000000" w:rsidRPr="00000000" w14:paraId="0000014A">
      <w:pPr>
        <w:spacing w:after="120" w:line="276" w:lineRule="auto"/>
        <w:rPr/>
      </w:pPr>
      <w:r w:rsidDel="00000000" w:rsidR="00000000" w:rsidRPr="00000000">
        <w:rPr>
          <w:sz w:val="22"/>
          <w:szCs w:val="22"/>
          <w:rtl w:val="0"/>
        </w:rPr>
        <w:t xml:space="preserve">Track SEC/FSOC statements on crypto interconnectedness with traditional finance, cross-referenced with actual market data on institutional adoption, to inform risk modeling and regulatory advocacy.</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Data Collection Strategy</w:t>
      </w:r>
    </w:p>
    <w:p w:rsidR="00000000" w:rsidDel="00000000" w:rsidP="00000000" w:rsidRDefault="00000000" w:rsidRPr="00000000" w14:paraId="0000014C">
      <w:pPr>
        <w:pStyle w:val="Heading3"/>
        <w:rPr/>
      </w:pPr>
      <w:r w:rsidDel="00000000" w:rsidR="00000000" w:rsidRPr="00000000">
        <w:rPr>
          <w:rtl w:val="0"/>
        </w:rPr>
        <w:t xml:space="preserve">Regulatory Risk Assessments</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FSOC Annual Reports: treasury.gov/fsoc - Crypto-specific sections from each annual report</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FSOC Statements on Digital Assets: Ad hoc statements and recommendations</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Risk Reports: SEC Division of Economic and Risk Analysis publications</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Reserve Financial Stability Reports: Crypto interconnectedness analysis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OFR Working Papers: Office of Financial Research analysis on crypto systemic risk</w:t>
      </w:r>
    </w:p>
    <w:p w:rsidR="00000000" w:rsidDel="00000000" w:rsidP="00000000" w:rsidRDefault="00000000" w:rsidRPr="00000000" w14:paraId="00000152">
      <w:pPr>
        <w:pStyle w:val="Heading3"/>
        <w:rPr/>
      </w:pPr>
      <w:r w:rsidDel="00000000" w:rsidR="00000000" w:rsidRPr="00000000">
        <w:rPr>
          <w:rtl w:val="0"/>
        </w:rPr>
        <w:t xml:space="preserve">Market Interconnectedness Data</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Holdings: 13F filings for crypto exposure (Grayscale, ETF holdings)</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Crypto Activities: OCC interpretive letters, bank crypto custody announcements</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Stablecoin Reserve Composition: Attestation reports (Circle, Tether)</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 TVL in TradFi Assets: Tokenized treasuries, RWA protocols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Correlation Analysis: Crypto/equity correlation coefficients over time</w:t>
      </w:r>
    </w:p>
    <w:p w:rsidR="00000000" w:rsidDel="00000000" w:rsidP="00000000" w:rsidRDefault="00000000" w:rsidRPr="00000000" w14:paraId="00000158">
      <w:pPr>
        <w:pStyle w:val="Heading2"/>
        <w:rPr/>
      </w:pPr>
      <w:r w:rsidDel="00000000" w:rsidR="00000000" w:rsidRPr="00000000">
        <w:rPr>
          <w:rtl w:val="0"/>
        </w:rPr>
        <w:t xml:space="preserve">Analysis Framework</w:t>
      </w:r>
    </w:p>
    <w:p w:rsidR="00000000" w:rsidDel="00000000" w:rsidP="00000000" w:rsidRDefault="00000000" w:rsidRPr="00000000" w14:paraId="00000159">
      <w:pPr>
        <w:pStyle w:val="Heading3"/>
        <w:rPr/>
      </w:pPr>
      <w:r w:rsidDel="00000000" w:rsidR="00000000" w:rsidRPr="00000000">
        <w:rPr>
          <w:rtl w:val="0"/>
        </w:rPr>
        <w:t xml:space="preserve">Risk Indicator Categories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A">
            <w:pPr>
              <w:rPr/>
            </w:pPr>
            <w:r w:rsidDel="00000000" w:rsidR="00000000" w:rsidRPr="00000000">
              <w:rPr>
                <w:b w:val="1"/>
                <w:bCs w:val="1"/>
                <w:sz w:val="22"/>
                <w:szCs w:val="22"/>
                <w:rtl w:val="0"/>
              </w:rPr>
              <w:t xml:space="preserve">Risk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B">
            <w:pPr>
              <w:rPr/>
            </w:pPr>
            <w:r w:rsidDel="00000000" w:rsidR="00000000" w:rsidRPr="00000000">
              <w:rPr>
                <w:b w:val="1"/>
                <w:bCs w:val="1"/>
                <w:sz w:val="22"/>
                <w:szCs w:val="22"/>
                <w:rtl w:val="0"/>
              </w:rPr>
              <w:t xml:space="preserve">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C">
            <w:pPr>
              <w:rPr/>
            </w:pPr>
            <w:r w:rsidDel="00000000" w:rsidR="00000000" w:rsidRPr="00000000">
              <w:rPr>
                <w:b w:val="1"/>
                <w:bCs w:val="1"/>
                <w:sz w:val="22"/>
                <w:szCs w:val="22"/>
                <w:rtl w:val="0"/>
              </w:rPr>
              <w:t xml:space="preserve">Data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D">
            <w:pPr>
              <w:rPr/>
            </w:pPr>
            <w:r w:rsidDel="00000000" w:rsidR="00000000" w:rsidRPr="00000000">
              <w:rPr>
                <w:b w:val="0"/>
                <w:bCs w:val="0"/>
                <w:sz w:val="22"/>
                <w:szCs w:val="22"/>
                <w:rtl w:val="0"/>
              </w:rPr>
              <w:t xml:space="preserve">Direct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E">
            <w:pPr>
              <w:rPr/>
            </w:pPr>
            <w:r w:rsidDel="00000000" w:rsidR="00000000" w:rsidRPr="00000000">
              <w:rPr>
                <w:b w:val="0"/>
                <w:bCs w:val="0"/>
                <w:sz w:val="22"/>
                <w:szCs w:val="22"/>
                <w:rtl w:val="0"/>
              </w:rPr>
              <w:t xml:space="preserve">Bank crypto holdings, fund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F">
            <w:pPr>
              <w:rPr/>
            </w:pPr>
            <w:r w:rsidDel="00000000" w:rsidR="00000000" w:rsidRPr="00000000">
              <w:rPr>
                <w:b w:val="0"/>
                <w:bCs w:val="0"/>
                <w:sz w:val="22"/>
                <w:szCs w:val="22"/>
                <w:rtl w:val="0"/>
              </w:rPr>
              <w:t xml:space="preserve">13F filings, bank disclosures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0">
            <w:pPr>
              <w:rPr/>
            </w:pPr>
            <w:r w:rsidDel="00000000" w:rsidR="00000000" w:rsidRPr="00000000">
              <w:rPr>
                <w:b w:val="0"/>
                <w:bCs w:val="0"/>
                <w:sz w:val="22"/>
                <w:szCs w:val="22"/>
                <w:rtl w:val="0"/>
              </w:rPr>
              <w:t xml:space="preserve">Indirect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1">
            <w:pPr>
              <w:rPr/>
            </w:pPr>
            <w:r w:rsidDel="00000000" w:rsidR="00000000" w:rsidRPr="00000000">
              <w:rPr>
                <w:b w:val="0"/>
                <w:bCs w:val="0"/>
                <w:sz w:val="22"/>
                <w:szCs w:val="22"/>
                <w:rtl w:val="0"/>
              </w:rPr>
              <w:t xml:space="preserve">Lending to crypto firms, counterparty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2">
            <w:pPr>
              <w:rPr/>
            </w:pPr>
            <w:r w:rsidDel="00000000" w:rsidR="00000000" w:rsidRPr="00000000">
              <w:rPr>
                <w:b w:val="0"/>
                <w:bCs w:val="0"/>
                <w:sz w:val="22"/>
                <w:szCs w:val="22"/>
                <w:rtl w:val="0"/>
              </w:rPr>
              <w:t xml:space="preserve">Call reports, syndicated loan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3">
            <w:pPr>
              <w:rPr/>
            </w:pPr>
            <w:r w:rsidDel="00000000" w:rsidR="00000000" w:rsidRPr="00000000">
              <w:rPr>
                <w:b w:val="0"/>
                <w:bCs w:val="0"/>
                <w:sz w:val="22"/>
                <w:szCs w:val="22"/>
                <w:rtl w:val="0"/>
              </w:rPr>
              <w:t xml:space="preserve">Payment System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4">
            <w:pPr>
              <w:rPr/>
            </w:pPr>
            <w:r w:rsidDel="00000000" w:rsidR="00000000" w:rsidRPr="00000000">
              <w:rPr>
                <w:b w:val="0"/>
                <w:bCs w:val="0"/>
                <w:sz w:val="22"/>
                <w:szCs w:val="22"/>
                <w:rtl w:val="0"/>
              </w:rPr>
              <w:t xml:space="preserve">Stablecoin flows, bank-crypto 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5">
            <w:pPr>
              <w:rPr/>
            </w:pPr>
            <w:r w:rsidDel="00000000" w:rsidR="00000000" w:rsidRPr="00000000">
              <w:rPr>
                <w:b w:val="0"/>
                <w:bCs w:val="0"/>
                <w:sz w:val="22"/>
                <w:szCs w:val="22"/>
                <w:rtl w:val="0"/>
              </w:rPr>
              <w:t xml:space="preserve">On-chain data, bank partnerships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6">
            <w:pPr>
              <w:rPr/>
            </w:pPr>
            <w:r w:rsidDel="00000000" w:rsidR="00000000" w:rsidRPr="00000000">
              <w:rPr>
                <w:b w:val="0"/>
                <w:bCs w:val="0"/>
                <w:sz w:val="22"/>
                <w:szCs w:val="22"/>
                <w:rtl w:val="0"/>
              </w:rPr>
              <w:t xml:space="preserve">Market Contagion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7">
            <w:pPr>
              <w:rPr/>
            </w:pPr>
            <w:r w:rsidDel="00000000" w:rsidR="00000000" w:rsidRPr="00000000">
              <w:rPr>
                <w:b w:val="0"/>
                <w:bCs w:val="0"/>
                <w:sz w:val="22"/>
                <w:szCs w:val="22"/>
                <w:rtl w:val="0"/>
              </w:rPr>
              <w:t xml:space="preserve">Crypto-equity correlations, volatility spillover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8">
            <w:pPr>
              <w:rPr/>
            </w:pPr>
            <w:r w:rsidDel="00000000" w:rsidR="00000000" w:rsidRPr="00000000">
              <w:rPr>
                <w:b w:val="0"/>
                <w:bCs w:val="0"/>
                <w:sz w:val="22"/>
                <w:szCs w:val="22"/>
                <w:rtl w:val="0"/>
              </w:rPr>
              <w:t xml:space="preserve">Bloomberg, on-chain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9">
            <w:pPr>
              <w:rPr/>
            </w:pPr>
            <w:r w:rsidDel="00000000" w:rsidR="00000000" w:rsidRPr="00000000">
              <w:rPr>
                <w:b w:val="0"/>
                <w:bCs w:val="0"/>
                <w:sz w:val="22"/>
                <w:szCs w:val="22"/>
                <w:rtl w:val="0"/>
              </w:rPr>
              <w:t xml:space="preserve">Operational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A">
            <w:pPr>
              <w:rPr/>
            </w:pPr>
            <w:r w:rsidDel="00000000" w:rsidR="00000000" w:rsidRPr="00000000">
              <w:rPr>
                <w:b w:val="0"/>
                <w:bCs w:val="0"/>
                <w:sz w:val="22"/>
                <w:szCs w:val="22"/>
                <w:rtl w:val="0"/>
              </w:rPr>
              <w:t xml:space="preserve">Shared infrastructure, custody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B">
            <w:pPr>
              <w:rPr/>
            </w:pPr>
            <w:r w:rsidDel="00000000" w:rsidR="00000000" w:rsidRPr="00000000">
              <w:rPr>
                <w:b w:val="0"/>
                <w:bCs w:val="0"/>
                <w:sz w:val="22"/>
                <w:szCs w:val="22"/>
                <w:rtl w:val="0"/>
              </w:rPr>
              <w:t xml:space="preserve">Industry reports, SEC filings</w:t>
            </w:r>
            <w:r w:rsidDel="00000000" w:rsidR="00000000" w:rsidRPr="00000000">
              <w:rPr>
                <w:rtl w:val="0"/>
              </w:rPr>
            </w:r>
          </w:p>
        </w:tc>
      </w:tr>
    </w:tbl>
    <w:p w:rsidR="00000000" w:rsidDel="00000000" w:rsidP="00000000" w:rsidRDefault="00000000" w:rsidRPr="00000000" w14:paraId="0000016C">
      <w:pPr>
        <w:pStyle w:val="Heading2"/>
        <w:rPr/>
      </w:pPr>
      <w:r w:rsidDel="00000000" w:rsidR="00000000" w:rsidRPr="00000000">
        <w:rPr>
          <w:rtl w:val="0"/>
        </w:rPr>
        <w:t xml:space="preserve">Deliverables</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systemic risk dashboard with real-time indicators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interconnectedness report</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narrative vs. market reality comparison</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warning system for emerging systemic risk vectors</w:t>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pPr>
      <w:r w:rsidDel="00000000" w:rsidR="00000000" w:rsidRPr="00000000">
        <w:rPr>
          <w:rtl w:val="0"/>
        </w:rPr>
        <w:t xml:space="preserve">Implementation Roadmap</w:t>
      </w:r>
    </w:p>
    <w:p w:rsidR="00000000" w:rsidDel="00000000" w:rsidP="00000000" w:rsidRDefault="00000000" w:rsidRPr="00000000" w14:paraId="00000173">
      <w:pPr>
        <w:pStyle w:val="Heading2"/>
        <w:rPr/>
      </w:pPr>
      <w:r w:rsidDel="00000000" w:rsidR="00000000" w:rsidRPr="00000000">
        <w:rPr>
          <w:rtl w:val="0"/>
        </w:rPr>
        <w:t xml:space="preserve">Phase 1: Foundation (Months 1-2)</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Consolidate existing roundtable analysis and stakeholder database</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data collection infrastructure (SEC API access, web scraping pipelines)</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core participant database with enrichment fields</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#1 (Network Analysis), #2 (Position Tracker)</w:t>
      </w:r>
    </w:p>
    <w:p w:rsidR="00000000" w:rsidDel="00000000" w:rsidP="00000000" w:rsidRDefault="00000000" w:rsidRPr="00000000" w14:paraId="00000178">
      <w:pPr>
        <w:pStyle w:val="Heading2"/>
        <w:rPr/>
      </w:pPr>
      <w:r w:rsidDel="00000000" w:rsidR="00000000" w:rsidRPr="00000000">
        <w:rPr>
          <w:rtl w:val="0"/>
        </w:rPr>
        <w:t xml:space="preserve">Phase 2: Intelligence Products (Months 3-4)</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signal detection algorithms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enforcement-to-guidance tracking system</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token classification decision framework</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#3 (Signal Detection), #4 (Enforcement Pipeline), #5 (Classification Tool)</w:t>
      </w:r>
    </w:p>
    <w:p w:rsidR="00000000" w:rsidDel="00000000" w:rsidP="00000000" w:rsidRDefault="00000000" w:rsidRPr="00000000" w14:paraId="0000017D">
      <w:pPr>
        <w:pStyle w:val="Heading2"/>
        <w:rPr/>
      </w:pPr>
      <w:r w:rsidDel="00000000" w:rsidR="00000000" w:rsidRPr="00000000">
        <w:rPr>
          <w:rtl w:val="0"/>
        </w:rPr>
        <w:t xml:space="preserve">Phase 3: Strategic Tools (Months 5-6)</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jurisdictional comparison framework</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comment effectiveness model</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geographic/sectoral analysis</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#6 (Arbitrage Risk), #7 (Comment Strategy), #8 (Representation)</w:t>
      </w:r>
    </w:p>
    <w:p w:rsidR="00000000" w:rsidDel="00000000" w:rsidP="00000000" w:rsidRDefault="00000000" w:rsidRPr="00000000" w14:paraId="00000182">
      <w:pPr>
        <w:pStyle w:val="Heading2"/>
        <w:rPr/>
      </w:pPr>
      <w:r w:rsidDel="00000000" w:rsidR="00000000" w:rsidRPr="00000000">
        <w:rPr>
          <w:rtl w:val="0"/>
        </w:rPr>
        <w:t xml:space="preserve">Phase 4: Advanced Analytics (Months 7-8)</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regulatory debt inventory</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systemic risk dashboard</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and cross-referencing across all use cases</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#9 (Regulatory Debt), #10 (Systemic Risk)</w:t>
      </w:r>
    </w:p>
    <w:p w:rsidR="00000000" w:rsidDel="00000000" w:rsidP="00000000" w:rsidRDefault="00000000" w:rsidRPr="00000000" w14:paraId="00000187">
      <w:pPr>
        <w:pStyle w:val="Heading2"/>
        <w:rPr/>
      </w:pPr>
      <w:r w:rsidDel="00000000" w:rsidR="00000000" w:rsidRPr="00000000">
        <w:rPr>
          <w:rtl w:val="0"/>
        </w:rPr>
        <w:t xml:space="preserve">Resource Requirements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88">
            <w:pPr>
              <w:rPr/>
            </w:pPr>
            <w:r w:rsidDel="00000000" w:rsidR="00000000" w:rsidRPr="00000000">
              <w:rPr>
                <w:b w:val="1"/>
                <w:bCs w:val="1"/>
                <w:sz w:val="22"/>
                <w:szCs w:val="22"/>
                <w:rtl w:val="0"/>
              </w:rPr>
              <w:t xml:space="preserve">Resource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89">
            <w:pPr>
              <w:rPr/>
            </w:pPr>
            <w:r w:rsidDel="00000000" w:rsidR="00000000" w:rsidRPr="00000000">
              <w:rPr>
                <w:b w:val="1"/>
                <w:bCs w:val="1"/>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8A">
            <w:pP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B">
            <w:pPr>
              <w:rPr/>
            </w:pPr>
            <w:r w:rsidDel="00000000" w:rsidR="00000000" w:rsidRPr="00000000">
              <w:rPr>
                <w:b w:val="0"/>
                <w:bCs w:val="0"/>
                <w:sz w:val="20"/>
                <w:szCs w:val="20"/>
                <w:rtl w:val="0"/>
              </w:rPr>
              <w:t xml:space="preserve">Data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C">
            <w:pPr>
              <w:rPr/>
            </w:pPr>
            <w:r w:rsidDel="00000000" w:rsidR="00000000" w:rsidRPr="00000000">
              <w:rPr>
                <w:b w:val="0"/>
                <w:bCs w:val="0"/>
                <w:sz w:val="20"/>
                <w:szCs w:val="20"/>
                <w:rtl w:val="0"/>
              </w:rPr>
              <w:t xml:space="preserve">SEC EDGAR API, PACER access, web scraping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D">
            <w:pPr>
              <w:rPr/>
            </w:pPr>
            <w:r w:rsidDel="00000000" w:rsidR="00000000" w:rsidRPr="00000000">
              <w:rPr>
                <w:b w:val="0"/>
                <w:bCs w:val="0"/>
                <w:sz w:val="20"/>
                <w:szCs w:val="20"/>
                <w:rtl w:val="0"/>
              </w:rPr>
              <w:t xml:space="preserve">Primary data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E">
            <w:pPr>
              <w:rPr/>
            </w:pPr>
            <w:r w:rsidDel="00000000" w:rsidR="00000000" w:rsidRPr="00000000">
              <w:rPr>
                <w:b w:val="0"/>
                <w:bCs w:val="0"/>
                <w:sz w:val="20"/>
                <w:szCs w:val="20"/>
                <w:rtl w:val="0"/>
              </w:rPr>
              <w:t xml:space="preserve">Analysis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F">
            <w:pPr>
              <w:rPr/>
            </w:pPr>
            <w:r w:rsidDel="00000000" w:rsidR="00000000" w:rsidRPr="00000000">
              <w:rPr>
                <w:b w:val="0"/>
                <w:bCs w:val="0"/>
                <w:sz w:val="20"/>
                <w:szCs w:val="20"/>
                <w:rtl w:val="0"/>
              </w:rPr>
              <w:t xml:space="preserve">NLP/text analysis, network graphing, statistical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0">
            <w:pPr>
              <w:rPr/>
            </w:pPr>
            <w:r w:rsidDel="00000000" w:rsidR="00000000" w:rsidRPr="00000000">
              <w:rPr>
                <w:b w:val="0"/>
                <w:bCs w:val="0"/>
                <w:sz w:val="20"/>
                <w:szCs w:val="20"/>
                <w:rtl w:val="0"/>
              </w:rPr>
              <w:t xml:space="preserve">Pattern detection,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1">
            <w:pPr>
              <w:rPr/>
            </w:pPr>
            <w:r w:rsidDel="00000000" w:rsidR="00000000" w:rsidRPr="00000000">
              <w:rPr>
                <w:b w:val="0"/>
                <w:bCs w:val="0"/>
                <w:sz w:val="20"/>
                <w:szCs w:val="20"/>
                <w:rtl w:val="0"/>
              </w:rPr>
              <w:t xml:space="preserve">Domain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2">
            <w:pPr>
              <w:rPr/>
            </w:pPr>
            <w:r w:rsidDel="00000000" w:rsidR="00000000" w:rsidRPr="00000000">
              <w:rPr>
                <w:b w:val="0"/>
                <w:bCs w:val="0"/>
                <w:sz w:val="20"/>
                <w:szCs w:val="20"/>
                <w:rtl w:val="0"/>
              </w:rPr>
              <w:t xml:space="preserve">Securities law, crypto technology, 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3">
            <w:pPr>
              <w:rPr/>
            </w:pPr>
            <w:r w:rsidDel="00000000" w:rsidR="00000000" w:rsidRPr="00000000">
              <w:rPr>
                <w:b w:val="0"/>
                <w:bCs w:val="0"/>
                <w:sz w:val="20"/>
                <w:szCs w:val="20"/>
                <w:rtl w:val="0"/>
              </w:rPr>
              <w:t xml:space="preserve">Interpretation,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4">
            <w:pPr>
              <w:rPr/>
            </w:pPr>
            <w:r w:rsidDel="00000000" w:rsidR="00000000" w:rsidRPr="00000000">
              <w:rPr>
                <w:b w:val="0"/>
                <w:bCs w:val="0"/>
                <w:sz w:val="20"/>
                <w:szCs w:val="20"/>
                <w:rtl w:val="0"/>
              </w:rPr>
              <w:t xml:space="preserve">Commercial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5">
            <w:pPr>
              <w:rPr/>
            </w:pPr>
            <w:r w:rsidDel="00000000" w:rsidR="00000000" w:rsidRPr="00000000">
              <w:rPr>
                <w:b w:val="0"/>
                <w:bCs w:val="0"/>
                <w:sz w:val="20"/>
                <w:szCs w:val="20"/>
                <w:rtl w:val="0"/>
              </w:rPr>
              <w:t xml:space="preserve">PitchBook, Bloomberg, on-chain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6">
            <w:pPr>
              <w:rPr/>
            </w:pPr>
            <w:r w:rsidDel="00000000" w:rsidR="00000000" w:rsidRPr="00000000">
              <w:rPr>
                <w:b w:val="0"/>
                <w:bCs w:val="0"/>
                <w:sz w:val="20"/>
                <w:szCs w:val="20"/>
                <w:rtl w:val="0"/>
              </w:rPr>
              <w:t xml:space="preserve">Market data enrichment</w:t>
            </w:r>
            <w:r w:rsidDel="00000000" w:rsidR="00000000" w:rsidRPr="00000000">
              <w:rPr>
                <w:rtl w:val="0"/>
              </w:rPr>
            </w:r>
          </w:p>
        </w:tc>
      </w:tr>
    </w:tbl>
    <w:p w:rsidR="00000000" w:rsidDel="00000000" w:rsidP="00000000" w:rsidRDefault="00000000" w:rsidRPr="00000000" w14:paraId="00000197">
      <w:pPr>
        <w:spacing w:before="360" w:lineRule="auto"/>
        <w:rPr/>
      </w:pPr>
      <w:r w:rsidDel="00000000" w:rsidR="00000000" w:rsidRPr="00000000">
        <w:rPr>
          <w:rtl w:val="0"/>
        </w:rPr>
      </w:r>
    </w:p>
    <w:p w:rsidR="00000000" w:rsidDel="00000000" w:rsidP="00000000" w:rsidRDefault="00000000" w:rsidRPr="00000000" w14:paraId="00000198">
      <w:pPr>
        <w:spacing w:after="120" w:line="276" w:lineRule="auto"/>
        <w:rPr/>
      </w:pPr>
      <w:r w:rsidDel="00000000" w:rsidR="00000000" w:rsidRPr="00000000">
        <w:rPr>
          <w:sz w:val="22"/>
          <w:szCs w:val="22"/>
          <w:rtl w:val="0"/>
        </w:rPr>
        <w:t xml:space="preserve">This methodology framework provides a comprehensive foundation for building regulatory intelligence capabilities. Each use case can be pursued independently or integrated into a unified platform depending on resource availability and strategic priorities.</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right"/>
      <w:rPr/>
    </w:pPr>
    <w:r w:rsidDel="00000000" w:rsidR="00000000" w:rsidRPr="00000000">
      <w:rPr>
        <w:color w:val="666666"/>
        <w:sz w:val="18"/>
        <w:szCs w:val="18"/>
        <w:rtl w:val="0"/>
      </w:rPr>
      <w:t xml:space="preserve">SEC Crypto Regulatory Intelligence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65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c528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b6cb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Arial" w:cs="Arial" w:eastAsia="Arial" w:hAnsi="Arial"/>
      <w:b w:val="1"/>
      <w:bCs w:val="1"/>
      <w:i w:val="0"/>
      <w:iCs w:val="0"/>
      <w:smallCaps w:val="0"/>
      <w:strike w:val="0"/>
      <w:color w:val="1a365d"/>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wHu4zhAdGDLyFtb5UOhfMyS1w==">CgMxLjA4AHIhMXk1aDNzSlQyUnViU2tiYl9SMHl6QjdBLUNLWXdWeWNp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2025-12-05T18:00:22.797Z</dcterms:created>
  <dc:creator>Un-named</dc:creator>
</cp:coreProperties>
</file>

<file path=docProps/custom.xml><?xml version="1.0" encoding="utf-8"?>
<Properties xmlns="http://schemas.openxmlformats.org/officeDocument/2006/custom-properties" xmlns:vt="http://schemas.openxmlformats.org/officeDocument/2006/docPropsVTypes"/>
</file>