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custody-intelligence-weekly"/>
    <w:p>
      <w:pPr>
        <w:pStyle w:val="Heading1"/>
      </w:pPr>
      <w:r>
        <w:t xml:space="preserve">🔐 Custody Intelligence Weekly</w:t>
      </w:r>
    </w:p>
    <w:bookmarkStart w:id="22" w:name="X69c5f10fb28bc34e0ade4fbe54412d3da2bea1f"/>
    <w:p>
      <w:pPr>
        <w:pStyle w:val="Heading2"/>
      </w:pPr>
      <w:r>
        <w:t xml:space="preserve">The Regulatory Digest for Crypto Custodians</w:t>
      </w:r>
    </w:p>
    <w:bookmarkStart w:id="21" w:name="week-of-january-1117-2026-issue-2"/>
    <w:p>
      <w:pPr>
        <w:pStyle w:val="Heading3"/>
      </w:pPr>
      <w:r>
        <w:t xml:space="preserve">Week of January 11–17, 2026 | Issue #2</w:t>
      </w:r>
    </w:p>
    <w:p>
      <w:r>
        <w:pict>
          <v:rect style="width:0;height:1.5pt" o:hralign="center" o:hrstd="t" o:hr="t"/>
        </w:pict>
      </w:r>
    </w:p>
    <w:p>
      <w:pPr>
        <w:pStyle w:val="FirstParagraph"/>
      </w:pPr>
      <w:r>
        <w:rPr>
          <w:i/>
          <w:iCs/>
        </w:rPr>
        <w:t xml:space="preserve">Welcome back to</w:t>
      </w:r>
      <w:r>
        <w:t xml:space="preserve"> </w:t>
      </w:r>
      <w:r>
        <w:rPr>
          <w:i/>
          <w:iCs/>
        </w:rPr>
        <w:t xml:space="preserve">Custody Intelligence Weekly, your trusted source for everything happening at the intersection of crypto custody and regulation. This week was quieter on the formal rulemaking front, but the SEC’s Crypto Task Force published several</w:t>
      </w:r>
      <w:r>
        <w:t xml:space="preserve"> </w:t>
      </w:r>
      <w:r>
        <w:t xml:space="preserve">technical submissions and meeting memos</w:t>
      </w:r>
      <w:r>
        <w:t xml:space="preserve"> </w:t>
      </w:r>
      <w:r>
        <w:rPr>
          <w:i/>
          <w:iCs/>
        </w:rPr>
        <w:t xml:space="preserve">that illuminate how future custody pilots may be supervised. Below we break down what you need to know.</w:t>
      </w:r>
    </w:p>
    <w:p>
      <w:r>
        <w:pict>
          <v:rect style="width:0;height:1.5pt" o:hralign="center" o:hrstd="t" o:hr="t"/>
        </w:pict>
      </w:r>
    </w:p>
    <w:bookmarkEnd w:id="21"/>
    <w:bookmarkEnd w:id="22"/>
    <w:bookmarkStart w:id="23" w:name="this-week-at-a-glance"/>
    <w:p>
      <w:pPr>
        <w:pStyle w:val="Heading2"/>
      </w:pPr>
      <w:r>
        <w:t xml:space="preserve">📊 This Week 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This Week</w:t>
            </w:r>
          </w:p>
        </w:tc>
        <w:tc>
          <w:tcPr/>
          <w:p>
            <w:pPr>
              <w:pStyle w:val="Compact"/>
              <w:jc w:val="center"/>
            </w:pPr>
            <w:r>
              <w:t xml:space="preserve">YTD 2026</w:t>
            </w:r>
          </w:p>
        </w:tc>
      </w:tr>
      <w:tr>
        <w:tc>
          <w:tcPr/>
          <w:p>
            <w:pPr>
              <w:pStyle w:val="Compact"/>
            </w:pPr>
            <w:r>
              <w:t xml:space="preserve">SEC custody‑related releases</w:t>
            </w:r>
          </w:p>
        </w:tc>
        <w:tc>
          <w:tcPr/>
          <w:p>
            <w:pPr>
              <w:pStyle w:val="Compact"/>
              <w:jc w:val="center"/>
            </w:pPr>
            <w:r>
              <w:rPr>
                <w:b/>
                <w:bCs/>
              </w:rPr>
              <w:t xml:space="preserve">0</w:t>
            </w:r>
          </w:p>
        </w:tc>
        <w:tc>
          <w:tcPr/>
          <w:p>
            <w:pPr>
              <w:pStyle w:val="Compact"/>
              <w:jc w:val="center"/>
            </w:pPr>
            <w:r>
              <w:t xml:space="preserve">1</w:t>
            </w:r>
          </w:p>
        </w:tc>
      </w:tr>
      <w:tr>
        <w:tc>
          <w:tcPr/>
          <w:p>
            <w:pPr>
              <w:pStyle w:val="Compact"/>
            </w:pPr>
            <w:r>
              <w:t xml:space="preserve">CFTC custody/collateral releases</w:t>
            </w:r>
          </w:p>
        </w:tc>
        <w:tc>
          <w:tcPr/>
          <w:p>
            <w:pPr>
              <w:pStyle w:val="Compact"/>
              <w:jc w:val="center"/>
            </w:pPr>
            <w:r>
              <w:rPr>
                <w:b/>
                <w:bCs/>
              </w:rPr>
              <w:t xml:space="preserve">0</w:t>
            </w:r>
          </w:p>
        </w:tc>
        <w:tc>
          <w:tcPr/>
          <w:p>
            <w:pPr>
              <w:pStyle w:val="Compact"/>
              <w:jc w:val="center"/>
            </w:pPr>
            <w:r>
              <w:t xml:space="preserve">0</w:t>
            </w:r>
          </w:p>
        </w:tc>
      </w:tr>
      <w:tr>
        <w:tc>
          <w:tcPr/>
          <w:p>
            <w:pPr>
              <w:pStyle w:val="Compact"/>
            </w:pPr>
            <w:r>
              <w:t xml:space="preserve">No‑action letters (custody)</w:t>
            </w:r>
          </w:p>
        </w:tc>
        <w:tc>
          <w:tcPr/>
          <w:p>
            <w:pPr>
              <w:pStyle w:val="Compact"/>
              <w:jc w:val="center"/>
            </w:pPr>
            <w:r>
              <w:rPr>
                <w:b/>
                <w:bCs/>
              </w:rPr>
              <w:t xml:space="preserve">0</w:t>
            </w:r>
          </w:p>
        </w:tc>
        <w:tc>
          <w:tcPr/>
          <w:p>
            <w:pPr>
              <w:pStyle w:val="Compact"/>
              <w:jc w:val="center"/>
            </w:pPr>
            <w:r>
              <w:t xml:space="preserve">0</w:t>
            </w:r>
          </w:p>
        </w:tc>
      </w:tr>
      <w:tr>
        <w:tc>
          <w:tcPr/>
          <w:p>
            <w:pPr>
              <w:pStyle w:val="Compact"/>
            </w:pPr>
            <w:r>
              <w:t xml:space="preserve">Enforcement actions (custody‑related)</w:t>
            </w:r>
          </w:p>
        </w:tc>
        <w:tc>
          <w:tcPr/>
          <w:p>
            <w:pPr>
              <w:pStyle w:val="Compact"/>
              <w:jc w:val="center"/>
            </w:pPr>
            <w:r>
              <w:rPr>
                <w:b/>
                <w:bCs/>
              </w:rPr>
              <w:t xml:space="preserve">0</w:t>
            </w:r>
          </w:p>
        </w:tc>
        <w:tc>
          <w:tcPr/>
          <w:p>
            <w:pPr>
              <w:pStyle w:val="Compact"/>
              <w:jc w:val="center"/>
            </w:pPr>
            <w:r>
              <w:t xml:space="preserve">0</w:t>
            </w:r>
          </w:p>
        </w:tc>
      </w:tr>
      <w:tr>
        <w:tc>
          <w:tcPr/>
          <w:p>
            <w:pPr>
              <w:pStyle w:val="Compact"/>
            </w:pPr>
            <w:r>
              <w:t xml:space="preserve">Banking regulator guidance</w:t>
            </w:r>
          </w:p>
        </w:tc>
        <w:tc>
          <w:tcPr/>
          <w:p>
            <w:pPr>
              <w:pStyle w:val="Compact"/>
              <w:jc w:val="center"/>
            </w:pPr>
            <w:r>
              <w:rPr>
                <w:b/>
                <w:bCs/>
              </w:rPr>
              <w:t xml:space="preserve">0</w:t>
            </w:r>
          </w:p>
        </w:tc>
        <w:tc>
          <w:tcPr/>
          <w:p>
            <w:pPr>
              <w:pStyle w:val="Compact"/>
              <w:jc w:val="center"/>
            </w:pPr>
            <w:r>
              <w:t xml:space="preserve">0</w:t>
            </w:r>
          </w:p>
        </w:tc>
      </w:tr>
      <w:tr>
        <w:tc>
          <w:tcPr/>
          <w:p>
            <w:pPr>
              <w:pStyle w:val="Compact"/>
            </w:pPr>
            <w:r>
              <w:t xml:space="preserve">Crypto Task Force submissions/memos</w:t>
            </w:r>
          </w:p>
        </w:tc>
        <w:tc>
          <w:tcPr/>
          <w:p>
            <w:pPr>
              <w:pStyle w:val="Compact"/>
              <w:jc w:val="center"/>
            </w:pPr>
            <w:r>
              <w:rPr>
                <w:b/>
                <w:bCs/>
              </w:rPr>
              <w:t xml:space="preserve">4</w:t>
            </w:r>
          </w:p>
        </w:tc>
        <w:tc>
          <w:tcPr/>
          <w:p>
            <w:pPr>
              <w:pStyle w:val="Compact"/>
              <w:jc w:val="center"/>
            </w:pPr>
            <w:r>
              <w:t xml:space="preserve">4</w:t>
            </w:r>
          </w:p>
        </w:tc>
      </w:tr>
    </w:tbl>
    <w:p>
      <w:pPr>
        <w:pStyle w:val="BodyText"/>
      </w:pPr>
      <w:r>
        <w:rPr>
          <w:b/>
          <w:bCs/>
        </w:rPr>
        <w:t xml:space="preserve">Bottom line:</w:t>
      </w:r>
      <w:r>
        <w:t xml:space="preserve"> </w:t>
      </w:r>
      <w:r>
        <w:t xml:space="preserve">There were no new formal rules, no‑action letters or enforcement actions, but four Crypto Task Force submissions and meeting memos focused on governance, examiner‑ready audit tools, and wallet regulation. Firms should pay attention because these documents reveal how the SEC may evaluate custody arrangements in future pilots.</w:t>
      </w:r>
    </w:p>
    <w:p>
      <w:r>
        <w:pict>
          <v:rect style="width:0;height:1.5pt" o:hralign="center" o:hrstd="t" o:hr="t"/>
        </w:pict>
      </w:r>
    </w:p>
    <w:bookmarkEnd w:id="23"/>
    <w:bookmarkStart w:id="36" w:name="top-stories"/>
    <w:p>
      <w:pPr>
        <w:pStyle w:val="Heading2"/>
      </w:pPr>
      <w:r>
        <w:t xml:space="preserve">🔥 Top Stories</w:t>
      </w:r>
    </w:p>
    <w:bookmarkStart w:id="27" w:name="X9affcd8513c5542312f1a3b8eb78689a3ab536a"/>
    <w:p>
      <w:pPr>
        <w:pStyle w:val="Heading3"/>
      </w:pPr>
      <w:r>
        <w:t xml:space="preserve">1.</w:t>
      </w:r>
      <w:r>
        <w:t xml:space="preserve"> </w:t>
      </w:r>
      <w:r>
        <w:rPr>
          <w:b/>
          <w:bCs/>
        </w:rPr>
        <w:t xml:space="preserve">Regulatory Institutionalization Pack: Rulebook Templates &amp; CAT Crosswalk</w:t>
      </w:r>
      <w:r>
        <w:t xml:space="preserve"> </w:t>
      </w:r>
      <w:r>
        <w:t xml:space="preserve">(Jan 15)</w:t>
      </w:r>
    </w:p>
    <w:p>
      <w:pPr>
        <w:pStyle w:val="FirstParagraph"/>
      </w:pPr>
      <w:r>
        <w:rPr>
          <w:b/>
          <w:bCs/>
        </w:rPr>
        <w:t xml:space="preserve">FACTS:</w:t>
      </w:r>
      <w:r>
        <w:t xml:space="preserve"> </w:t>
      </w:r>
      <w:r>
        <w:t xml:space="preserve">On January 15, the SEC’s Crypto Task Force published a</w:t>
      </w:r>
      <w:r>
        <w:t xml:space="preserve"> </w:t>
      </w:r>
      <w:r>
        <w:rPr>
          <w:i/>
          <w:iCs/>
        </w:rPr>
        <w:t xml:space="preserve">Regulatory Institutionalization Pack</w:t>
      </w:r>
      <w:r>
        <w:t xml:space="preserve"> </w:t>
      </w:r>
      <w:r>
        <w:t xml:space="preserve">prepared by Daniel Bruno Corvelo Costa. This non‑substantive companion to his earlier pilot proposal provides standardized rule‑filing templates and cross‑walks to align tokenized securities pilots with existing rules (e.g., SEC Rule 17a‑4, CAT, Reg SCI and Reg S‑P). It includes a tiered model for regulatory access and dual‑control approvals, mapping pilot evidence artifacts to surveillance objectives</w:t>
      </w:r>
      <w:hyperlink r:id="rId24">
        <w:r>
          <w:rPr>
            <w:rStyle w:val="Hyperlink"/>
          </w:rPr>
          <w:t xml:space="preserve">[1]</w:t>
        </w:r>
      </w:hyperlink>
      <w:r>
        <w:t xml:space="preserve">. The pack operationalizes the pilot framework by offering SRO rulebook outlines, record‑keeping cross‑walks, checklists and examiner readiness profiles without creating new obligations</w:t>
      </w:r>
      <w:hyperlink r:id="rId25">
        <w:r>
          <w:rPr>
            <w:rStyle w:val="Hyperlink"/>
          </w:rPr>
          <w:t xml:space="preserve">[2]</w:t>
        </w:r>
      </w:hyperlink>
      <w:r>
        <w:t xml:space="preserve">. It emphasizes that the pack is guidance only and does not modify the baseline pilot submissions</w:t>
      </w:r>
      <w:hyperlink r:id="rId26">
        <w:r>
          <w:rPr>
            <w:rStyle w:val="Hyperlink"/>
          </w:rPr>
          <w:t xml:space="preserve">[3]</w:t>
        </w:r>
      </w:hyperlink>
      <w:r>
        <w:t xml:space="preserve">.</w:t>
      </w:r>
    </w:p>
    <w:p>
      <w:pPr>
        <w:pStyle w:val="BodyText"/>
      </w:pPr>
      <w:r>
        <w:rPr>
          <w:b/>
          <w:bCs/>
        </w:rPr>
        <w:t xml:space="preserve">ANALYSIS:</w:t>
      </w:r>
      <w:r>
        <w:t xml:space="preserve"> </w:t>
      </w:r>
      <w:r>
        <w:t xml:space="preserve">Although this pack does not itself impose requirements, it signals the level of detail the Commission expects from any entity seeking to operate a tokenized‑securities pilot. By aligning pilot evidence with CAT and other surveillance standards and by defining tiered access levels (aggregate, routine and emergency) with purpose limitation</w:t>
      </w:r>
      <w:hyperlink r:id="rId24">
        <w:r>
          <w:rPr>
            <w:rStyle w:val="Hyperlink"/>
          </w:rPr>
          <w:t xml:space="preserve">[1]</w:t>
        </w:r>
      </w:hyperlink>
      <w:r>
        <w:t xml:space="preserve">, the pack suggests that</w:t>
      </w:r>
      <w:r>
        <w:t xml:space="preserve"> </w:t>
      </w:r>
      <w:r>
        <w:rPr>
          <w:i/>
          <w:iCs/>
        </w:rPr>
        <w:t xml:space="preserve">continuous, verifiable record‑keeping and dual‑control governance</w:t>
      </w:r>
      <w:r>
        <w:t xml:space="preserve"> </w:t>
      </w:r>
      <w:r>
        <w:t xml:space="preserve">will be mandatory features of any qualified custodian handling tokenized securities.</w:t>
      </w:r>
    </w:p>
    <w:p>
      <w:pPr>
        <w:pStyle w:val="BodyText"/>
      </w:pPr>
      <w:r>
        <w:rPr>
          <w:b/>
          <w:bCs/>
        </w:rPr>
        <w:t xml:space="preserve">INFERENCE:</w:t>
      </w:r>
      <w:r>
        <w:t xml:space="preserve"> </w:t>
      </w:r>
      <w:r>
        <w:t xml:space="preserve">Expect future SEC pilots or SRO proposals to require firms to adopt standardized evidence packs and cross‑walks before approval. Broker‑dealers, RIAs and banks should prepare by documenting how their systems map to CAT and Reg SCI requirements and by establishing tiered supervisory access workflows.</w:t>
      </w:r>
    </w:p>
    <w:p>
      <w:pPr>
        <w:pStyle w:val="BodyText"/>
      </w:pPr>
      <w:r>
        <w:rPr>
          <w:b/>
          <w:bCs/>
        </w:rPr>
        <w:t xml:space="preserve">What this means for…</w:t>
      </w:r>
    </w:p>
    <w:p>
      <w:pPr>
        <w:pStyle w:val="Compact"/>
        <w:numPr>
          <w:ilvl w:val="0"/>
          <w:numId w:val="1001"/>
        </w:numPr>
      </w:pPr>
      <w:r>
        <w:rPr>
          <w:b/>
          <w:bCs/>
        </w:rPr>
        <w:t xml:space="preserve">Broker‑dealers:</w:t>
      </w:r>
      <w:r>
        <w:t xml:space="preserve"> </w:t>
      </w:r>
      <w:r>
        <w:t xml:space="preserve">Document and test how custody systems meet CAT and 17a‑4 record‑keeping requirements; prepare SRO rule‑filing templates in advance; ensure that regulatory access to customer data is controlled by dual‑control approvals.</w:t>
      </w:r>
      <w:hyperlink r:id="rId24">
        <w:r>
          <w:rPr>
            <w:rStyle w:val="Hyperlink"/>
          </w:rPr>
          <w:t xml:space="preserve">[1]</w:t>
        </w:r>
      </w:hyperlink>
    </w:p>
    <w:p>
      <w:pPr>
        <w:pStyle w:val="Compact"/>
        <w:numPr>
          <w:ilvl w:val="0"/>
          <w:numId w:val="1001"/>
        </w:numPr>
      </w:pPr>
      <w:r>
        <w:rPr>
          <w:b/>
          <w:bCs/>
        </w:rPr>
        <w:t xml:space="preserve">RIAs:</w:t>
      </w:r>
      <w:r>
        <w:t xml:space="preserve"> </w:t>
      </w:r>
      <w:r>
        <w:t xml:space="preserve">While primarily targeted at broker‑dealer pilots, the pack’s cross‑walk to Reg S‑P implies that advisers handling tokenized assets should align privacy controls with surveillance and audit trails. Evaluate whether your custodians can produce examiner‑ready evidence sets.</w:t>
      </w:r>
      <w:hyperlink r:id="rId24">
        <w:r>
          <w:rPr>
            <w:rStyle w:val="Hyperlink"/>
          </w:rPr>
          <w:t xml:space="preserve">[1]</w:t>
        </w:r>
      </w:hyperlink>
    </w:p>
    <w:p>
      <w:pPr>
        <w:pStyle w:val="Compact"/>
        <w:numPr>
          <w:ilvl w:val="0"/>
          <w:numId w:val="1001"/>
        </w:numPr>
      </w:pPr>
      <w:r>
        <w:rPr>
          <w:b/>
          <w:bCs/>
        </w:rPr>
        <w:t xml:space="preserve">Banks/Trust companies:</w:t>
      </w:r>
      <w:r>
        <w:t xml:space="preserve"> </w:t>
      </w:r>
      <w:r>
        <w:t xml:space="preserve">The tiered supervisory access model underscores the need for clear purpose‑limited access and segregation of customer records. Bank custodians participating in tokenization pilots should integrate such controls.</w:t>
      </w:r>
      <w:hyperlink r:id="rId24">
        <w:r>
          <w:rPr>
            <w:rStyle w:val="Hyperlink"/>
          </w:rPr>
          <w:t xml:space="preserve">[1]</w:t>
        </w:r>
      </w:hyperlink>
    </w:p>
    <w:p>
      <w:pPr>
        <w:pStyle w:val="Compact"/>
        <w:numPr>
          <w:ilvl w:val="0"/>
          <w:numId w:val="1001"/>
        </w:numPr>
      </w:pPr>
      <w:r>
        <w:rPr>
          <w:b/>
          <w:bCs/>
        </w:rPr>
        <w:t xml:space="preserve">Crypto‑native custodians:</w:t>
      </w:r>
      <w:r>
        <w:t xml:space="preserve"> </w:t>
      </w:r>
      <w:r>
        <w:t xml:space="preserve">Use the pack’s templates to benchmark your governance and record‑keeping frameworks. Demonstrating compliance with CAT/Reg SCI cross‑walks could become a prerequisite for partnering with regulated firms.</w:t>
      </w:r>
      <w:hyperlink r:id="rId25">
        <w:r>
          <w:rPr>
            <w:rStyle w:val="Hyperlink"/>
          </w:rPr>
          <w:t xml:space="preserve">[2]</w:t>
        </w:r>
      </w:hyperlink>
    </w:p>
    <w:p>
      <w:r>
        <w:pict>
          <v:rect style="width:0;height:1.5pt" o:hralign="center" o:hrstd="t" o:hr="t"/>
        </w:pict>
      </w:r>
    </w:p>
    <w:bookmarkEnd w:id="27"/>
    <w:bookmarkStart w:id="29" w:name="Xb24c6954bcc6b8b9a16e6f0253a549f1b4b317e"/>
    <w:p>
      <w:pPr>
        <w:pStyle w:val="Heading3"/>
      </w:pPr>
      <w:r>
        <w:t xml:space="preserve">2.</w:t>
      </w:r>
      <w:r>
        <w:t xml:space="preserve"> </w:t>
      </w:r>
      <w:r>
        <w:rPr>
          <w:b/>
          <w:bCs/>
        </w:rPr>
        <w:t xml:space="preserve">Operational Assurance &amp; Examiner Enablement Kit: Technical Audit Tools</w:t>
      </w:r>
      <w:r>
        <w:t xml:space="preserve"> </w:t>
      </w:r>
      <w:r>
        <w:t xml:space="preserve">(Jan 14)</w:t>
      </w:r>
    </w:p>
    <w:p>
      <w:pPr>
        <w:pStyle w:val="FirstParagraph"/>
      </w:pPr>
      <w:r>
        <w:rPr>
          <w:b/>
          <w:bCs/>
        </w:rPr>
        <w:t xml:space="preserve">FACTS:</w:t>
      </w:r>
      <w:r>
        <w:t xml:space="preserve"> </w:t>
      </w:r>
      <w:r>
        <w:t xml:space="preserve">An</w:t>
      </w:r>
      <w:r>
        <w:t xml:space="preserve"> </w:t>
      </w:r>
      <w:r>
        <w:rPr>
          <w:i/>
          <w:iCs/>
        </w:rPr>
        <w:t xml:space="preserve">Operational Assurance &amp; Examiner Enablement Kit</w:t>
      </w:r>
      <w:r>
        <w:t xml:space="preserve">—also authored by Daniel Bruno Corvelo Costa—was submitted on January 13 and posted January 14. The addendum provides the</w:t>
      </w:r>
      <w:r>
        <w:t xml:space="preserve"> </w:t>
      </w:r>
      <w:r>
        <w:rPr>
          <w:i/>
          <w:iCs/>
        </w:rPr>
        <w:t xml:space="preserve">technical execution layer</w:t>
      </w:r>
      <w:r>
        <w:t xml:space="preserve"> </w:t>
      </w:r>
      <w:r>
        <w:t xml:space="preserve">for a crypto‑assets pilot, offering JSON schemas, SQL examiner queries and RACI matrices to produce examiner‑ready evidence. It aims to reduce exam burden through pre‑written queries, establish a granular responsibility matrix (RACI) to clarify accountability and demonstrate audit readiness</w:t>
      </w:r>
      <w:hyperlink r:id="rId28">
        <w:r>
          <w:rPr>
            <w:rStyle w:val="Hyperlink"/>
          </w:rPr>
          <w:t xml:space="preserve">[4]</w:t>
        </w:r>
      </w:hyperlink>
      <w:r>
        <w:t xml:space="preserve">. The kit translates compliance policies into standardized code artifacts and evidence packs, emphasising that the infrastructure is prepared for rigorous SEC oversight</w:t>
      </w:r>
      <w:hyperlink r:id="rId28">
        <w:r>
          <w:rPr>
            <w:rStyle w:val="Hyperlink"/>
          </w:rPr>
          <w:t xml:space="preserve">[4]</w:t>
        </w:r>
      </w:hyperlink>
      <w:r>
        <w:t xml:space="preserve">.</w:t>
      </w:r>
    </w:p>
    <w:p>
      <w:pPr>
        <w:pStyle w:val="BodyText"/>
      </w:pPr>
      <w:r>
        <w:rPr>
          <w:b/>
          <w:bCs/>
        </w:rPr>
        <w:t xml:space="preserve">ANALYSIS:</w:t>
      </w:r>
      <w:r>
        <w:t xml:space="preserve"> </w:t>
      </w:r>
      <w:r>
        <w:t xml:space="preserve">This kit is essentially a blueprint for how regulators will verify that custody systems meet audit‑trail requirements. By defining minimum logging taxonomies, retention schedules, evidence‑pack manifests and pre‑approved queries, the submission shows that future pilots will not rely on self‑certification. Instead, regulators expect</w:t>
      </w:r>
      <w:r>
        <w:t xml:space="preserve"> </w:t>
      </w:r>
      <w:r>
        <w:rPr>
          <w:i/>
          <w:iCs/>
        </w:rPr>
        <w:t xml:space="preserve">automated, standardized logs</w:t>
      </w:r>
      <w:r>
        <w:t xml:space="preserve"> </w:t>
      </w:r>
      <w:r>
        <w:t xml:space="preserve">and the ability to reconstruct every key ceremony, transaction and access event.</w:t>
      </w:r>
    </w:p>
    <w:p>
      <w:pPr>
        <w:pStyle w:val="BodyText"/>
      </w:pPr>
      <w:r>
        <w:rPr>
          <w:b/>
          <w:bCs/>
        </w:rPr>
        <w:t xml:space="preserve">INFERENCE:</w:t>
      </w:r>
      <w:r>
        <w:t xml:space="preserve"> </w:t>
      </w:r>
      <w:r>
        <w:t xml:space="preserve">Custodians should expect regulators to demand forensic‑quality logs and to supply standard query packs for examiners. Building such functionality now will reduce the risk of failing future pilot examinations.</w:t>
      </w:r>
    </w:p>
    <w:p>
      <w:pPr>
        <w:pStyle w:val="BodyText"/>
      </w:pPr>
      <w:r>
        <w:rPr>
          <w:b/>
          <w:bCs/>
        </w:rPr>
        <w:t xml:space="preserve">What this means for…</w:t>
      </w:r>
    </w:p>
    <w:p>
      <w:pPr>
        <w:pStyle w:val="Compact"/>
        <w:numPr>
          <w:ilvl w:val="0"/>
          <w:numId w:val="1002"/>
        </w:numPr>
      </w:pPr>
      <w:r>
        <w:rPr>
          <w:b/>
          <w:bCs/>
        </w:rPr>
        <w:t xml:space="preserve">Broker‑dealers:</w:t>
      </w:r>
      <w:r>
        <w:t xml:space="preserve"> </w:t>
      </w:r>
      <w:r>
        <w:t xml:space="preserve">Ensure your custody systems generate immutable logs covering authentication events, key ceremonies and transaction execution for at least seven years, with indefinite retention for key‑management events. Prepare to provide regulators with examiner query packs and evidence manifests.</w:t>
      </w:r>
      <w:hyperlink r:id="rId28">
        <w:r>
          <w:rPr>
            <w:rStyle w:val="Hyperlink"/>
          </w:rPr>
          <w:t xml:space="preserve">[4]</w:t>
        </w:r>
      </w:hyperlink>
    </w:p>
    <w:p>
      <w:pPr>
        <w:pStyle w:val="Compact"/>
        <w:numPr>
          <w:ilvl w:val="0"/>
          <w:numId w:val="1002"/>
        </w:numPr>
      </w:pPr>
      <w:r>
        <w:rPr>
          <w:b/>
          <w:bCs/>
        </w:rPr>
        <w:t xml:space="preserve">RIAs:</w:t>
      </w:r>
      <w:r>
        <w:t xml:space="preserve"> </w:t>
      </w:r>
      <w:r>
        <w:t xml:space="preserve">The kit aligns with Rule 206(4)‑2 by requiring documentation of beneficial ownership and segregation of assets. Advisers should confirm their custodians can produce detailed evidence packs covering account control and key management.</w:t>
      </w:r>
      <w:hyperlink r:id="rId28">
        <w:r>
          <w:rPr>
            <w:rStyle w:val="Hyperlink"/>
          </w:rPr>
          <w:t xml:space="preserve">[4]</w:t>
        </w:r>
      </w:hyperlink>
    </w:p>
    <w:p>
      <w:pPr>
        <w:pStyle w:val="Compact"/>
        <w:numPr>
          <w:ilvl w:val="0"/>
          <w:numId w:val="1002"/>
        </w:numPr>
      </w:pPr>
      <w:r>
        <w:rPr>
          <w:b/>
          <w:bCs/>
        </w:rPr>
        <w:t xml:space="preserve">Banks/Trust companies:</w:t>
      </w:r>
      <w:r>
        <w:t xml:space="preserve"> </w:t>
      </w:r>
      <w:r>
        <w:t xml:space="preserve">Banks offering crypto custody should integrate RACI matrices and dual‑control workflows to delineate responsibility for key management, recovery and incident response. Pre‑written audit queries will likely be required for OCC/FDIC examinations as well.</w:t>
      </w:r>
      <w:hyperlink r:id="rId28">
        <w:r>
          <w:rPr>
            <w:rStyle w:val="Hyperlink"/>
          </w:rPr>
          <w:t xml:space="preserve">[4]</w:t>
        </w:r>
      </w:hyperlink>
    </w:p>
    <w:p>
      <w:pPr>
        <w:pStyle w:val="Compact"/>
        <w:numPr>
          <w:ilvl w:val="0"/>
          <w:numId w:val="1002"/>
        </w:numPr>
      </w:pPr>
      <w:r>
        <w:rPr>
          <w:b/>
          <w:bCs/>
        </w:rPr>
        <w:t xml:space="preserve">Crypto‑native custodians:</w:t>
      </w:r>
      <w:r>
        <w:t xml:space="preserve"> </w:t>
      </w:r>
      <w:r>
        <w:t xml:space="preserve">Build standardized logging schemas and adopt retention schedules consistent with SEC expectations. Having examiner‑ready evidence and RACI matrices could differentiate you when partnering with broker‑dealers.</w:t>
      </w:r>
      <w:hyperlink r:id="rId28">
        <w:r>
          <w:rPr>
            <w:rStyle w:val="Hyperlink"/>
          </w:rPr>
          <w:t xml:space="preserve">[4]</w:t>
        </w:r>
      </w:hyperlink>
    </w:p>
    <w:p>
      <w:r>
        <w:pict>
          <v:rect style="width:0;height:1.5pt" o:hralign="center" o:hrstd="t" o:hr="t"/>
        </w:pict>
      </w:r>
    </w:p>
    <w:bookmarkEnd w:id="29"/>
    <w:bookmarkStart w:id="31" w:name="X0f873dae59212598bdc179bb614b3fa7d2a6ad3"/>
    <w:p>
      <w:pPr>
        <w:pStyle w:val="Heading3"/>
      </w:pPr>
      <w:r>
        <w:t xml:space="preserve">3.</w:t>
      </w:r>
      <w:r>
        <w:t xml:space="preserve"> </w:t>
      </w:r>
      <w:r>
        <w:rPr>
          <w:b/>
          <w:bCs/>
        </w:rPr>
        <w:t xml:space="preserve">POLARIS 3.0 Framework: Contract &gt; Code</w:t>
      </w:r>
      <w:r>
        <w:t xml:space="preserve"> </w:t>
      </w:r>
      <w:r>
        <w:t xml:space="preserve">(Jan 12)</w:t>
      </w:r>
    </w:p>
    <w:p>
      <w:pPr>
        <w:pStyle w:val="FirstParagraph"/>
      </w:pPr>
      <w:r>
        <w:rPr>
          <w:b/>
          <w:bCs/>
        </w:rPr>
        <w:t xml:space="preserve">FACTS:</w:t>
      </w:r>
      <w:r>
        <w:t xml:space="preserve"> </w:t>
      </w:r>
      <w:r>
        <w:t xml:space="preserve">The</w:t>
      </w:r>
      <w:r>
        <w:t xml:space="preserve"> </w:t>
      </w:r>
      <w:r>
        <w:rPr>
          <w:i/>
          <w:iCs/>
        </w:rPr>
        <w:t xml:space="preserve">POLARIS 3.0 Framework</w:t>
      </w:r>
      <w:r>
        <w:t xml:space="preserve"> </w:t>
      </w:r>
      <w:r>
        <w:t xml:space="preserve">submission (Jan 12) proposes a seven‑layer technical architecture for tokenized securities. It enforces a “</w:t>
      </w:r>
      <w:r>
        <w:rPr>
          <w:b/>
          <w:bCs/>
        </w:rPr>
        <w:t xml:space="preserve">Contract &gt; Code</w:t>
      </w:r>
      <w:r>
        <w:t xml:space="preserve">” principle: smart contracts must faithfully implement agreed legal terms and cannot override governing documents</w:t>
      </w:r>
      <w:hyperlink r:id="rId30">
        <w:r>
          <w:rPr>
            <w:rStyle w:val="Hyperlink"/>
          </w:rPr>
          <w:t xml:space="preserve">[5]</w:t>
        </w:r>
      </w:hyperlink>
      <w:r>
        <w:t xml:space="preserve">. The framework aligns with existing U.S. securities laws (Securities Act of 1933, Exchange Act of 1934, Investment Company Act and Advisers Act) and embeds AML/KYC obligations under the Bank Secrecy Act and FATF Travel Rule</w:t>
      </w:r>
      <w:hyperlink r:id="rId30">
        <w:r>
          <w:rPr>
            <w:rStyle w:val="Hyperlink"/>
          </w:rPr>
          <w:t xml:space="preserve">[5]</w:t>
        </w:r>
      </w:hyperlink>
      <w:r>
        <w:t xml:space="preserve">. Implementation would occur through a self‑regulatory organization (SRO) overseen by the SEC; the SEC could modify or terminate pilot operations at any time</w:t>
      </w:r>
      <w:hyperlink r:id="rId30">
        <w:r>
          <w:rPr>
            <w:rStyle w:val="Hyperlink"/>
          </w:rPr>
          <w:t xml:space="preserve">[5]</w:t>
        </w:r>
      </w:hyperlink>
      <w:r>
        <w:t xml:space="preserve">.</w:t>
      </w:r>
    </w:p>
    <w:p>
      <w:pPr>
        <w:pStyle w:val="BodyText"/>
      </w:pPr>
      <w:r>
        <w:rPr>
          <w:b/>
          <w:bCs/>
        </w:rPr>
        <w:t xml:space="preserve">ANALYSIS:</w:t>
      </w:r>
      <w:r>
        <w:t xml:space="preserve"> </w:t>
      </w:r>
      <w:r>
        <w:t xml:space="preserve">POLARIS 3.0 aims to create an institutional grade blockchain where legal agreements remain paramount. It implies that even in highly automated tokenized markets, parties must maintain contractual primacy and compliance checks (including AML/KYC) at the protocol level. SEC oversight via conditional exemptive relief indicates that participation will be limited to qualified institutions using approved custodians.</w:t>
      </w:r>
    </w:p>
    <w:p>
      <w:pPr>
        <w:pStyle w:val="BodyText"/>
      </w:pPr>
      <w:r>
        <w:rPr>
          <w:b/>
          <w:bCs/>
        </w:rPr>
        <w:t xml:space="preserve">INFERENCE:</w:t>
      </w:r>
      <w:r>
        <w:t xml:space="preserve"> </w:t>
      </w:r>
      <w:r>
        <w:t xml:space="preserve">If adopted, POLARIS 3.0 could standardize tokenization on a regulated backbone. Custodians should prepare for integration with SRO‑approved blockchains and ensure their smart‑contract logic preserves legal terms and includes AML/KYC hooks.</w:t>
      </w:r>
    </w:p>
    <w:p>
      <w:pPr>
        <w:pStyle w:val="BodyText"/>
      </w:pPr>
      <w:r>
        <w:rPr>
          <w:b/>
          <w:bCs/>
        </w:rPr>
        <w:t xml:space="preserve">What this means for…</w:t>
      </w:r>
    </w:p>
    <w:p>
      <w:pPr>
        <w:pStyle w:val="Compact"/>
        <w:numPr>
          <w:ilvl w:val="0"/>
          <w:numId w:val="1003"/>
        </w:numPr>
      </w:pPr>
      <w:r>
        <w:rPr>
          <w:b/>
          <w:bCs/>
        </w:rPr>
        <w:t xml:space="preserve">Broker‑dealers:</w:t>
      </w:r>
      <w:r>
        <w:t xml:space="preserve"> </w:t>
      </w:r>
      <w:r>
        <w:t xml:space="preserve">Evaluate whether your systems can interact with SRO‑sanctioned blockchains and incorporate contract‑primacy controls. Participation may require pre‑approval of smart contracts and continuous KYC/AML verification.</w:t>
      </w:r>
      <w:hyperlink r:id="rId30">
        <w:r>
          <w:rPr>
            <w:rStyle w:val="Hyperlink"/>
          </w:rPr>
          <w:t xml:space="preserve">[5]</w:t>
        </w:r>
      </w:hyperlink>
    </w:p>
    <w:p>
      <w:pPr>
        <w:pStyle w:val="Compact"/>
        <w:numPr>
          <w:ilvl w:val="0"/>
          <w:numId w:val="1003"/>
        </w:numPr>
      </w:pPr>
      <w:r>
        <w:rPr>
          <w:b/>
          <w:bCs/>
        </w:rPr>
        <w:t xml:space="preserve">RIAs:</w:t>
      </w:r>
      <w:r>
        <w:t xml:space="preserve"> </w:t>
      </w:r>
      <w:r>
        <w:t xml:space="preserve">Since POLARIS aligns with existing securities laws, advisers must ensure their tokenized portfolios continue to meet contractual and fiduciary obligations. Built‑in AML/KYC means advisers should coordinate with custodians on compliance data sharing.</w:t>
      </w:r>
      <w:hyperlink r:id="rId30">
        <w:r>
          <w:rPr>
            <w:rStyle w:val="Hyperlink"/>
          </w:rPr>
          <w:t xml:space="preserve">[5]</w:t>
        </w:r>
      </w:hyperlink>
    </w:p>
    <w:p>
      <w:pPr>
        <w:pStyle w:val="Compact"/>
        <w:numPr>
          <w:ilvl w:val="0"/>
          <w:numId w:val="1003"/>
        </w:numPr>
      </w:pPr>
      <w:r>
        <w:rPr>
          <w:b/>
          <w:bCs/>
        </w:rPr>
        <w:t xml:space="preserve">Banks/Trust companies:</w:t>
      </w:r>
      <w:r>
        <w:t xml:space="preserve"> </w:t>
      </w:r>
      <w:r>
        <w:t xml:space="preserve">Banks will need to handle settlement on regulated blockchains and ensure their legal documentation is encoded into smart contracts. This could require new systems and contract management processes.</w:t>
      </w:r>
      <w:hyperlink r:id="rId30">
        <w:r>
          <w:rPr>
            <w:rStyle w:val="Hyperlink"/>
          </w:rPr>
          <w:t xml:space="preserve">[5]</w:t>
        </w:r>
      </w:hyperlink>
    </w:p>
    <w:p>
      <w:pPr>
        <w:pStyle w:val="Compact"/>
        <w:numPr>
          <w:ilvl w:val="0"/>
          <w:numId w:val="1003"/>
        </w:numPr>
      </w:pPr>
      <w:r>
        <w:rPr>
          <w:b/>
          <w:bCs/>
        </w:rPr>
        <w:t xml:space="preserve">Crypto‑native custodians:</w:t>
      </w:r>
      <w:r>
        <w:t xml:space="preserve"> </w:t>
      </w:r>
      <w:r>
        <w:t xml:space="preserve">To serve institutional clients, you may need to integrate with POLARIS‑style blockchains and provide auditability and compliance hooks. Failing to incorporate “contract &gt; code” could exclude you from regulated markets.</w:t>
      </w:r>
      <w:hyperlink r:id="rId30">
        <w:r>
          <w:rPr>
            <w:rStyle w:val="Hyperlink"/>
          </w:rPr>
          <w:t xml:space="preserve">[5]</w:t>
        </w:r>
      </w:hyperlink>
    </w:p>
    <w:p>
      <w:r>
        <w:pict>
          <v:rect style="width:0;height:1.5pt" o:hralign="center" o:hrstd="t" o:hr="t"/>
        </w:pict>
      </w:r>
    </w:p>
    <w:bookmarkEnd w:id="31"/>
    <w:bookmarkStart w:id="35" w:name="X7f586b68713d486fbb5ce7e3295cf265af5e0b9"/>
    <w:p>
      <w:pPr>
        <w:pStyle w:val="Heading3"/>
      </w:pPr>
      <w:r>
        <w:t xml:space="preserve">4.</w:t>
      </w:r>
      <w:r>
        <w:t xml:space="preserve"> </w:t>
      </w:r>
      <w:r>
        <w:rPr>
          <w:b/>
          <w:bCs/>
        </w:rPr>
        <w:t xml:space="preserve">SIFMA Letter on Wallet Providers: Registration vs. Self‑Custody</w:t>
      </w:r>
      <w:r>
        <w:t xml:space="preserve"> </w:t>
      </w:r>
      <w:r>
        <w:t xml:space="preserve">(Jan 15)</w:t>
      </w:r>
    </w:p>
    <w:p>
      <w:pPr>
        <w:pStyle w:val="FirstParagraph"/>
      </w:pPr>
      <w:r>
        <w:rPr>
          <w:b/>
          <w:bCs/>
        </w:rPr>
        <w:t xml:space="preserve">FACTS:</w:t>
      </w:r>
      <w:r>
        <w:t xml:space="preserve"> </w:t>
      </w:r>
      <w:r>
        <w:t xml:space="preserve">The Securities Industry and Financial Markets Association (SIFMA) submitted a letter urging the Commission to require wallet providers performing broker‑dealer functions for tokenized securities to register under the Exchange Act</w:t>
      </w:r>
      <w:hyperlink r:id="rId32">
        <w:r>
          <w:rPr>
            <w:rStyle w:val="Hyperlink"/>
          </w:rPr>
          <w:t xml:space="preserve">[6]</w:t>
        </w:r>
      </w:hyperlink>
      <w:r>
        <w:t xml:space="preserve">. SIFMA distinguishes</w:t>
      </w:r>
      <w:r>
        <w:t xml:space="preserve"> </w:t>
      </w:r>
      <w:r>
        <w:rPr>
          <w:i/>
          <w:iCs/>
        </w:rPr>
        <w:t xml:space="preserve">true non‑custodial</w:t>
      </w:r>
      <w:r>
        <w:t xml:space="preserve"> </w:t>
      </w:r>
      <w:r>
        <w:t xml:space="preserve">wallets—where users hold their own keys—from models where wallet providers hold or control private keys or assets</w:t>
      </w:r>
      <w:hyperlink r:id="rId33">
        <w:r>
          <w:rPr>
            <w:rStyle w:val="Hyperlink"/>
          </w:rPr>
          <w:t xml:space="preserve">[7]</w:t>
        </w:r>
      </w:hyperlink>
      <w:r>
        <w:t xml:space="preserve">. The letter argues that wallet providers offering safekeeping, order routing or solicitations raise the same investor‑protection and market‑integrity risks as broker‑dealers and should not be exempt from regulatory requirements; clarity should come through durable notice‑and‑comment rulemaking rather than ad‑hoc exemptions</w:t>
      </w:r>
      <w:hyperlink r:id="rId34">
        <w:r>
          <w:rPr>
            <w:rStyle w:val="Hyperlink"/>
          </w:rPr>
          <w:t xml:space="preserve">[8]</w:t>
        </w:r>
      </w:hyperlink>
      <w:r>
        <w:t xml:space="preserve">.</w:t>
      </w:r>
    </w:p>
    <w:p>
      <w:pPr>
        <w:pStyle w:val="BodyText"/>
      </w:pPr>
      <w:r>
        <w:rPr>
          <w:b/>
          <w:bCs/>
        </w:rPr>
        <w:t xml:space="preserve">ANALYSIS:</w:t>
      </w:r>
      <w:r>
        <w:t xml:space="preserve"> </w:t>
      </w:r>
      <w:r>
        <w:t xml:space="preserve">SIFMA is effectively telling the SEC that any wallet provider that touches customer keys or routes orders is no different from a broker‑dealer. Its call for clear rulemaking (instead of no‑action letters) suggests industry resistance to piecemeal exemptions. The distinction between non‑custodial and custodial wallets underscores the regulator’s focus on who actually holds or controls crypto assets.</w:t>
      </w:r>
    </w:p>
    <w:p>
      <w:pPr>
        <w:pStyle w:val="BodyText"/>
      </w:pPr>
      <w:r>
        <w:rPr>
          <w:b/>
          <w:bCs/>
        </w:rPr>
        <w:t xml:space="preserve">INFERENCE:</w:t>
      </w:r>
      <w:r>
        <w:t xml:space="preserve"> </w:t>
      </w:r>
      <w:r>
        <w:t xml:space="preserve">We should expect formal proposals clarifying when wallet providers must register and what activities they can perform without triggering broker‑dealer status. Firms providing wallet services should start assessing whether they are effectively “in possession” of client crypto assets.</w:t>
      </w:r>
    </w:p>
    <w:p>
      <w:pPr>
        <w:pStyle w:val="BodyText"/>
      </w:pPr>
      <w:r>
        <w:rPr>
          <w:b/>
          <w:bCs/>
        </w:rPr>
        <w:t xml:space="preserve">What this means for…</w:t>
      </w:r>
    </w:p>
    <w:p>
      <w:pPr>
        <w:pStyle w:val="Compact"/>
        <w:numPr>
          <w:ilvl w:val="0"/>
          <w:numId w:val="1004"/>
        </w:numPr>
      </w:pPr>
      <w:r>
        <w:rPr>
          <w:b/>
          <w:bCs/>
        </w:rPr>
        <w:t xml:space="preserve">Broker‑dealers:</w:t>
      </w:r>
      <w:r>
        <w:t xml:space="preserve"> </w:t>
      </w:r>
      <w:r>
        <w:t xml:space="preserve">Carefully vet wallet partners. If a wallet provider holds keys or routes trades, ensure it is registered or operating through a qualified custodian; otherwise your firm could be aiding an unregistered broker.</w:t>
      </w:r>
      <w:hyperlink r:id="rId32">
        <w:r>
          <w:rPr>
            <w:rStyle w:val="Hyperlink"/>
          </w:rPr>
          <w:t xml:space="preserve">[6]</w:t>
        </w:r>
      </w:hyperlink>
    </w:p>
    <w:p>
      <w:pPr>
        <w:pStyle w:val="Compact"/>
        <w:numPr>
          <w:ilvl w:val="0"/>
          <w:numId w:val="1004"/>
        </w:numPr>
      </w:pPr>
      <w:r>
        <w:rPr>
          <w:b/>
          <w:bCs/>
        </w:rPr>
        <w:t xml:space="preserve">RIAs:</w:t>
      </w:r>
      <w:r>
        <w:t xml:space="preserve"> </w:t>
      </w:r>
      <w:r>
        <w:t xml:space="preserve">Ensure that client assets held in wallets remain under proper custody arrangements; if a wallet provider controls keys, it may need broker‑dealer registration and would trigger Adviser custody rule obligations.</w:t>
      </w:r>
      <w:hyperlink r:id="rId33">
        <w:r>
          <w:rPr>
            <w:rStyle w:val="Hyperlink"/>
          </w:rPr>
          <w:t xml:space="preserve">[7]</w:t>
        </w:r>
      </w:hyperlink>
    </w:p>
    <w:p>
      <w:pPr>
        <w:pStyle w:val="Compact"/>
        <w:numPr>
          <w:ilvl w:val="0"/>
          <w:numId w:val="1004"/>
        </w:numPr>
      </w:pPr>
      <w:r>
        <w:rPr>
          <w:b/>
          <w:bCs/>
        </w:rPr>
        <w:t xml:space="preserve">Banks/Trust companies:</w:t>
      </w:r>
      <w:r>
        <w:t xml:space="preserve"> </w:t>
      </w:r>
      <w:r>
        <w:t xml:space="preserve">Banks offering white‑label wallet services should ensure they are appropriately licensed. Distinguish pure software (safe) from safekeeping models that require broker‑dealer or trust licenses.</w:t>
      </w:r>
      <w:hyperlink r:id="rId34">
        <w:r>
          <w:rPr>
            <w:rStyle w:val="Hyperlink"/>
          </w:rPr>
          <w:t xml:space="preserve">[8]</w:t>
        </w:r>
      </w:hyperlink>
    </w:p>
    <w:p>
      <w:pPr>
        <w:pStyle w:val="Compact"/>
        <w:numPr>
          <w:ilvl w:val="0"/>
          <w:numId w:val="1004"/>
        </w:numPr>
      </w:pPr>
      <w:r>
        <w:rPr>
          <w:b/>
          <w:bCs/>
        </w:rPr>
        <w:t xml:space="preserve">Crypto‑native custodians:</w:t>
      </w:r>
      <w:r>
        <w:t xml:space="preserve"> </w:t>
      </w:r>
      <w:r>
        <w:t xml:space="preserve">If you provide wallet services that involve holding keys or facilitating trades, prepare for potential registration. Conversely, offering truly non‑custodial software could fall outside broker‑dealer rules, but documentation will be crucial.</w:t>
      </w:r>
      <w:hyperlink r:id="rId34">
        <w:r>
          <w:rPr>
            <w:rStyle w:val="Hyperlink"/>
          </w:rPr>
          <w:t xml:space="preserve">[8]</w:t>
        </w:r>
      </w:hyperlink>
    </w:p>
    <w:p>
      <w:r>
        <w:pict>
          <v:rect style="width:0;height:1.5pt" o:hralign="center" o:hrstd="t" o:hr="t"/>
        </w:pict>
      </w:r>
    </w:p>
    <w:bookmarkEnd w:id="35"/>
    <w:bookmarkEnd w:id="36"/>
    <w:bookmarkStart w:id="45" w:name="other-developments"/>
    <w:p>
      <w:pPr>
        <w:pStyle w:val="Heading2"/>
      </w:pPr>
      <w:r>
        <w:t xml:space="preserve">📝 Other Developments</w:t>
      </w:r>
    </w:p>
    <w:bookmarkStart w:id="40" w:name="X0a93737c8a7f096b9824e97189c073a75d1be8a"/>
    <w:p>
      <w:pPr>
        <w:pStyle w:val="Heading3"/>
      </w:pPr>
      <w:r>
        <w:t xml:space="preserve">Finternet/Bodin Advisory Meeting Memo (Jan 14)</w:t>
      </w:r>
    </w:p>
    <w:p>
      <w:pPr>
        <w:pStyle w:val="FirstParagraph"/>
      </w:pPr>
      <w:r>
        <w:t xml:space="preserve">The Finternet Global LLP &amp; Bodin Advisory memo to the Crypto Task Force advocates a</w:t>
      </w:r>
      <w:r>
        <w:t xml:space="preserve"> </w:t>
      </w:r>
      <w:r>
        <w:rPr>
          <w:i/>
          <w:iCs/>
        </w:rPr>
        <w:t xml:space="preserve">neutral stance on self‑custody vs. third‑party custody</w:t>
      </w:r>
      <w:r>
        <w:t xml:space="preserve">. It proposes common safeguards—such as operational controls, cybersecurity standards, multi‑signature or smart contract‑based custody, audit trails and recovery mechanisms—for both models</w:t>
      </w:r>
      <w:hyperlink r:id="rId37">
        <w:r>
          <w:rPr>
            <w:rStyle w:val="Hyperlink"/>
          </w:rPr>
          <w:t xml:space="preserve">[9]</w:t>
        </w:r>
      </w:hyperlink>
      <w:r>
        <w:t xml:space="preserve">. The memo notes that institutional investors and fiduciaries often</w:t>
      </w:r>
      <w:r>
        <w:t xml:space="preserve"> </w:t>
      </w:r>
      <w:r>
        <w:rPr>
          <w:i/>
          <w:iCs/>
        </w:rPr>
        <w:t xml:space="preserve">must</w:t>
      </w:r>
      <w:r>
        <w:t xml:space="preserve"> </w:t>
      </w:r>
      <w:r>
        <w:t xml:space="preserve">use regulated qualified custodians, and large capital flows or tokenized securities settlements may require third‑party custody to ensure segregation and bankruptcy protection</w:t>
      </w:r>
      <w:hyperlink r:id="rId38">
        <w:r>
          <w:rPr>
            <w:rStyle w:val="Hyperlink"/>
          </w:rPr>
          <w:t xml:space="preserve">[10]</w:t>
        </w:r>
      </w:hyperlink>
      <w:r>
        <w:t xml:space="preserve">. It recommends regulators accommodate both self‑custody (for retail) and mandated third‑party custody for high‑risk or public‑interest contexts</w:t>
      </w:r>
      <w:hyperlink r:id="rId39">
        <w:r>
          <w:rPr>
            <w:rStyle w:val="Hyperlink"/>
          </w:rPr>
          <w:t xml:space="preserve">[11]</w:t>
        </w:r>
      </w:hyperlink>
      <w:r>
        <w:t xml:space="preserve">.</w:t>
      </w:r>
    </w:p>
    <w:bookmarkEnd w:id="40"/>
    <w:bookmarkStart w:id="42" w:name="injective-labs-meeting-memo-jan-13"/>
    <w:p>
      <w:pPr>
        <w:pStyle w:val="Heading3"/>
      </w:pPr>
      <w:r>
        <w:t xml:space="preserve">Injective Labs Meeting Memo (Jan 13)</w:t>
      </w:r>
    </w:p>
    <w:p>
      <w:pPr>
        <w:pStyle w:val="FirstParagraph"/>
      </w:pPr>
      <w:r>
        <w:t xml:space="preserve">Injective Labs’ meeting agenda calls for clarifying that certain decentralized finance (DeFi) protocols may not constitute exchanges or broker‑dealers and that</w:t>
      </w:r>
      <w:r>
        <w:t xml:space="preserve"> </w:t>
      </w:r>
      <w:r>
        <w:rPr>
          <w:i/>
          <w:iCs/>
        </w:rPr>
        <w:t xml:space="preserve">non‑custodial, over‑collateralized credit protocols</w:t>
      </w:r>
      <w:r>
        <w:t xml:space="preserve"> </w:t>
      </w:r>
      <w:r>
        <w:t xml:space="preserve">should not be deemed investment contracts</w:t>
      </w:r>
      <w:hyperlink r:id="rId41">
        <w:r>
          <w:rPr>
            <w:rStyle w:val="Hyperlink"/>
          </w:rPr>
          <w:t xml:space="preserve">[12]</w:t>
        </w:r>
      </w:hyperlink>
      <w:r>
        <w:t xml:space="preserve">. Injective advocates for a safe‑harbor framework for protocols progressing toward decentralization and exemptions for neutral front‑end interfaces that simply transmit user instructions</w:t>
      </w:r>
      <w:hyperlink r:id="rId41">
        <w:r>
          <w:rPr>
            <w:rStyle w:val="Hyperlink"/>
          </w:rPr>
          <w:t xml:space="preserve">[12]</w:t>
        </w:r>
      </w:hyperlink>
      <w:r>
        <w:t xml:space="preserve">. The memo underscores that regulation should focus on human intermediation and custody, not on autonomous code</w:t>
      </w:r>
      <w:hyperlink r:id="rId41">
        <w:r>
          <w:rPr>
            <w:rStyle w:val="Hyperlink"/>
          </w:rPr>
          <w:t xml:space="preserve">[12]</w:t>
        </w:r>
      </w:hyperlink>
      <w:r>
        <w:t xml:space="preserve">.</w:t>
      </w:r>
    </w:p>
    <w:bookmarkEnd w:id="42"/>
    <w:bookmarkStart w:id="44" w:name="usig-digital-meeting-memo-jan-12"/>
    <w:p>
      <w:pPr>
        <w:pStyle w:val="Heading3"/>
      </w:pPr>
      <w:r>
        <w:t xml:space="preserve">USIG Digital Meeting Memo (Jan 12)</w:t>
      </w:r>
    </w:p>
    <w:p>
      <w:pPr>
        <w:pStyle w:val="FirstParagraph"/>
      </w:pPr>
      <w:r>
        <w:t xml:space="preserve">The USIG Digital memo primarily introduces the participants and does not provide substantive custody proposals. It highlights the professional backgrounds of the USIG leadership team, which includes veterans from Virtu, Nasdaq, Deutsche Bank and other institutions</w:t>
      </w:r>
      <w:hyperlink r:id="rId43">
        <w:r>
          <w:rPr>
            <w:rStyle w:val="Hyperlink"/>
          </w:rPr>
          <w:t xml:space="preserve">[13]</w:t>
        </w:r>
      </w:hyperlink>
      <w:r>
        <w:t xml:space="preserve">. No new custody guidance was disclosed.</w:t>
      </w:r>
    </w:p>
    <w:p>
      <w:r>
        <w:pict>
          <v:rect style="width:0;height:1.5pt" o:hralign="center" o:hrstd="t" o:hr="t"/>
        </w:pict>
      </w:r>
    </w:p>
    <w:bookmarkEnd w:id="44"/>
    <w:bookmarkEnd w:id="45"/>
    <w:bookmarkStart w:id="48" w:name="regulatory-tracker-update"/>
    <w:p>
      <w:pPr>
        <w:pStyle w:val="Heading2"/>
      </w:pPr>
      <w:r>
        <w:t xml:space="preserve">📋 Regulatory Tracker Update</w:t>
      </w:r>
    </w:p>
    <w:bookmarkStart w:id="46" w:name="rules-guidance-currently-in-effect"/>
    <w:p>
      <w:pPr>
        <w:pStyle w:val="Heading3"/>
      </w:pPr>
      <w:r>
        <w:t xml:space="preserve">Rules &amp; Guidance Currently in Effect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Guidance/Rule</w:t>
            </w:r>
          </w:p>
        </w:tc>
        <w:tc>
          <w:tcPr/>
          <w:p>
            <w:pPr>
              <w:pStyle w:val="Compact"/>
            </w:pPr>
            <w:r>
              <w:t xml:space="preserve">Effective</w:t>
            </w:r>
          </w:p>
        </w:tc>
        <w:tc>
          <w:tcPr/>
          <w:p>
            <w:pPr>
              <w:pStyle w:val="Compact"/>
            </w:pPr>
            <w:r>
              <w:t xml:space="preserve">Status</w:t>
            </w:r>
          </w:p>
        </w:tc>
        <w:tc>
          <w:tcPr/>
          <w:p>
            <w:pPr>
              <w:pStyle w:val="Compact"/>
            </w:pPr>
            <w:r>
              <w:t xml:space="preserve">Impact</w:t>
            </w:r>
          </w:p>
        </w:tc>
      </w:tr>
      <w:tr>
        <w:tc>
          <w:tcPr/>
          <w:p>
            <w:pPr>
              <w:pStyle w:val="Compact"/>
            </w:pPr>
            <w:r>
              <w:rPr>
                <w:b/>
                <w:bCs/>
              </w:rPr>
              <w:t xml:space="preserve">SAB 122</w:t>
            </w:r>
          </w:p>
        </w:tc>
        <w:tc>
          <w:tcPr/>
          <w:p>
            <w:pPr>
              <w:pStyle w:val="Compact"/>
            </w:pPr>
            <w:r>
              <w:t xml:space="preserve">Jan 23 2025</w:t>
            </w:r>
          </w:p>
        </w:tc>
        <w:tc>
          <w:tcPr/>
          <w:p>
            <w:pPr>
              <w:pStyle w:val="Compact"/>
            </w:pPr>
            <w:r>
              <w:t xml:space="preserve">✅ Active</w:t>
            </w:r>
          </w:p>
        </w:tc>
        <w:tc>
          <w:tcPr/>
          <w:p>
            <w:pPr>
              <w:pStyle w:val="Compact"/>
            </w:pPr>
            <w:r>
              <w:t xml:space="preserve">Rescinded SAB 121; clarified accounting for crypto custodial liabilities.</w:t>
            </w:r>
          </w:p>
        </w:tc>
      </w:tr>
      <w:tr>
        <w:tc>
          <w:tcPr/>
          <w:p>
            <w:pPr>
              <w:pStyle w:val="Compact"/>
            </w:pPr>
            <w:r>
              <w:rPr>
                <w:b/>
                <w:bCs/>
              </w:rPr>
              <w:t xml:space="preserve">BD Custody FAQ (Control)</w:t>
            </w:r>
          </w:p>
        </w:tc>
        <w:tc>
          <w:tcPr/>
          <w:p>
            <w:pPr>
              <w:pStyle w:val="Compact"/>
            </w:pPr>
            <w:r>
              <w:t xml:space="preserve">May 15 2025</w:t>
            </w:r>
          </w:p>
        </w:tc>
        <w:tc>
          <w:tcPr/>
          <w:p>
            <w:pPr>
              <w:pStyle w:val="Compact"/>
            </w:pPr>
            <w:r>
              <w:t xml:space="preserve">✅ Active</w:t>
            </w:r>
          </w:p>
        </w:tc>
        <w:tc>
          <w:tcPr/>
          <w:p>
            <w:pPr>
              <w:pStyle w:val="Compact"/>
            </w:pPr>
            <w:r>
              <w:t xml:space="preserve">Division of Trading &amp; Markets FAQ explaining how broker‑dealers can achieve “control” via qualifying control locations.</w:t>
            </w:r>
          </w:p>
        </w:tc>
      </w:tr>
      <w:tr>
        <w:tc>
          <w:tcPr/>
          <w:p>
            <w:pPr>
              <w:pStyle w:val="Compact"/>
            </w:pPr>
            <w:r>
              <w:rPr>
                <w:b/>
                <w:bCs/>
              </w:rPr>
              <w:t xml:space="preserve">State Trust Company NAL</w:t>
            </w:r>
          </w:p>
        </w:tc>
        <w:tc>
          <w:tcPr/>
          <w:p>
            <w:pPr>
              <w:pStyle w:val="Compact"/>
            </w:pPr>
            <w:r>
              <w:t xml:space="preserve">Sep 30 2025</w:t>
            </w:r>
          </w:p>
        </w:tc>
        <w:tc>
          <w:tcPr/>
          <w:p>
            <w:pPr>
              <w:pStyle w:val="Compact"/>
            </w:pPr>
            <w:r>
              <w:t xml:space="preserve">✅ Active</w:t>
            </w:r>
          </w:p>
        </w:tc>
        <w:tc>
          <w:tcPr/>
          <w:p>
            <w:pPr>
              <w:pStyle w:val="Compact"/>
            </w:pPr>
            <w:r>
              <w:t xml:space="preserve">Investment advisers may use state‑chartered trust companies as qualified custodians.</w:t>
            </w:r>
          </w:p>
        </w:tc>
      </w:tr>
      <w:tr>
        <w:tc>
          <w:tcPr/>
          <w:p>
            <w:pPr>
              <w:pStyle w:val="Compact"/>
            </w:pPr>
            <w:r>
              <w:rPr>
                <w:b/>
                <w:bCs/>
              </w:rPr>
              <w:t xml:space="preserve">BD Custody Statement (Possession)</w:t>
            </w:r>
          </w:p>
        </w:tc>
        <w:tc>
          <w:tcPr/>
          <w:p>
            <w:pPr>
              <w:pStyle w:val="Compact"/>
            </w:pPr>
            <w:r>
              <w:t xml:space="preserve">Dec 17 2025</w:t>
            </w:r>
          </w:p>
        </w:tc>
        <w:tc>
          <w:tcPr/>
          <w:p>
            <w:pPr>
              <w:pStyle w:val="Compact"/>
            </w:pPr>
            <w:r>
              <w:t xml:space="preserve">✅ Active</w:t>
            </w:r>
          </w:p>
        </w:tc>
        <w:tc>
          <w:tcPr/>
          <w:p>
            <w:pPr>
              <w:pStyle w:val="Compact"/>
            </w:pPr>
            <w:r>
              <w:t xml:space="preserve">Framework for broker‑dealer “physical possession”; requires exclusive key access, DLT assessment, industry‑standard key management, business continuity, and no knowledge of DLT vulnerabilities (not modified this week).</w:t>
            </w:r>
          </w:p>
        </w:tc>
      </w:tr>
      <w:tr>
        <w:tc>
          <w:tcPr/>
          <w:p>
            <w:pPr>
              <w:pStyle w:val="Compact"/>
            </w:pPr>
            <w:r>
              <w:rPr>
                <w:b/>
                <w:bCs/>
              </w:rPr>
              <w:t xml:space="preserve">DTC Tokenization NAL</w:t>
            </w:r>
          </w:p>
        </w:tc>
        <w:tc>
          <w:tcPr/>
          <w:p>
            <w:pPr>
              <w:pStyle w:val="Compact"/>
            </w:pPr>
            <w:r>
              <w:t xml:space="preserve">Dec 11 2025</w:t>
            </w:r>
          </w:p>
        </w:tc>
        <w:tc>
          <w:tcPr/>
          <w:p>
            <w:pPr>
              <w:pStyle w:val="Compact"/>
            </w:pPr>
            <w:r>
              <w:t xml:space="preserve">✅ Active</w:t>
            </w:r>
          </w:p>
        </w:tc>
        <w:tc>
          <w:tcPr/>
          <w:p>
            <w:pPr>
              <w:pStyle w:val="Compact"/>
            </w:pPr>
            <w:r>
              <w:t xml:space="preserve">Allows DTC to tokenize security entitlements on a pilot basis; BDs can hold tokenized entitlements through DTC.</w:t>
            </w:r>
          </w:p>
        </w:tc>
      </w:tr>
      <w:tr>
        <w:tc>
          <w:tcPr/>
          <w:p>
            <w:pPr>
              <w:pStyle w:val="Compact"/>
            </w:pPr>
            <w:r>
              <w:rPr>
                <w:b/>
                <w:bCs/>
              </w:rPr>
              <w:t xml:space="preserve">CFTC Digital Asset Collateral Guidance</w:t>
            </w:r>
          </w:p>
        </w:tc>
        <w:tc>
          <w:tcPr/>
          <w:p>
            <w:pPr>
              <w:pStyle w:val="Compact"/>
            </w:pPr>
            <w:r>
              <w:t xml:space="preserve">Dec 8 2025</w:t>
            </w:r>
          </w:p>
        </w:tc>
        <w:tc>
          <w:tcPr/>
          <w:p>
            <w:pPr>
              <w:pStyle w:val="Compact"/>
            </w:pPr>
            <w:r>
              <w:t xml:space="preserve">✅ Active</w:t>
            </w:r>
          </w:p>
        </w:tc>
        <w:tc>
          <w:tcPr/>
          <w:p>
            <w:pPr>
              <w:pStyle w:val="Compact"/>
            </w:pPr>
            <w:r>
              <w:t xml:space="preserve">FCMs may accept BTC, ETH and stablecoins as collateral under specified conditions.</w:t>
            </w:r>
          </w:p>
        </w:tc>
      </w:tr>
    </w:tbl>
    <w:bookmarkEnd w:id="46"/>
    <w:bookmarkStart w:id="47" w:name="new-noteworthy-jan-1117"/>
    <w:p>
      <w:pPr>
        <w:pStyle w:val="Heading3"/>
      </w:pPr>
      <w:r>
        <w:t xml:space="preserve">New &amp; Noteworthy (Jan 11–17)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Date</w:t>
            </w:r>
          </w:p>
        </w:tc>
        <w:tc>
          <w:tcPr/>
          <w:p>
            <w:pPr>
              <w:pStyle w:val="Compact"/>
            </w:pPr>
            <w:r>
              <w:t xml:space="preserve">Type</w:t>
            </w:r>
          </w:p>
        </w:tc>
        <w:tc>
          <w:tcPr/>
          <w:p>
            <w:pPr>
              <w:pStyle w:val="Compact"/>
            </w:pPr>
            <w:r>
              <w:t xml:space="preserve">Key Points &amp; Tags</w:t>
            </w:r>
          </w:p>
        </w:tc>
      </w:tr>
      <w:tr>
        <w:tc>
          <w:tcPr/>
          <w:p>
            <w:pPr>
              <w:pStyle w:val="Compact"/>
            </w:pPr>
            <w:r>
              <w:rPr>
                <w:b/>
                <w:bCs/>
              </w:rPr>
              <w:t xml:space="preserve">Regulatory Institutionalization Pack</w:t>
            </w:r>
          </w:p>
        </w:tc>
        <w:tc>
          <w:tcPr/>
          <w:p>
            <w:pPr>
              <w:pStyle w:val="Compact"/>
            </w:pPr>
            <w:r>
              <w:t xml:space="preserve">Jan 15 2026</w:t>
            </w:r>
          </w:p>
        </w:tc>
        <w:tc>
          <w:tcPr/>
          <w:p>
            <w:pPr>
              <w:pStyle w:val="Compact"/>
            </w:pPr>
            <w:r>
              <w:t xml:space="preserve">Written input</w:t>
            </w:r>
          </w:p>
        </w:tc>
        <w:tc>
          <w:tcPr/>
          <w:p>
            <w:pPr>
              <w:pStyle w:val="Compact"/>
            </w:pPr>
            <w:r>
              <w:t xml:space="preserve">Provides SRO rulebook templates and record‑keeping cross‑walks; establishes tiered regulatory access and dual‑control oversight</w:t>
            </w:r>
            <w:hyperlink r:id="rId24">
              <w:r>
                <w:rPr>
                  <w:rStyle w:val="Hyperlink"/>
                </w:rPr>
                <w:t xml:space="preserve">[1]</w:t>
              </w:r>
            </w:hyperlink>
            <w:r>
              <w:t xml:space="preserve">. Tags: qualified custodian, recordkeeping, surveillance, pilot.</w:t>
            </w:r>
          </w:p>
        </w:tc>
      </w:tr>
      <w:tr>
        <w:tc>
          <w:tcPr/>
          <w:p>
            <w:pPr>
              <w:pStyle w:val="Compact"/>
            </w:pPr>
            <w:r>
              <w:rPr>
                <w:b/>
                <w:bCs/>
              </w:rPr>
              <w:t xml:space="preserve">Operational Assurance &amp; Examiner Kit</w:t>
            </w:r>
          </w:p>
        </w:tc>
        <w:tc>
          <w:tcPr/>
          <w:p>
            <w:pPr>
              <w:pStyle w:val="Compact"/>
            </w:pPr>
            <w:r>
              <w:t xml:space="preserve">Jan 14 2026</w:t>
            </w:r>
          </w:p>
        </w:tc>
        <w:tc>
          <w:tcPr/>
          <w:p>
            <w:pPr>
              <w:pStyle w:val="Compact"/>
            </w:pPr>
            <w:r>
              <w:t xml:space="preserve">Written input</w:t>
            </w:r>
          </w:p>
        </w:tc>
        <w:tc>
          <w:tcPr/>
          <w:p>
            <w:pPr>
              <w:pStyle w:val="Compact"/>
            </w:pPr>
            <w:r>
              <w:t xml:space="preserve">Supplies JSON schemas, examiner queries and RACI matrices for audit readiness</w:t>
            </w:r>
            <w:hyperlink r:id="rId28">
              <w:r>
                <w:rPr>
                  <w:rStyle w:val="Hyperlink"/>
                </w:rPr>
                <w:t xml:space="preserve">[4]</w:t>
              </w:r>
            </w:hyperlink>
            <w:r>
              <w:t xml:space="preserve">. Tags: key management, audit trail, segregation.</w:t>
            </w:r>
          </w:p>
        </w:tc>
      </w:tr>
      <w:tr>
        <w:tc>
          <w:tcPr/>
          <w:p>
            <w:pPr>
              <w:pStyle w:val="Compact"/>
            </w:pPr>
            <w:r>
              <w:rPr>
                <w:b/>
                <w:bCs/>
              </w:rPr>
              <w:t xml:space="preserve">SIFMA Wallet Provider Letter</w:t>
            </w:r>
          </w:p>
        </w:tc>
        <w:tc>
          <w:tcPr/>
          <w:p>
            <w:pPr>
              <w:pStyle w:val="Compact"/>
            </w:pPr>
            <w:r>
              <w:t xml:space="preserve">Jan 15 2026</w:t>
            </w:r>
          </w:p>
        </w:tc>
        <w:tc>
          <w:tcPr/>
          <w:p>
            <w:pPr>
              <w:pStyle w:val="Compact"/>
            </w:pPr>
            <w:r>
              <w:t xml:space="preserve">Stakeholder letter</w:t>
            </w:r>
          </w:p>
        </w:tc>
        <w:tc>
          <w:tcPr/>
          <w:p>
            <w:pPr>
              <w:pStyle w:val="Compact"/>
            </w:pPr>
            <w:r>
              <w:t xml:space="preserve">Argues wallet providers performing broker functions must register; distinguishes non‑custodial from custodial wallets</w:t>
            </w:r>
            <w:hyperlink r:id="rId32">
              <w:r>
                <w:rPr>
                  <w:rStyle w:val="Hyperlink"/>
                </w:rPr>
                <w:t xml:space="preserve">[6]</w:t>
              </w:r>
            </w:hyperlink>
            <w:r>
              <w:t xml:space="preserve">. Tags: broker‑dealer registration, custody, self‑custody.</w:t>
            </w:r>
          </w:p>
        </w:tc>
      </w:tr>
      <w:tr>
        <w:tc>
          <w:tcPr/>
          <w:p>
            <w:pPr>
              <w:pStyle w:val="Compact"/>
            </w:pPr>
            <w:r>
              <w:rPr>
                <w:b/>
                <w:bCs/>
              </w:rPr>
              <w:t xml:space="preserve">POLARIS 3.0 Framework</w:t>
            </w:r>
          </w:p>
        </w:tc>
        <w:tc>
          <w:tcPr/>
          <w:p>
            <w:pPr>
              <w:pStyle w:val="Compact"/>
            </w:pPr>
            <w:r>
              <w:t xml:space="preserve">Jan 12 2026</w:t>
            </w:r>
          </w:p>
        </w:tc>
        <w:tc>
          <w:tcPr/>
          <w:p>
            <w:pPr>
              <w:pStyle w:val="Compact"/>
            </w:pPr>
            <w:r>
              <w:t xml:space="preserve">Framework proposal</w:t>
            </w:r>
          </w:p>
        </w:tc>
        <w:tc>
          <w:tcPr/>
          <w:p>
            <w:pPr>
              <w:pStyle w:val="Compact"/>
            </w:pPr>
            <w:r>
              <w:t xml:space="preserve">Enforces “Contract &gt; Code,” aligns with securities laws, embeds AML/KYC, and proposes SRO oversight</w:t>
            </w:r>
            <w:hyperlink r:id="rId30">
              <w:r>
                <w:rPr>
                  <w:rStyle w:val="Hyperlink"/>
                </w:rPr>
                <w:t xml:space="preserve">[5]</w:t>
              </w:r>
            </w:hyperlink>
            <w:r>
              <w:t xml:space="preserve">. Tags: tokenization, smart contracts, AML/KYC.</w:t>
            </w:r>
          </w:p>
        </w:tc>
      </w:tr>
      <w:tr>
        <w:tc>
          <w:tcPr/>
          <w:p>
            <w:pPr>
              <w:pStyle w:val="Compact"/>
            </w:pPr>
            <w:r>
              <w:rPr>
                <w:b/>
                <w:bCs/>
              </w:rPr>
              <w:t xml:space="preserve">Finternet/Bodin Advisory Memo</w:t>
            </w:r>
          </w:p>
        </w:tc>
        <w:tc>
          <w:tcPr/>
          <w:p>
            <w:pPr>
              <w:pStyle w:val="Compact"/>
            </w:pPr>
            <w:r>
              <w:t xml:space="preserve">Jan 14 2026</w:t>
            </w:r>
          </w:p>
        </w:tc>
        <w:tc>
          <w:tcPr/>
          <w:p>
            <w:pPr>
              <w:pStyle w:val="Compact"/>
            </w:pPr>
            <w:r>
              <w:t xml:space="preserve">Meeting memo</w:t>
            </w:r>
          </w:p>
        </w:tc>
        <w:tc>
          <w:tcPr/>
          <w:p>
            <w:pPr>
              <w:pStyle w:val="Compact"/>
            </w:pPr>
            <w:r>
              <w:t xml:space="preserve">Advocates dual‑model custody architecture (self‑custody vs. third‑party) with safeguards; notes institutional investors often must use regulated custodians</w:t>
            </w:r>
            <w:hyperlink r:id="rId37">
              <w:r>
                <w:rPr>
                  <w:rStyle w:val="Hyperlink"/>
                </w:rPr>
                <w:t xml:space="preserve">[14]</w:t>
              </w:r>
            </w:hyperlink>
            <w:r>
              <w:t xml:space="preserve">. Tags: custody model, qualified custodian.</w:t>
            </w:r>
          </w:p>
        </w:tc>
      </w:tr>
      <w:tr>
        <w:tc>
          <w:tcPr/>
          <w:p>
            <w:pPr>
              <w:pStyle w:val="Compact"/>
            </w:pPr>
            <w:r>
              <w:rPr>
                <w:b/>
                <w:bCs/>
              </w:rPr>
              <w:t xml:space="preserve">Injective Labs Memo</w:t>
            </w:r>
          </w:p>
        </w:tc>
        <w:tc>
          <w:tcPr/>
          <w:p>
            <w:pPr>
              <w:pStyle w:val="Compact"/>
            </w:pPr>
            <w:r>
              <w:t xml:space="preserve">Jan 13 2026</w:t>
            </w:r>
          </w:p>
        </w:tc>
        <w:tc>
          <w:tcPr/>
          <w:p>
            <w:pPr>
              <w:pStyle w:val="Compact"/>
            </w:pPr>
            <w:r>
              <w:t xml:space="preserve">Meeting memo</w:t>
            </w:r>
          </w:p>
        </w:tc>
        <w:tc>
          <w:tcPr/>
          <w:p>
            <w:pPr>
              <w:pStyle w:val="Compact"/>
            </w:pPr>
            <w:r>
              <w:t xml:space="preserve">Calls for safe harbor for DeFi; suggests non‑custodial protocols should not be treated as exchanges or broker‑dealers</w:t>
            </w:r>
            <w:hyperlink r:id="rId41">
              <w:r>
                <w:rPr>
                  <w:rStyle w:val="Hyperlink"/>
                </w:rPr>
                <w:t xml:space="preserve">[12]</w:t>
              </w:r>
            </w:hyperlink>
            <w:r>
              <w:t xml:space="preserve">. Tags: DeFi, broker‑dealer status.</w:t>
            </w:r>
          </w:p>
        </w:tc>
      </w:tr>
    </w:tbl>
    <w:p>
      <w:r>
        <w:pict>
          <v:rect style="width:0;height:1.5pt" o:hralign="center" o:hrstd="t" o:hr="t"/>
        </w:pict>
      </w:r>
    </w:p>
    <w:bookmarkEnd w:id="47"/>
    <w:bookmarkEnd w:id="48"/>
    <w:bookmarkStart w:id="49" w:name="enforcement-watch-custody-cases"/>
    <w:p>
      <w:pPr>
        <w:pStyle w:val="Heading2"/>
      </w:pPr>
      <w:r>
        <w:t xml:space="preserve">⚖️ Enforcement Watch: Custody Cases</w:t>
      </w:r>
    </w:p>
    <w:p>
      <w:pPr>
        <w:pStyle w:val="FirstParagraph"/>
      </w:pPr>
      <w:r>
        <w:t xml:space="preserve">No new custody‑related enforcement actions were filed this week. The SEC’s enforcement docket remains focused on fraud and misappropriation cases rather than technical custody rule violations. Ongoing matters include</w:t>
      </w:r>
      <w:r>
        <w:t xml:space="preserve"> </w:t>
      </w:r>
      <w:r>
        <w:rPr>
          <w:b/>
          <w:bCs/>
        </w:rPr>
        <w:t xml:space="preserve">SEC v. Silvergate</w:t>
      </w:r>
      <w:r>
        <w:t xml:space="preserve">,</w:t>
      </w:r>
      <w:r>
        <w:t xml:space="preserve"> </w:t>
      </w:r>
      <w:r>
        <w:rPr>
          <w:b/>
          <w:bCs/>
        </w:rPr>
        <w:t xml:space="preserve">SEC v. Voyager</w:t>
      </w:r>
      <w:r>
        <w:t xml:space="preserve">,</w:t>
      </w:r>
      <w:r>
        <w:t xml:space="preserve"> </w:t>
      </w:r>
      <w:r>
        <w:rPr>
          <w:b/>
          <w:bCs/>
        </w:rPr>
        <w:t xml:space="preserve">CFTC v. Celsius</w:t>
      </w:r>
      <w:r>
        <w:t xml:space="preserve">, and</w:t>
      </w:r>
      <w:r>
        <w:t xml:space="preserve"> </w:t>
      </w:r>
      <w:r>
        <w:rPr>
          <w:b/>
          <w:bCs/>
        </w:rPr>
        <w:t xml:space="preserve">SEC v. FTX (executives)</w:t>
      </w:r>
      <w:r>
        <w:t xml:space="preserve">—all centred on commingling and misappropriation. Our takeaway from 2025 still stands:</w:t>
      </w:r>
      <w:r>
        <w:t xml:space="preserve"> </w:t>
      </w:r>
      <w:r>
        <w:rPr>
          <w:i/>
          <w:iCs/>
        </w:rPr>
        <w:t xml:space="preserve">custody mismanagement cases have thus far involved fraud, not mere technical non‑compliance.</w:t>
      </w:r>
    </w:p>
    <w:p>
      <w:r>
        <w:pict>
          <v:rect style="width:0;height:1.5pt" o:hralign="center" o:hrstd="t" o:hr="t"/>
        </w:pict>
      </w:r>
    </w:p>
    <w:bookmarkEnd w:id="49"/>
    <w:bookmarkStart w:id="50" w:name="banking-regulator-corner"/>
    <w:p>
      <w:pPr>
        <w:pStyle w:val="Heading2"/>
      </w:pPr>
      <w:r>
        <w:t xml:space="preserve">🏦 Banking Regulator Corner</w:t>
      </w:r>
    </w:p>
    <w:p>
      <w:pPr>
        <w:pStyle w:val="FirstParagraph"/>
      </w:pPr>
      <w:r>
        <w:t xml:space="preserve">There were no new custody‑specific releases from the OCC, FDIC or Federal Reserve during the week. The outstanding questions remain: when will the OCC update its interpretive letter on national bank crypto custody? Will the FDIC ease informal pressure on banks serving crypto firms? And will the Fed clarify master‑account access for crypto‑native banks? We continue to monitor these areas.</w:t>
      </w:r>
    </w:p>
    <w:p>
      <w:r>
        <w:pict>
          <v:rect style="width:0;height:1.5pt" o:hralign="center" o:hrstd="t" o:hr="t"/>
        </w:pict>
      </w:r>
    </w:p>
    <w:bookmarkEnd w:id="50"/>
    <w:bookmarkStart w:id="51" w:name="whats-coming"/>
    <w:p>
      <w:pPr>
        <w:pStyle w:val="Heading2"/>
      </w:pPr>
      <w:r>
        <w:t xml:space="preserve">🔮 What’s Coming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Event / Development</w:t>
            </w:r>
          </w:p>
        </w:tc>
        <w:tc>
          <w:tcPr/>
          <w:p>
            <w:pPr>
              <w:pStyle w:val="Compact"/>
            </w:pPr>
            <w:r>
              <w:t xml:space="preserve">Relevance</w:t>
            </w:r>
          </w:p>
        </w:tc>
      </w:tr>
      <w:tr>
        <w:tc>
          <w:tcPr/>
          <w:p>
            <w:pPr>
              <w:pStyle w:val="Compact"/>
            </w:pPr>
            <w:r>
              <w:t xml:space="preserve">Jan 18 2026</w:t>
            </w:r>
          </w:p>
        </w:tc>
        <w:tc>
          <w:tcPr/>
          <w:p>
            <w:pPr>
              <w:pStyle w:val="Compact"/>
            </w:pPr>
            <w:r>
              <w:t xml:space="preserve">Crypto Task Force publication (expected)</w:t>
            </w:r>
          </w:p>
        </w:tc>
        <w:tc>
          <w:tcPr/>
          <w:p>
            <w:pPr>
              <w:pStyle w:val="Compact"/>
            </w:pPr>
            <w:r>
              <w:t xml:space="preserve">Additional submissions, such as a</w:t>
            </w:r>
            <w:r>
              <w:t xml:space="preserve"> </w:t>
            </w:r>
            <w:r>
              <w:rPr>
                <w:i/>
                <w:iCs/>
              </w:rPr>
              <w:t xml:space="preserve">Custody &amp; Segregation Proof Kit</w:t>
            </w:r>
            <w:r>
              <w:t xml:space="preserve">, are scheduled for release after our cut‑off. We will cover these next week.</w:t>
            </w:r>
          </w:p>
        </w:tc>
      </w:tr>
      <w:tr>
        <w:tc>
          <w:tcPr/>
          <w:p>
            <w:pPr>
              <w:pStyle w:val="Compact"/>
            </w:pPr>
            <w:r>
              <w:t xml:space="preserve">Jan 21 2026</w:t>
            </w:r>
          </w:p>
        </w:tc>
        <w:tc>
          <w:tcPr/>
          <w:p>
            <w:pPr>
              <w:pStyle w:val="Compact"/>
            </w:pPr>
            <w:r>
              <w:t xml:space="preserve">Crypto Task Force anniversary</w:t>
            </w:r>
          </w:p>
        </w:tc>
        <w:tc>
          <w:tcPr/>
          <w:p>
            <w:pPr>
              <w:pStyle w:val="Compact"/>
            </w:pPr>
            <w:r>
              <w:t xml:space="preserve">One‑year anniversary of the task force; statements or retrospectives may signal upcoming rulemaking.</w:t>
            </w:r>
          </w:p>
        </w:tc>
      </w:tr>
      <w:tr>
        <w:tc>
          <w:tcPr/>
          <w:p>
            <w:pPr>
              <w:pStyle w:val="Compact"/>
            </w:pPr>
            <w:r>
              <w:t xml:space="preserve">Q1 2026</w:t>
            </w:r>
          </w:p>
        </w:tc>
        <w:tc>
          <w:tcPr/>
          <w:p>
            <w:pPr>
              <w:pStyle w:val="Compact"/>
            </w:pPr>
            <w:r>
              <w:t xml:space="preserve">SEC “Regulation Crypto” proposal</w:t>
            </w:r>
          </w:p>
        </w:tc>
        <w:tc>
          <w:tcPr/>
          <w:p>
            <w:pPr>
              <w:pStyle w:val="Compact"/>
            </w:pPr>
            <w:r>
              <w:t xml:space="preserve">The Commission is expected to propose a formal crypto‑market structure and custody rule, as hinted by Commissioner Peirce in December 2025.</w:t>
            </w:r>
          </w:p>
        </w:tc>
      </w:tr>
      <w:tr>
        <w:tc>
          <w:tcPr/>
          <w:p>
            <w:pPr>
              <w:pStyle w:val="Compact"/>
            </w:pPr>
            <w:r>
              <w:t xml:space="preserve">H2 2026</w:t>
            </w:r>
          </w:p>
        </w:tc>
        <w:tc>
          <w:tcPr/>
          <w:p>
            <w:pPr>
              <w:pStyle w:val="Compact"/>
            </w:pPr>
            <w:r>
              <w:t xml:space="preserve">DTC tokenization pilot launch</w:t>
            </w:r>
          </w:p>
        </w:tc>
        <w:tc>
          <w:tcPr/>
          <w:p>
            <w:pPr>
              <w:pStyle w:val="Compact"/>
            </w:pPr>
            <w:r>
              <w:t xml:space="preserve">DTC’s pilot to tokenize security entitlements could reshape custody through centralisation.</w:t>
            </w:r>
          </w:p>
        </w:tc>
      </w:tr>
    </w:tbl>
    <w:p>
      <w:r>
        <w:pict>
          <v:rect style="width:0;height:1.5pt" o:hralign="center" o:hrstd="t" o:hr="t"/>
        </w:pict>
      </w:r>
    </w:p>
    <w:bookmarkEnd w:id="51"/>
    <w:bookmarkStart w:id="52" w:name="compliance-action-items"/>
    <w:p>
      <w:pPr>
        <w:pStyle w:val="Heading2"/>
      </w:pPr>
      <w:r>
        <w:t xml:space="preserve">💡 Compliance Action Items</w:t>
      </w:r>
    </w:p>
    <w:p>
      <w:pPr>
        <w:pStyle w:val="FirstParagraph"/>
      </w:pPr>
      <w:r>
        <w:rPr>
          <w:b/>
          <w:bCs/>
        </w:rPr>
        <w:t xml:space="preserve">This Week’s To‑Do List</w:t>
      </w:r>
    </w:p>
    <w:p>
      <w:pPr>
        <w:pStyle w:val="Compact"/>
        <w:numPr>
          <w:ilvl w:val="0"/>
          <w:numId w:val="1005"/>
        </w:numPr>
      </w:pPr>
      <w:r>
        <w:rPr>
          <w:b/>
          <w:bCs/>
        </w:rPr>
        <w:t xml:space="preserve">Review the Institutionalization Pack</w:t>
      </w:r>
      <w:r>
        <w:t xml:space="preserve">: If you plan to participate in tokenized‑securities pilots, study the rule‑filing templates and cross‑walks to ensure your governance and record‑keeping processes align with SEC expectations</w:t>
      </w:r>
      <w:hyperlink r:id="rId24">
        <w:r>
          <w:rPr>
            <w:rStyle w:val="Hyperlink"/>
          </w:rPr>
          <w:t xml:space="preserve">[1]</w:t>
        </w:r>
      </w:hyperlink>
      <w:r>
        <w:t xml:space="preserve">.</w:t>
      </w:r>
    </w:p>
    <w:p>
      <w:pPr>
        <w:pStyle w:val="Compact"/>
        <w:numPr>
          <w:ilvl w:val="0"/>
          <w:numId w:val="1005"/>
        </w:numPr>
      </w:pPr>
      <w:r>
        <w:rPr>
          <w:b/>
          <w:bCs/>
        </w:rPr>
        <w:t xml:space="preserve">Update logging and retention policies</w:t>
      </w:r>
      <w:r>
        <w:t xml:space="preserve">: Align logs with the Operational Assurance Kit—ensure 7‑year retention for transaction/authentication events and indefinite retention for key ceremonies</w:t>
      </w:r>
      <w:hyperlink r:id="rId28">
        <w:r>
          <w:rPr>
            <w:rStyle w:val="Hyperlink"/>
          </w:rPr>
          <w:t xml:space="preserve">[4]</w:t>
        </w:r>
      </w:hyperlink>
      <w:r>
        <w:t xml:space="preserve">.</w:t>
      </w:r>
    </w:p>
    <w:p>
      <w:pPr>
        <w:pStyle w:val="Compact"/>
        <w:numPr>
          <w:ilvl w:val="0"/>
          <w:numId w:val="1005"/>
        </w:numPr>
      </w:pPr>
      <w:r>
        <w:rPr>
          <w:b/>
          <w:bCs/>
        </w:rPr>
        <w:t xml:space="preserve">Assess wallet partnerships</w:t>
      </w:r>
      <w:r>
        <w:t xml:space="preserve">: Determine whether any wallet provider you use controls client keys or routes trades. If so, ensure it is registered or meets broker‑dealer requirements as argued by SIFMA</w:t>
      </w:r>
      <w:hyperlink r:id="rId32">
        <w:r>
          <w:rPr>
            <w:rStyle w:val="Hyperlink"/>
          </w:rPr>
          <w:t xml:space="preserve">[6]</w:t>
        </w:r>
      </w:hyperlink>
      <w:r>
        <w:t xml:space="preserve">.</w:t>
      </w:r>
    </w:p>
    <w:p>
      <w:pPr>
        <w:pStyle w:val="Compact"/>
        <w:numPr>
          <w:ilvl w:val="0"/>
          <w:numId w:val="1005"/>
        </w:numPr>
      </w:pPr>
      <w:r>
        <w:rPr>
          <w:b/>
          <w:bCs/>
        </w:rPr>
        <w:t xml:space="preserve">Map custody models to risk</w:t>
      </w:r>
      <w:r>
        <w:t xml:space="preserve">: For each client segment, decide whether self‑custody or regulated third‑party custody is appropriate. Institutional clients and high‑risk flows may require regulated qualified custodians</w:t>
      </w:r>
      <w:hyperlink r:id="rId38">
        <w:r>
          <w:rPr>
            <w:rStyle w:val="Hyperlink"/>
          </w:rPr>
          <w:t xml:space="preserve">[10]</w:t>
        </w:r>
      </w:hyperlink>
      <w:r>
        <w:t xml:space="preserve">.</w:t>
      </w:r>
    </w:p>
    <w:p>
      <w:pPr>
        <w:pStyle w:val="Compact"/>
        <w:numPr>
          <w:ilvl w:val="0"/>
          <w:numId w:val="1005"/>
        </w:numPr>
      </w:pPr>
      <w:r>
        <w:rPr>
          <w:b/>
          <w:bCs/>
        </w:rPr>
        <w:t xml:space="preserve">Monitor DeFi exposure</w:t>
      </w:r>
      <w:r>
        <w:t xml:space="preserve">: If you engage with DeFi protocols, document whether they are non‑custodial and over‑collateralized. Stay alert for potential safe‑harbor guidance and avoid front‑end activities that could be deemed broker‑dealer functions</w:t>
      </w:r>
      <w:hyperlink r:id="rId41">
        <w:r>
          <w:rPr>
            <w:rStyle w:val="Hyperlink"/>
          </w:rPr>
          <w:t xml:space="preserve">[12]</w:t>
        </w:r>
      </w:hyperlink>
      <w:r>
        <w:t xml:space="preserve">.</w:t>
      </w:r>
    </w:p>
    <w:p>
      <w:pPr>
        <w:pStyle w:val="FirstParagraph"/>
      </w:pPr>
      <w:r>
        <w:rPr>
          <w:b/>
          <w:bCs/>
        </w:rPr>
        <w:t xml:space="preserve">Standing Items</w:t>
      </w:r>
    </w:p>
    <w:p>
      <w:pPr>
        <w:pStyle w:val="Compact"/>
        <w:numPr>
          <w:ilvl w:val="0"/>
          <w:numId w:val="1006"/>
        </w:numPr>
      </w:pPr>
      <w:r>
        <w:t xml:space="preserve">Keep abreast of SEC Crypto Task Force releases and meeting memos.</w:t>
      </w:r>
    </w:p>
    <w:p>
      <w:pPr>
        <w:pStyle w:val="Compact"/>
        <w:numPr>
          <w:ilvl w:val="0"/>
          <w:numId w:val="1006"/>
        </w:numPr>
      </w:pPr>
      <w:r>
        <w:t xml:space="preserve">Review quarterly for new no‑action letters involving custody.</w:t>
      </w:r>
    </w:p>
    <w:p>
      <w:pPr>
        <w:pStyle w:val="Compact"/>
        <w:numPr>
          <w:ilvl w:val="0"/>
          <w:numId w:val="1006"/>
        </w:numPr>
      </w:pPr>
      <w:r>
        <w:t xml:space="preserve">Track peer custody arrangements and emerging best practices for record‑keeping and key management.</w:t>
      </w:r>
    </w:p>
    <w:p>
      <w:r>
        <w:pict>
          <v:rect style="width:0;height:1.5pt" o:hralign="center" o:hrstd="t" o:hr="t"/>
        </w:pict>
      </w:r>
    </w:p>
    <w:bookmarkEnd w:id="52"/>
    <w:bookmarkStart w:id="53" w:name="resource-library"/>
    <w:p>
      <w:pPr>
        <w:pStyle w:val="Heading2"/>
      </w:pPr>
      <w:r>
        <w:t xml:space="preserve">📚 Resource Library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Date</w:t>
            </w:r>
          </w:p>
        </w:tc>
        <w:tc>
          <w:tcPr/>
          <w:p>
            <w:pPr>
              <w:pStyle w:val="Compact"/>
            </w:pPr>
            <w:r>
              <w:t xml:space="preserve">Summary &amp; Relevance</w:t>
            </w:r>
          </w:p>
        </w:tc>
      </w:tr>
      <w:tr>
        <w:tc>
          <w:tcPr/>
          <w:p>
            <w:pPr>
              <w:pStyle w:val="Compact"/>
            </w:pPr>
            <w:r>
              <w:rPr>
                <w:b/>
                <w:bCs/>
              </w:rPr>
              <w:t xml:space="preserve">Regulatory Institutionalization Pack</w:t>
            </w:r>
          </w:p>
        </w:tc>
        <w:tc>
          <w:tcPr/>
          <w:p>
            <w:pPr>
              <w:pStyle w:val="Compact"/>
            </w:pPr>
            <w:r>
              <w:t xml:space="preserve">Jan 15 2026</w:t>
            </w:r>
          </w:p>
        </w:tc>
        <w:tc>
          <w:tcPr/>
          <w:p>
            <w:pPr>
              <w:pStyle w:val="Compact"/>
            </w:pPr>
            <w:r>
              <w:t xml:space="preserve">Provides SRO rulebook outlines, rule‑filing templates and record‑keeping/CAT cross‑walks; establishes tiered regulatory access</w:t>
            </w:r>
            <w:hyperlink r:id="rId24">
              <w:r>
                <w:rPr>
                  <w:rStyle w:val="Hyperlink"/>
                </w:rPr>
                <w:t xml:space="preserve">[1]</w:t>
              </w:r>
            </w:hyperlink>
            <w:r>
              <w:t xml:space="preserve">.</w:t>
            </w:r>
          </w:p>
        </w:tc>
      </w:tr>
      <w:tr>
        <w:tc>
          <w:tcPr/>
          <w:p>
            <w:pPr>
              <w:pStyle w:val="Compact"/>
            </w:pPr>
            <w:r>
              <w:rPr>
                <w:b/>
                <w:bCs/>
              </w:rPr>
              <w:t xml:space="preserve">Operational Assurance &amp; Examiner Kit</w:t>
            </w:r>
          </w:p>
        </w:tc>
        <w:tc>
          <w:tcPr/>
          <w:p>
            <w:pPr>
              <w:pStyle w:val="Compact"/>
            </w:pPr>
            <w:r>
              <w:t xml:space="preserve">Jan 14 2026</w:t>
            </w:r>
          </w:p>
        </w:tc>
        <w:tc>
          <w:tcPr/>
          <w:p>
            <w:pPr>
              <w:pStyle w:val="Compact"/>
            </w:pPr>
            <w:r>
              <w:t xml:space="preserve">Supplies JSON schemas, examiner queries and RACI matrices for audit readiness and key‑management evidence</w:t>
            </w:r>
            <w:hyperlink r:id="rId28">
              <w:r>
                <w:rPr>
                  <w:rStyle w:val="Hyperlink"/>
                </w:rPr>
                <w:t xml:space="preserve">[4]</w:t>
              </w:r>
            </w:hyperlink>
            <w:r>
              <w:t xml:space="preserve">.</w:t>
            </w:r>
          </w:p>
        </w:tc>
      </w:tr>
      <w:tr>
        <w:tc>
          <w:tcPr/>
          <w:p>
            <w:pPr>
              <w:pStyle w:val="Compact"/>
            </w:pPr>
            <w:r>
              <w:rPr>
                <w:b/>
                <w:bCs/>
              </w:rPr>
              <w:t xml:space="preserve">SIFMA Wallet Provider Letter</w:t>
            </w:r>
          </w:p>
        </w:tc>
        <w:tc>
          <w:tcPr/>
          <w:p>
            <w:pPr>
              <w:pStyle w:val="Compact"/>
            </w:pPr>
            <w:r>
              <w:t xml:space="preserve">Jan 15 2026</w:t>
            </w:r>
          </w:p>
        </w:tc>
        <w:tc>
          <w:tcPr/>
          <w:p>
            <w:pPr>
              <w:pStyle w:val="Compact"/>
            </w:pPr>
            <w:r>
              <w:t xml:space="preserve">Argues wallet providers performing broker‑dealer functions must register; distinguishes non‑custodial vs. custodial models</w:t>
            </w:r>
            <w:hyperlink r:id="rId32">
              <w:r>
                <w:rPr>
                  <w:rStyle w:val="Hyperlink"/>
                </w:rPr>
                <w:t xml:space="preserve">[6]</w:t>
              </w:r>
            </w:hyperlink>
            <w:r>
              <w:t xml:space="preserve">.</w:t>
            </w:r>
          </w:p>
        </w:tc>
      </w:tr>
      <w:tr>
        <w:tc>
          <w:tcPr/>
          <w:p>
            <w:pPr>
              <w:pStyle w:val="Compact"/>
            </w:pPr>
            <w:r>
              <w:rPr>
                <w:b/>
                <w:bCs/>
              </w:rPr>
              <w:t xml:space="preserve">POLARIS 3.0 Framework</w:t>
            </w:r>
          </w:p>
        </w:tc>
        <w:tc>
          <w:tcPr/>
          <w:p>
            <w:pPr>
              <w:pStyle w:val="Compact"/>
            </w:pPr>
            <w:r>
              <w:t xml:space="preserve">Jan 12 2026</w:t>
            </w:r>
          </w:p>
        </w:tc>
        <w:tc>
          <w:tcPr/>
          <w:p>
            <w:pPr>
              <w:pStyle w:val="Compact"/>
            </w:pPr>
            <w:r>
              <w:t xml:space="preserve">Seven‑layer architecture enforcing “Contract &gt; Code,” aligning with securities laws and embedding AML/KYC requirements</w:t>
            </w:r>
            <w:hyperlink r:id="rId30">
              <w:r>
                <w:rPr>
                  <w:rStyle w:val="Hyperlink"/>
                </w:rPr>
                <w:t xml:space="preserve">[5]</w:t>
              </w:r>
            </w:hyperlink>
            <w:r>
              <w:t xml:space="preserve">.</w:t>
            </w:r>
          </w:p>
        </w:tc>
      </w:tr>
      <w:tr>
        <w:tc>
          <w:tcPr/>
          <w:p>
            <w:pPr>
              <w:pStyle w:val="Compact"/>
            </w:pPr>
            <w:r>
              <w:rPr>
                <w:b/>
                <w:bCs/>
              </w:rPr>
              <w:t xml:space="preserve">Finternet/Bodin Advisory Memo</w:t>
            </w:r>
          </w:p>
        </w:tc>
        <w:tc>
          <w:tcPr/>
          <w:p>
            <w:pPr>
              <w:pStyle w:val="Compact"/>
            </w:pPr>
            <w:r>
              <w:t xml:space="preserve">Jan 14 2026</w:t>
            </w:r>
          </w:p>
        </w:tc>
        <w:tc>
          <w:tcPr/>
          <w:p>
            <w:pPr>
              <w:pStyle w:val="Compact"/>
            </w:pPr>
            <w:r>
              <w:t xml:space="preserve">Discusses neutral custody architecture supporting both self‑custody and third‑party custody; highlights safeguards and need for qualified custodians for institutional flows</w:t>
            </w:r>
            <w:hyperlink r:id="rId37">
              <w:r>
                <w:rPr>
                  <w:rStyle w:val="Hyperlink"/>
                </w:rPr>
                <w:t xml:space="preserve">[14]</w:t>
              </w:r>
            </w:hyperlink>
            <w:r>
              <w:t xml:space="preserve">.</w:t>
            </w:r>
          </w:p>
        </w:tc>
      </w:tr>
      <w:tr>
        <w:tc>
          <w:tcPr/>
          <w:p>
            <w:pPr>
              <w:pStyle w:val="Compact"/>
            </w:pPr>
            <w:r>
              <w:rPr>
                <w:b/>
                <w:bCs/>
              </w:rPr>
              <w:t xml:space="preserve">Injective Labs Meeting Memo</w:t>
            </w:r>
          </w:p>
        </w:tc>
        <w:tc>
          <w:tcPr/>
          <w:p>
            <w:pPr>
              <w:pStyle w:val="Compact"/>
            </w:pPr>
            <w:r>
              <w:t xml:space="preserve">Jan 13 2026</w:t>
            </w:r>
          </w:p>
        </w:tc>
        <w:tc>
          <w:tcPr/>
          <w:p>
            <w:pPr>
              <w:pStyle w:val="Compact"/>
            </w:pPr>
            <w:r>
              <w:t xml:space="preserve">Advocates for safe‑harbor for DeFi protocols and clarifies non‑custodial credit protocols should not trigger broker‑dealer rules</w:t>
            </w:r>
            <w:hyperlink r:id="rId41">
              <w:r>
                <w:rPr>
                  <w:rStyle w:val="Hyperlink"/>
                </w:rPr>
                <w:t xml:space="preserve">[12]</w:t>
              </w:r>
            </w:hyperlink>
            <w:r>
              <w:t xml:space="preserve">.</w:t>
            </w:r>
          </w:p>
        </w:tc>
      </w:tr>
      <w:tr>
        <w:tc>
          <w:tcPr/>
          <w:p>
            <w:pPr>
              <w:pStyle w:val="Compact"/>
            </w:pPr>
            <w:r>
              <w:rPr>
                <w:b/>
                <w:bCs/>
              </w:rPr>
              <w:t xml:space="preserve">BD Custody Statement (Possession)</w:t>
            </w:r>
          </w:p>
        </w:tc>
        <w:tc>
          <w:tcPr/>
          <w:p>
            <w:pPr>
              <w:pStyle w:val="Compact"/>
            </w:pPr>
            <w:r>
              <w:t xml:space="preserve">Dec 17 2025</w:t>
            </w:r>
          </w:p>
        </w:tc>
        <w:tc>
          <w:tcPr/>
          <w:p>
            <w:pPr>
              <w:pStyle w:val="Compact"/>
            </w:pPr>
            <w:r>
              <w:t xml:space="preserve">Establishes five conditions for broker‑dealers to demonstrate “physical possession” of crypto asset securities; still active.</w:t>
            </w:r>
          </w:p>
        </w:tc>
      </w:tr>
      <w:tr>
        <w:tc>
          <w:tcPr/>
          <w:p>
            <w:pPr>
              <w:pStyle w:val="Compact"/>
            </w:pPr>
            <w:r>
              <w:rPr>
                <w:b/>
                <w:bCs/>
              </w:rPr>
              <w:t xml:space="preserve">BD Custody FAQ (Control)</w:t>
            </w:r>
          </w:p>
        </w:tc>
        <w:tc>
          <w:tcPr/>
          <w:p>
            <w:pPr>
              <w:pStyle w:val="Compact"/>
            </w:pPr>
            <w:r>
              <w:t xml:space="preserve">May 15 2025</w:t>
            </w:r>
          </w:p>
        </w:tc>
        <w:tc>
          <w:tcPr/>
          <w:p>
            <w:pPr>
              <w:pStyle w:val="Compact"/>
            </w:pPr>
            <w:r>
              <w:t xml:space="preserve">Explains how broker‑dealers can achieve “control” of crypto asset securities via qualified control locations.</w:t>
            </w:r>
          </w:p>
        </w:tc>
      </w:tr>
      <w:tr>
        <w:tc>
          <w:tcPr/>
          <w:p>
            <w:pPr>
              <w:pStyle w:val="Compact"/>
            </w:pPr>
            <w:r>
              <w:rPr>
                <w:b/>
                <w:bCs/>
              </w:rPr>
              <w:t xml:space="preserve">State Trust Company NAL</w:t>
            </w:r>
          </w:p>
        </w:tc>
        <w:tc>
          <w:tcPr/>
          <w:p>
            <w:pPr>
              <w:pStyle w:val="Compact"/>
            </w:pPr>
            <w:r>
              <w:t xml:space="preserve">Sep 30 2025</w:t>
            </w:r>
          </w:p>
        </w:tc>
        <w:tc>
          <w:tcPr/>
          <w:p>
            <w:pPr>
              <w:pStyle w:val="Compact"/>
            </w:pPr>
            <w:r>
              <w:t xml:space="preserve">Allows investment advisers to use state‑chartered trust companies as qualified custodians for client crypto assets.</w:t>
            </w:r>
          </w:p>
        </w:tc>
      </w:tr>
      <w:tr>
        <w:tc>
          <w:tcPr/>
          <w:p>
            <w:pPr>
              <w:pStyle w:val="Compact"/>
            </w:pPr>
            <w:r>
              <w:rPr>
                <w:b/>
                <w:bCs/>
              </w:rPr>
              <w:t xml:space="preserve">SAB 122</w:t>
            </w:r>
          </w:p>
        </w:tc>
        <w:tc>
          <w:tcPr/>
          <w:p>
            <w:pPr>
              <w:pStyle w:val="Compact"/>
            </w:pPr>
            <w:r>
              <w:t xml:space="preserve">Jan 23 2025</w:t>
            </w:r>
          </w:p>
        </w:tc>
        <w:tc>
          <w:tcPr/>
          <w:p>
            <w:pPr>
              <w:pStyle w:val="Compact"/>
            </w:pPr>
            <w:r>
              <w:t xml:space="preserve">Rescinded SAB 121; clarifies accounting treatment for crypto custodial liabilities.</w:t>
            </w:r>
          </w:p>
        </w:tc>
      </w:tr>
      <w:tr>
        <w:tc>
          <w:tcPr/>
          <w:p>
            <w:pPr>
              <w:pStyle w:val="Compact"/>
            </w:pPr>
            <w:r>
              <w:rPr>
                <w:b/>
                <w:bCs/>
              </w:rPr>
              <w:t xml:space="preserve">DTC Tokenization NAL</w:t>
            </w:r>
          </w:p>
        </w:tc>
        <w:tc>
          <w:tcPr/>
          <w:p>
            <w:pPr>
              <w:pStyle w:val="Compact"/>
            </w:pPr>
            <w:r>
              <w:t xml:space="preserve">Dec 11 2025</w:t>
            </w:r>
          </w:p>
        </w:tc>
        <w:tc>
          <w:tcPr/>
          <w:p>
            <w:pPr>
              <w:pStyle w:val="Compact"/>
            </w:pPr>
            <w:r>
              <w:t xml:space="preserve">Permits the DTC to tokenize security entitlements under SEC supervision, potentially centralizing crypto custody.</w:t>
            </w:r>
          </w:p>
        </w:tc>
      </w:tr>
      <w:tr>
        <w:tc>
          <w:tcPr/>
          <w:p>
            <w:pPr>
              <w:pStyle w:val="Compact"/>
            </w:pPr>
            <w:r>
              <w:rPr>
                <w:b/>
                <w:bCs/>
              </w:rPr>
              <w:t xml:space="preserve">CFTC Digital Asset Collateral Guidance</w:t>
            </w:r>
          </w:p>
        </w:tc>
        <w:tc>
          <w:tcPr/>
          <w:p>
            <w:pPr>
              <w:pStyle w:val="Compact"/>
            </w:pPr>
            <w:r>
              <w:t xml:space="preserve">Dec 8 2025</w:t>
            </w:r>
          </w:p>
        </w:tc>
        <w:tc>
          <w:tcPr/>
          <w:p>
            <w:pPr>
              <w:pStyle w:val="Compact"/>
            </w:pPr>
            <w:r>
              <w:t xml:space="preserve">Allows FCMs to accept certain digital assets as collateral under specific conditions.</w:t>
            </w:r>
          </w:p>
        </w:tc>
      </w:tr>
    </w:tbl>
    <w:p>
      <w:r>
        <w:pict>
          <v:rect style="width:0;height:1.5pt" o:hralign="center" o:hrstd="t" o:hr="t"/>
        </w:pict>
      </w:r>
    </w:p>
    <w:bookmarkEnd w:id="53"/>
    <w:bookmarkStart w:id="54" w:name="feedback-questions"/>
    <w:p>
      <w:pPr>
        <w:pStyle w:val="Heading2"/>
      </w:pPr>
      <w:r>
        <w:t xml:space="preserve">📬 Feedback &amp; Questions</w:t>
      </w:r>
    </w:p>
    <w:p>
      <w:pPr>
        <w:pStyle w:val="FirstParagraph"/>
      </w:pPr>
      <w:r>
        <w:t xml:space="preserve">This digest aims to keep you ahead of crypto custody developments. We welcome your feedback—reply with topics you want covered, format preferences or compliance questions. To discuss your firm’s specific custody challenges, schedule a consultation.</w:t>
      </w:r>
    </w:p>
    <w:p>
      <w:pPr>
        <w:pStyle w:val="BodyText"/>
      </w:pPr>
      <w:r>
        <w:rPr>
          <w:i/>
          <w:iCs/>
        </w:rPr>
        <w:t xml:space="preserve">Disclaimer: This newsletter is for informational purposes only and does not constitute legal advice. You should consult with qualified counsel for advice tailored to your situation.</w:t>
      </w:r>
    </w:p>
    <w:bookmarkEnd w:id="54"/>
    <w:bookmarkEnd w:id="55"/>
    <w:bookmarkEnd w:id="56"/>
    <w:p>
      <w:r>
        <w:pict>
          <v:rect style="width:0;height:1.5pt" o:hralign="center" o:hrstd="t" o:hr="t"/>
        </w:pict>
      </w:r>
    </w:p>
    <w:bookmarkStart w:id="65" w:name="citations"/>
    <w:p>
      <w:pPr>
        <w:pStyle w:val="FirstParagraph"/>
      </w:pPr>
      <w:hyperlink r:id="rId24">
        <w:r>
          <w:rPr>
            <w:rStyle w:val="Hyperlink"/>
          </w:rPr>
          <w:t xml:space="preserve">[1]</w:t>
        </w:r>
      </w:hyperlink>
      <w:r>
        <w:t xml:space="preserve"> </w:t>
      </w:r>
      <w:r>
        <w:t xml:space="preserve">SEC.gov | Crypto Task Force Written Input</w:t>
      </w:r>
    </w:p>
    <w:p>
      <w:pPr>
        <w:pStyle w:val="BodyText"/>
      </w:pPr>
      <w:hyperlink r:id="rId57">
        <w:r>
          <w:rPr>
            <w:rStyle w:val="Hyperlink"/>
          </w:rPr>
          <w:t xml:space="preserve">https://www.sec.gov/featured-topics/crypto-task-force/crypto-task-force-written-input</w:t>
        </w:r>
      </w:hyperlink>
    </w:p>
    <w:p>
      <w:pPr>
        <w:pStyle w:val="BodyText"/>
      </w:pPr>
      <w:hyperlink r:id="rId25">
        <w:r>
          <w:rPr>
            <w:rStyle w:val="Hyperlink"/>
          </w:rPr>
          <w:t xml:space="preserve">[2]</w:t>
        </w:r>
      </w:hyperlink>
      <w:r>
        <w:t xml:space="preserve"> </w:t>
      </w:r>
      <w:hyperlink r:id="rId26">
        <w:r>
          <w:rPr>
            <w:rStyle w:val="Hyperlink"/>
          </w:rPr>
          <w:t xml:space="preserve">[3]</w:t>
        </w:r>
      </w:hyperlink>
      <w:r>
        <w:t xml:space="preserve"> </w:t>
      </w:r>
      <w:r>
        <w:t xml:space="preserve">ctf-written-input-daniel-bruno-corvelo-costa-011526.pdf</w:t>
      </w:r>
    </w:p>
    <w:p>
      <w:pPr>
        <w:pStyle w:val="BodyText"/>
      </w:pPr>
      <w:hyperlink r:id="rId58">
        <w:r>
          <w:rPr>
            <w:rStyle w:val="Hyperlink"/>
          </w:rPr>
          <w:t xml:space="preserve">https://www.sec.gov/files/ctf-written-input-daniel-bruno-corvelo-costa-011526.pdf</w:t>
        </w:r>
      </w:hyperlink>
    </w:p>
    <w:p>
      <w:pPr>
        <w:pStyle w:val="BodyText"/>
      </w:pPr>
      <w:hyperlink r:id="rId28">
        <w:r>
          <w:rPr>
            <w:rStyle w:val="Hyperlink"/>
          </w:rPr>
          <w:t xml:space="preserve">[4]</w:t>
        </w:r>
      </w:hyperlink>
      <w:r>
        <w:t xml:space="preserve"> </w:t>
      </w:r>
      <w:r>
        <w:t xml:space="preserve">Operational Assurance &amp; Examiner</w:t>
      </w:r>
    </w:p>
    <w:p>
      <w:pPr>
        <w:pStyle w:val="BodyText"/>
      </w:pPr>
      <w:hyperlink r:id="rId59">
        <w:r>
          <w:rPr>
            <w:rStyle w:val="Hyperlink"/>
          </w:rPr>
          <w:t xml:space="preserve">https://www.sec.gov/files/ctf-written-input-daniel-bruno-corvelo-costa-011426.pdf</w:t>
        </w:r>
      </w:hyperlink>
    </w:p>
    <w:p>
      <w:pPr>
        <w:pStyle w:val="BodyText"/>
      </w:pPr>
      <w:hyperlink r:id="rId30">
        <w:r>
          <w:rPr>
            <w:rStyle w:val="Hyperlink"/>
          </w:rPr>
          <w:t xml:space="preserve">[5]</w:t>
        </w:r>
      </w:hyperlink>
      <w:r>
        <w:t xml:space="preserve"> </w:t>
      </w:r>
      <w:r>
        <w:t xml:space="preserve">SEC.gov | POLARIS 3.0 Framework: Advanced Technical-Regulatory Architecture for Digital Asset Market Integrity</w:t>
      </w:r>
    </w:p>
    <w:p>
      <w:pPr>
        <w:pStyle w:val="BodyText"/>
      </w:pPr>
      <w:hyperlink r:id="rId60">
        <w:r>
          <w:rPr>
            <w:rStyle w:val="Hyperlink"/>
          </w:rPr>
          <w:t xml:space="preserve">https://www.sec.gov/about/crypto-task-force/written-submission/ctf-written-input-daniel-bruno-corvelo-costa-011226</w:t>
        </w:r>
      </w:hyperlink>
    </w:p>
    <w:p>
      <w:pPr>
        <w:pStyle w:val="BodyText"/>
      </w:pPr>
      <w:hyperlink r:id="rId32">
        <w:r>
          <w:rPr>
            <w:rStyle w:val="Hyperlink"/>
          </w:rPr>
          <w:t xml:space="preserve">[6]</w:t>
        </w:r>
      </w:hyperlink>
      <w:r>
        <w:t xml:space="preserve"> </w:t>
      </w:r>
      <w:hyperlink r:id="rId33">
        <w:r>
          <w:rPr>
            <w:rStyle w:val="Hyperlink"/>
          </w:rPr>
          <w:t xml:space="preserve">[7]</w:t>
        </w:r>
      </w:hyperlink>
      <w:r>
        <w:t xml:space="preserve"> </w:t>
      </w:r>
      <w:hyperlink r:id="rId34">
        <w:r>
          <w:rPr>
            <w:rStyle w:val="Hyperlink"/>
          </w:rPr>
          <w:t xml:space="preserve">[8]</w:t>
        </w:r>
      </w:hyperlink>
      <w:r>
        <w:t xml:space="preserve"> </w:t>
      </w:r>
      <w:r>
        <w:t xml:space="preserve">Securities Industry and Financial Markets Association (SIFMA)</w:t>
      </w:r>
    </w:p>
    <w:p>
      <w:pPr>
        <w:pStyle w:val="BodyText"/>
      </w:pPr>
      <w:hyperlink r:id="rId61">
        <w:r>
          <w:rPr>
            <w:rStyle w:val="Hyperlink"/>
          </w:rPr>
          <w:t xml:space="preserve">https://www.sec.gov/files/sifma-letter-wallet-provider-regulation-011526.pdf</w:t>
        </w:r>
      </w:hyperlink>
    </w:p>
    <w:p>
      <w:pPr>
        <w:pStyle w:val="BodyText"/>
      </w:pPr>
      <w:hyperlink r:id="rId37">
        <w:r>
          <w:rPr>
            <w:rStyle w:val="Hyperlink"/>
          </w:rPr>
          <w:t xml:space="preserve">[9]</w:t>
        </w:r>
      </w:hyperlink>
      <w:r>
        <w:t xml:space="preserve"> </w:t>
      </w:r>
      <w:hyperlink r:id="rId38">
        <w:r>
          <w:rPr>
            <w:rStyle w:val="Hyperlink"/>
          </w:rPr>
          <w:t xml:space="preserve">[10]</w:t>
        </w:r>
      </w:hyperlink>
      <w:r>
        <w:t xml:space="preserve"> </w:t>
      </w:r>
      <w:hyperlink r:id="rId39">
        <w:r>
          <w:rPr>
            <w:rStyle w:val="Hyperlink"/>
          </w:rPr>
          <w:t xml:space="preserve">[11]</w:t>
        </w:r>
      </w:hyperlink>
      <w:r>
        <w:t xml:space="preserve"> </w:t>
      </w:r>
      <w:hyperlink r:id="rId37">
        <w:r>
          <w:rPr>
            <w:rStyle w:val="Hyperlink"/>
          </w:rPr>
          <w:t xml:space="preserve">[14]</w:t>
        </w:r>
      </w:hyperlink>
      <w:r>
        <w:t xml:space="preserve"> </w:t>
      </w:r>
      <w:r>
        <w:t xml:space="preserve">Re: Meeting with Representatives of Finternet Global LLP and Bodin Advisory LLC</w:t>
      </w:r>
    </w:p>
    <w:p>
      <w:pPr>
        <w:pStyle w:val="BodyText"/>
      </w:pPr>
      <w:hyperlink r:id="rId62">
        <w:r>
          <w:rPr>
            <w:rStyle w:val="Hyperlink"/>
          </w:rPr>
          <w:t xml:space="preserve">https://www.sec.gov/files/ctf-memo-finternet-global-llp-bodin-advisory-llc-011426.pdf</w:t>
        </w:r>
      </w:hyperlink>
    </w:p>
    <w:p>
      <w:pPr>
        <w:pStyle w:val="BodyText"/>
      </w:pPr>
      <w:hyperlink r:id="rId41">
        <w:r>
          <w:rPr>
            <w:rStyle w:val="Hyperlink"/>
          </w:rPr>
          <w:t xml:space="preserve">[12]</w:t>
        </w:r>
      </w:hyperlink>
      <w:r>
        <w:t xml:space="preserve"> </w:t>
      </w:r>
      <w:r>
        <w:t xml:space="preserve">Re: Meeting with Representatives of Injective Labs, Inc., Injective, LLC, and Injective</w:t>
      </w:r>
    </w:p>
    <w:p>
      <w:pPr>
        <w:pStyle w:val="BodyText"/>
      </w:pPr>
      <w:hyperlink r:id="rId63">
        <w:r>
          <w:rPr>
            <w:rStyle w:val="Hyperlink"/>
          </w:rPr>
          <w:t xml:space="preserve">https://www.sec.gov/files/ctf-memo-injective-labs-011326.pdf</w:t>
        </w:r>
      </w:hyperlink>
    </w:p>
    <w:p>
      <w:pPr>
        <w:pStyle w:val="BodyText"/>
      </w:pPr>
      <w:hyperlink r:id="rId43">
        <w:r>
          <w:rPr>
            <w:rStyle w:val="Hyperlink"/>
          </w:rPr>
          <w:t xml:space="preserve">[13]</w:t>
        </w:r>
      </w:hyperlink>
      <w:r>
        <w:t xml:space="preserve"> </w:t>
      </w:r>
      <w:r>
        <w:t xml:space="preserve">USIG Digital</w:t>
      </w:r>
    </w:p>
    <w:p>
      <w:pPr>
        <w:pStyle w:val="BodyText"/>
      </w:pPr>
      <w:hyperlink r:id="rId64">
        <w:r>
          <w:rPr>
            <w:rStyle w:val="Hyperlink"/>
          </w:rPr>
          <w:t xml:space="preserve">https://www.sec.gov/files/ctf-memo-usig-digital-011226.pdf</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www.sec.gov/about/crypto-task-force/written-submission/ctf-written-input-daniel-bruno-corvelo-costa-011226" TargetMode="External" /><Relationship Type="http://schemas.openxmlformats.org/officeDocument/2006/relationships/hyperlink" Id="rId30" Target="https://www.sec.gov/about/crypto-task-force/written-submission/ctf-written-input-daniel-bruno-corvelo-costa-011226#:~:text=Jan" TargetMode="External" /><Relationship Type="http://schemas.openxmlformats.org/officeDocument/2006/relationships/hyperlink" Id="rId57" Target="https://www.sec.gov/featured-topics/crypto-task-force/crypto-task-force-written-input" TargetMode="External" /><Relationship Type="http://schemas.openxmlformats.org/officeDocument/2006/relationships/hyperlink" Id="rId24" Target="https://www.sec.gov/featured-topics/crypto-task-force/crypto-task-force-written-input#:~:text=,and%20proportionality%20in%20regulatory%20oversight" TargetMode="External" /><Relationship Type="http://schemas.openxmlformats.org/officeDocument/2006/relationships/hyperlink" Id="rId62" Target="https://www.sec.gov/files/ctf-memo-finternet-global-llp-bodin-advisory-llc-011426.pdf" TargetMode="External" /><Relationship Type="http://schemas.openxmlformats.org/officeDocument/2006/relationships/hyperlink" Id="rId37" Target="https://www.sec.gov/files/ctf-memo-finternet-global-llp-bodin-advisory-llc-011426.pdf#:~:text=3.%20Custodial%20Architecture%3A%20Self,standards%2C%20key%20management%20protocols%2C%C2%A0disclosures%20communicating" TargetMode="External" /><Relationship Type="http://schemas.openxmlformats.org/officeDocument/2006/relationships/hyperlink" Id="rId39" Target="https://www.sec.gov/files/ctf-memo-finternet-global-llp-bodin-advisory-llc-011426.pdf#:~:text=As%20such%2C%20viable%20policy%20framework,pension%20funds%2C%20collective" TargetMode="External" /><Relationship Type="http://schemas.openxmlformats.org/officeDocument/2006/relationships/hyperlink" Id="rId38" Target="https://www.sec.gov/files/ctf-memo-finternet-global-llp-bodin-advisory-llc-011426.pdf#:~:text=ensure%C2%A0segregation%20of%20client%20assets%20and,pension%20funds%2C%20collective" TargetMode="External" /><Relationship Type="http://schemas.openxmlformats.org/officeDocument/2006/relationships/hyperlink" Id="rId63" Target="https://www.sec.gov/files/ctf-memo-injective-labs-011326.pdf" TargetMode="External" /><Relationship Type="http://schemas.openxmlformats.org/officeDocument/2006/relationships/hyperlink" Id="rId41" Target="https://www.sec.gov/files/ctf-memo-injective-labs-011326.pdf#:~:text=A,dealers%E2%80%9D%20under%20the%20Exchange%20Act" TargetMode="External" /><Relationship Type="http://schemas.openxmlformats.org/officeDocument/2006/relationships/hyperlink" Id="rId64" Target="https://www.sec.gov/files/ctf-memo-usig-digital-011226.pdf" TargetMode="External" /><Relationship Type="http://schemas.openxmlformats.org/officeDocument/2006/relationships/hyperlink" Id="rId43" Target="https://www.sec.gov/files/ctf-memo-usig-digital-011226.pdf#:~:text=With%20over%2030%20years%20of,ICE%29%20in%202025" TargetMode="External" /><Relationship Type="http://schemas.openxmlformats.org/officeDocument/2006/relationships/hyperlink" Id="rId59" Target="https://www.sec.gov/files/ctf-written-input-daniel-bruno-corvelo-costa-011426.pdf" TargetMode="External" /><Relationship Type="http://schemas.openxmlformats.org/officeDocument/2006/relationships/hyperlink" Id="rId28" Target="https://www.sec.gov/files/ctf-written-input-daniel-bruno-corvelo-costa-011426.pdf#:~:text=%E2%80%A2%20Function%3A%20Provides%20the%20JSON,prepared%20for%20rigorous%20SEC%20oversight" TargetMode="External" /><Relationship Type="http://schemas.openxmlformats.org/officeDocument/2006/relationships/hyperlink" Id="rId58" Target="https://www.sec.gov/files/ctf-written-input-daniel-bruno-corvelo-costa-011526.pdf" TargetMode="External" /><Relationship Type="http://schemas.openxmlformats.org/officeDocument/2006/relationships/hyperlink" Id="rId26" Target="https://www.sec.gov/files/ctf-written-input-daniel-bruno-corvelo-costa-011526.pdf#:~:text=establish%20the%20architectural%20framework%20,day%20implementation.%20This%20Pack%20provides" TargetMode="External" /><Relationship Type="http://schemas.openxmlformats.org/officeDocument/2006/relationships/hyperlink" Id="rId25" Target="https://www.sec.gov/files/ctf-written-input-daniel-bruno-corvelo-costa-011526.pdf#:~:text=establish%20the%20architectural%20framework%20,updates%2C%20and%20pilot%20expansion%20requests" TargetMode="External" /><Relationship Type="http://schemas.openxmlformats.org/officeDocument/2006/relationships/hyperlink" Id="rId61" Target="https://www.sec.gov/files/sifma-letter-wallet-provider-regulation-011526.pdf" TargetMode="External" /><Relationship Type="http://schemas.openxmlformats.org/officeDocument/2006/relationships/hyperlink" Id="rId33" Target="https://www.sec.gov/files/sifma-letter-wallet-provider-regulation-011526.pdf#:~:text=%E2%80%A2%20True%20non,prevent%20unregulated%20custody%20of%20tokenized" TargetMode="External" /><Relationship Type="http://schemas.openxmlformats.org/officeDocument/2006/relationships/hyperlink" Id="rId32" Target="https://www.sec.gov/files/sifma-letter-wallet-provider-regulation-011526.pdf#:~:text=Broker,dealer%20functions" TargetMode="External" /><Relationship Type="http://schemas.openxmlformats.org/officeDocument/2006/relationships/hyperlink" Id="rId34" Target="https://www.sec.gov/files/sifma-letter-wallet-provider-regulation-011526.pdf#:~:text=Relief%20%E2%80%A2%20SIFMA%20cautions%20against,are%20not%20serving%20as%20brokers" TargetMode="External" /></Relationships>
</file>

<file path=word/_rels/footnotes.xml.rels><?xml version="1.0" encoding="UTF-8"?><Relationships xmlns="http://schemas.openxmlformats.org/package/2006/relationships"><Relationship Type="http://schemas.openxmlformats.org/officeDocument/2006/relationships/hyperlink" Id="rId60" Target="https://www.sec.gov/about/crypto-task-force/written-submission/ctf-written-input-daniel-bruno-corvelo-costa-011226" TargetMode="External" /><Relationship Type="http://schemas.openxmlformats.org/officeDocument/2006/relationships/hyperlink" Id="rId30" Target="https://www.sec.gov/about/crypto-task-force/written-submission/ctf-written-input-daniel-bruno-corvelo-costa-011226#:~:text=Jan" TargetMode="External" /><Relationship Type="http://schemas.openxmlformats.org/officeDocument/2006/relationships/hyperlink" Id="rId57" Target="https://www.sec.gov/featured-topics/crypto-task-force/crypto-task-force-written-input" TargetMode="External" /><Relationship Type="http://schemas.openxmlformats.org/officeDocument/2006/relationships/hyperlink" Id="rId24" Target="https://www.sec.gov/featured-topics/crypto-task-force/crypto-task-force-written-input#:~:text=,and%20proportionality%20in%20regulatory%20oversight" TargetMode="External" /><Relationship Type="http://schemas.openxmlformats.org/officeDocument/2006/relationships/hyperlink" Id="rId62" Target="https://www.sec.gov/files/ctf-memo-finternet-global-llp-bodin-advisory-llc-011426.pdf" TargetMode="External" /><Relationship Type="http://schemas.openxmlformats.org/officeDocument/2006/relationships/hyperlink" Id="rId37" Target="https://www.sec.gov/files/ctf-memo-finternet-global-llp-bodin-advisory-llc-011426.pdf#:~:text=3.%20Custodial%20Architecture%3A%20Self,standards%2C%20key%20management%20protocols%2C%C2%A0disclosures%20communicating" TargetMode="External" /><Relationship Type="http://schemas.openxmlformats.org/officeDocument/2006/relationships/hyperlink" Id="rId39" Target="https://www.sec.gov/files/ctf-memo-finternet-global-llp-bodin-advisory-llc-011426.pdf#:~:text=As%20such%2C%20viable%20policy%20framework,pension%20funds%2C%20collective" TargetMode="External" /><Relationship Type="http://schemas.openxmlformats.org/officeDocument/2006/relationships/hyperlink" Id="rId38" Target="https://www.sec.gov/files/ctf-memo-finternet-global-llp-bodin-advisory-llc-011426.pdf#:~:text=ensure%C2%A0segregation%20of%20client%20assets%20and,pension%20funds%2C%20collective" TargetMode="External" /><Relationship Type="http://schemas.openxmlformats.org/officeDocument/2006/relationships/hyperlink" Id="rId63" Target="https://www.sec.gov/files/ctf-memo-injective-labs-011326.pdf" TargetMode="External" /><Relationship Type="http://schemas.openxmlformats.org/officeDocument/2006/relationships/hyperlink" Id="rId41" Target="https://www.sec.gov/files/ctf-memo-injective-labs-011326.pdf#:~:text=A,dealers%E2%80%9D%20under%20the%20Exchange%20Act" TargetMode="External" /><Relationship Type="http://schemas.openxmlformats.org/officeDocument/2006/relationships/hyperlink" Id="rId64" Target="https://www.sec.gov/files/ctf-memo-usig-digital-011226.pdf" TargetMode="External" /><Relationship Type="http://schemas.openxmlformats.org/officeDocument/2006/relationships/hyperlink" Id="rId43" Target="https://www.sec.gov/files/ctf-memo-usig-digital-011226.pdf#:~:text=With%20over%2030%20years%20of,ICE%29%20in%202025" TargetMode="External" /><Relationship Type="http://schemas.openxmlformats.org/officeDocument/2006/relationships/hyperlink" Id="rId59" Target="https://www.sec.gov/files/ctf-written-input-daniel-bruno-corvelo-costa-011426.pdf" TargetMode="External" /><Relationship Type="http://schemas.openxmlformats.org/officeDocument/2006/relationships/hyperlink" Id="rId28" Target="https://www.sec.gov/files/ctf-written-input-daniel-bruno-corvelo-costa-011426.pdf#:~:text=%E2%80%A2%20Function%3A%20Provides%20the%20JSON,prepared%20for%20rigorous%20SEC%20oversight" TargetMode="External" /><Relationship Type="http://schemas.openxmlformats.org/officeDocument/2006/relationships/hyperlink" Id="rId58" Target="https://www.sec.gov/files/ctf-written-input-daniel-bruno-corvelo-costa-011526.pdf" TargetMode="External" /><Relationship Type="http://schemas.openxmlformats.org/officeDocument/2006/relationships/hyperlink" Id="rId26" Target="https://www.sec.gov/files/ctf-written-input-daniel-bruno-corvelo-costa-011526.pdf#:~:text=establish%20the%20architectural%20framework%20,day%20implementation.%20This%20Pack%20provides" TargetMode="External" /><Relationship Type="http://schemas.openxmlformats.org/officeDocument/2006/relationships/hyperlink" Id="rId25" Target="https://www.sec.gov/files/ctf-written-input-daniel-bruno-corvelo-costa-011526.pdf#:~:text=establish%20the%20architectural%20framework%20,updates%2C%20and%20pilot%20expansion%20requests" TargetMode="External" /><Relationship Type="http://schemas.openxmlformats.org/officeDocument/2006/relationships/hyperlink" Id="rId61" Target="https://www.sec.gov/files/sifma-letter-wallet-provider-regulation-011526.pdf" TargetMode="External" /><Relationship Type="http://schemas.openxmlformats.org/officeDocument/2006/relationships/hyperlink" Id="rId33" Target="https://www.sec.gov/files/sifma-letter-wallet-provider-regulation-011526.pdf#:~:text=%E2%80%A2%20True%20non,prevent%20unregulated%20custody%20of%20tokenized" TargetMode="External" /><Relationship Type="http://schemas.openxmlformats.org/officeDocument/2006/relationships/hyperlink" Id="rId32" Target="https://www.sec.gov/files/sifma-letter-wallet-provider-regulation-011526.pdf#:~:text=Broker,dealer%20functions" TargetMode="External" /><Relationship Type="http://schemas.openxmlformats.org/officeDocument/2006/relationships/hyperlink" Id="rId34" Target="https://www.sec.gov/files/sifma-letter-wallet-provider-regulation-011526.pdf#:~:text=Relief%20%E2%80%A2%20SIFMA%20cautions%20against,are%20not%20serving%20as%20brok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2026-01-22T23:31:40Z</dcterms:created>
  <dcterms:modified xsi:type="dcterms:W3CDTF">2026-01-22T23:31:40Z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