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 Crypto Application — Formal Documentation</w:t>
      </w:r>
    </w:p>
    <w:p/>
    <w:p>
      <w:pPr>
        <w:pStyle w:val="Heading1"/>
      </w:pPr>
      <w:r>
        <w:rPr>
          <w:sz w:val="28"/>
        </w:rPr>
        <w:t>1. Introduction</w:t>
      </w:r>
    </w:p>
    <w:p>
      <w:pPr>
        <w:spacing w:after="120"/>
      </w:pPr>
      <w:r>
        <w:rPr>
          <w:rFonts w:ascii="Calibri" w:hAnsi="Calibri"/>
          <w:b w:val="0"/>
          <w:sz w:val="22"/>
        </w:rPr>
        <w:t>This document provides a formal overview of the SEC Crypto Application. The application delivers structured access to U.S. Securities and Exchange Commission (SEC) materials and uses AI-powered agents to answer questions, produce weekly newsletters, and generate round table and overall regulatory intelligence reports—all grounded in credible SEC and related official sources.</w:t>
      </w:r>
    </w:p>
    <w:p>
      <w:pPr>
        <w:spacing w:after="120"/>
      </w:pPr>
      <w:r>
        <w:rPr>
          <w:rFonts w:ascii="Calibri" w:hAnsi="Calibri"/>
          <w:b w:val="0"/>
          <w:sz w:val="22"/>
        </w:rPr>
        <w:t>All features rely on a structured SEC knowledge base and use only SEC-credible content where applicable, giving users confidence in the accuracy and traceability of the information.</w:t>
      </w:r>
    </w:p>
    <w:p/>
    <w:p>
      <w:pPr>
        <w:pStyle w:val="Heading1"/>
      </w:pPr>
      <w:r>
        <w:rPr>
          <w:sz w:val="28"/>
        </w:rPr>
        <w:t>2. SEC AI Assistant</w:t>
      </w:r>
    </w:p>
    <w:p>
      <w:pPr>
        <w:pStyle w:val="Heading2"/>
      </w:pPr>
      <w:r>
        <w:rPr>
          <w:sz w:val="24"/>
        </w:rPr>
        <w:t>2.1 Overview</w:t>
      </w:r>
    </w:p>
    <w:p>
      <w:pPr>
        <w:spacing w:after="120"/>
      </w:pPr>
      <w:r>
        <w:rPr>
          <w:rFonts w:ascii="Calibri" w:hAnsi="Calibri"/>
          <w:b w:val="0"/>
          <w:sz w:val="22"/>
        </w:rPr>
        <w:t>The SEC AI Assistant is an intelligent question-answering feature that lets users ask questions in plain English about SEC regulations, guidance, enforcement, and crypto-related policy. Answers are generated using only content retrieved from the structured SEC knowledge base, so responses are grounded in official SEC materials and include source links for verification.</w:t>
      </w:r>
    </w:p>
    <w:p>
      <w:pPr>
        <w:pStyle w:val="Heading2"/>
      </w:pPr>
      <w:r>
        <w:rPr>
          <w:sz w:val="24"/>
        </w:rPr>
        <w:t>2.2 How It Works (Simple Description)</w:t>
      </w:r>
    </w:p>
    <w:p>
      <w:pPr>
        <w:spacing w:after="120"/>
      </w:pPr>
      <w:r>
        <w:rPr>
          <w:rFonts w:ascii="Calibri" w:hAnsi="Calibri"/>
          <w:b w:val="0"/>
          <w:sz w:val="22"/>
        </w:rPr>
        <w:t>When you submit a question, the system first expands your question into several SEC-focused search topics. It then searches the SEC knowledge base (which contains indexed SEC.gov documents) for the most relevant passages. Those passages are scored for relevance to your question, and the most relevant ones are summarized in a question-focused way. A final answer is then written using only those summaries, with a clear separation between facts and analysis. Every answer ends with a “Sources” section listing the SEC.gov URLs used, so you can explore and verify the underlying documents.</w:t>
      </w:r>
    </w:p>
    <w:p>
      <w:pPr>
        <w:pStyle w:val="Heading2"/>
      </w:pPr>
      <w:r>
        <w:rPr>
          <w:sz w:val="24"/>
        </w:rPr>
        <w:t>2.3 Process Flow</w:t>
      </w:r>
    </w:p>
    <w:p>
      <w:pPr>
        <w:spacing w:after="120"/>
      </w:pPr>
      <w:r>
        <w:rPr>
          <w:rFonts w:ascii="Calibri" w:hAnsi="Calibri"/>
          <w:b w:val="0"/>
          <w:sz w:val="22"/>
        </w:rPr>
        <w:t>The high-level flow of the SEC AI Assistant is as follows:</w:t>
      </w:r>
    </w:p>
    <w:p>
      <w:pPr>
        <w:spacing w:after="40"/>
        <w:ind w:left="720"/>
      </w:pPr>
      <w:r>
        <w:rPr>
          <w:rFonts w:ascii="Consolas" w:hAnsi="Consolas"/>
          <w:sz w:val="20"/>
        </w:rPr>
        <w:t>┌─────────────────────────────────────────────────────────────────┐</w:t>
      </w:r>
    </w:p>
    <w:p>
      <w:pPr>
        <w:spacing w:after="40"/>
        <w:ind w:left="720"/>
      </w:pPr>
      <w:r>
        <w:rPr>
          <w:rFonts w:ascii="Consolas" w:hAnsi="Consolas"/>
          <w:sz w:val="20"/>
        </w:rPr>
        <w:t>│  USER QUERY (e.g. “How does the SEC apply the Howey test to     │</w:t>
      </w:r>
    </w:p>
    <w:p>
      <w:pPr>
        <w:spacing w:after="40"/>
        <w:ind w:left="720"/>
      </w:pPr>
      <w:r>
        <w:rPr>
          <w:rFonts w:ascii="Consolas" w:hAnsi="Consolas"/>
          <w:sz w:val="20"/>
        </w:rPr>
        <w:t>│  crypto tokens?”)                                               │</w:t>
      </w:r>
    </w:p>
    <w:p>
      <w:pPr>
        <w:spacing w:after="40"/>
        <w:ind w:left="720"/>
      </w:pPr>
      <w:r>
        <w:rPr>
          <w:rFonts w:ascii="Consolas" w:hAnsi="Consolas"/>
          <w:sz w:val="20"/>
        </w:rPr>
        <w:t>└───────────────────────────────┬───────────────────────────────┘</w:t>
      </w:r>
    </w:p>
    <w:p>
      <w:pPr>
        <w:spacing w:after="40"/>
        <w:ind w:left="720"/>
      </w:pPr>
      <w:r>
        <w:rPr>
          <w:rFonts w:ascii="Consolas" w:hAnsi="Consolas"/>
          <w:sz w:val="20"/>
        </w:rPr>
        <w:t xml:space="preserve">                                 ▼</w:t>
      </w:r>
    </w:p>
    <w:p>
      <w:pPr>
        <w:spacing w:after="40"/>
        <w:ind w:left="720"/>
      </w:pPr>
      <w:r>
        <w:rPr>
          <w:rFonts w:ascii="Consolas" w:hAnsi="Consolas"/>
          <w:sz w:val="20"/>
        </w:rPr>
        <w:t>┌─────────────────────────────────────────────────────────────────┐</w:t>
      </w:r>
    </w:p>
    <w:p>
      <w:pPr>
        <w:spacing w:after="40"/>
        <w:ind w:left="720"/>
      </w:pPr>
      <w:r>
        <w:rPr>
          <w:rFonts w:ascii="Consolas" w:hAnsi="Consolas"/>
          <w:sz w:val="20"/>
        </w:rPr>
        <w:t>│  STEP 1: Generate SEC-focused search topics from the query       │</w:t>
      </w:r>
    </w:p>
    <w:p>
      <w:pPr>
        <w:spacing w:after="40"/>
        <w:ind w:left="720"/>
      </w:pPr>
      <w:r>
        <w:rPr>
          <w:rFonts w:ascii="Consolas" w:hAnsi="Consolas"/>
          <w:sz w:val="20"/>
        </w:rPr>
        <w:t>│  (e.g. Howey Test, crypto tokens, SEC guidance)                 │</w:t>
      </w:r>
    </w:p>
    <w:p>
      <w:pPr>
        <w:spacing w:after="40"/>
        <w:ind w:left="720"/>
      </w:pPr>
      <w:r>
        <w:rPr>
          <w:rFonts w:ascii="Consolas" w:hAnsi="Consolas"/>
          <w:sz w:val="20"/>
        </w:rPr>
        <w:t>└───────────────────────────────┬───────────────────────────────┘</w:t>
      </w:r>
    </w:p>
    <w:p>
      <w:pPr>
        <w:spacing w:after="40"/>
        <w:ind w:left="720"/>
      </w:pPr>
      <w:r>
        <w:rPr>
          <w:rFonts w:ascii="Consolas" w:hAnsi="Consolas"/>
          <w:sz w:val="20"/>
        </w:rPr>
        <w:t xml:space="preserve">                                 ▼</w:t>
      </w:r>
    </w:p>
    <w:p>
      <w:pPr>
        <w:spacing w:after="40"/>
        <w:ind w:left="720"/>
      </w:pPr>
      <w:r>
        <w:rPr>
          <w:rFonts w:ascii="Consolas" w:hAnsi="Consolas"/>
          <w:sz w:val="20"/>
        </w:rPr>
        <w:t>┌─────────────────────────────────────────────────────────────────┐</w:t>
      </w:r>
    </w:p>
    <w:p>
      <w:pPr>
        <w:spacing w:after="40"/>
        <w:ind w:left="720"/>
      </w:pPr>
      <w:r>
        <w:rPr>
          <w:rFonts w:ascii="Consolas" w:hAnsi="Consolas"/>
          <w:sz w:val="20"/>
        </w:rPr>
        <w:t>│  STEP 2: Search the SEC knowledge base (hybrid search) per topic  │</w:t>
      </w:r>
    </w:p>
    <w:p>
      <w:pPr>
        <w:spacing w:after="40"/>
        <w:ind w:left="720"/>
      </w:pPr>
      <w:r>
        <w:rPr>
          <w:rFonts w:ascii="Consolas" w:hAnsi="Consolas"/>
          <w:sz w:val="20"/>
        </w:rPr>
        <w:t>│  → Retrieve top relevant document chunks with source URLs         │</w:t>
      </w:r>
    </w:p>
    <w:p>
      <w:pPr>
        <w:spacing w:after="40"/>
        <w:ind w:left="720"/>
      </w:pPr>
      <w:r>
        <w:rPr>
          <w:rFonts w:ascii="Consolas" w:hAnsi="Consolas"/>
          <w:sz w:val="20"/>
        </w:rPr>
        <w:t>└───────────────────────────────┬───────────────────────────────┘</w:t>
      </w:r>
    </w:p>
    <w:p>
      <w:pPr>
        <w:spacing w:after="40"/>
        <w:ind w:left="720"/>
      </w:pPr>
      <w:r>
        <w:rPr>
          <w:rFonts w:ascii="Consolas" w:hAnsi="Consolas"/>
          <w:sz w:val="20"/>
        </w:rPr>
        <w:t xml:space="preserve">                                 ▼</w:t>
      </w:r>
    </w:p>
    <w:p>
      <w:pPr>
        <w:spacing w:after="40"/>
        <w:ind w:left="720"/>
      </w:pPr>
      <w:r>
        <w:rPr>
          <w:rFonts w:ascii="Consolas" w:hAnsi="Consolas"/>
          <w:sz w:val="20"/>
        </w:rPr>
        <w:t>┌─────────────────────────────────────────────────────────────────┐</w:t>
      </w:r>
    </w:p>
    <w:p>
      <w:pPr>
        <w:spacing w:after="40"/>
        <w:ind w:left="720"/>
      </w:pPr>
      <w:r>
        <w:rPr>
          <w:rFonts w:ascii="Consolas" w:hAnsi="Consolas"/>
          <w:sz w:val="20"/>
        </w:rPr>
        <w:t>│  STEP 3: Rate each chunk for relevance to the question           │</w:t>
      </w:r>
    </w:p>
    <w:p>
      <w:pPr>
        <w:spacing w:after="40"/>
        <w:ind w:left="720"/>
      </w:pPr>
      <w:r>
        <w:rPr>
          <w:rFonts w:ascii="Consolas" w:hAnsi="Consolas"/>
          <w:sz w:val="20"/>
        </w:rPr>
        <w:t>│  (high / medium / low) and keep the most promising chunks         │</w:t>
      </w:r>
    </w:p>
    <w:p>
      <w:pPr>
        <w:spacing w:after="40"/>
        <w:ind w:left="720"/>
      </w:pPr>
      <w:r>
        <w:rPr>
          <w:rFonts w:ascii="Consolas" w:hAnsi="Consolas"/>
          <w:sz w:val="20"/>
        </w:rPr>
        <w:t>└───────────────────────────────┬───────────────────────────────┘</w:t>
      </w:r>
    </w:p>
    <w:p>
      <w:pPr>
        <w:spacing w:after="40"/>
        <w:ind w:left="720"/>
      </w:pPr>
      <w:r>
        <w:rPr>
          <w:rFonts w:ascii="Consolas" w:hAnsi="Consolas"/>
          <w:sz w:val="20"/>
        </w:rPr>
        <w:t xml:space="preserve">                                 ▼</w:t>
      </w:r>
    </w:p>
    <w:p>
      <w:pPr>
        <w:spacing w:after="40"/>
        <w:ind w:left="720"/>
      </w:pPr>
      <w:r>
        <w:rPr>
          <w:rFonts w:ascii="Consolas" w:hAnsi="Consolas"/>
          <w:sz w:val="20"/>
        </w:rPr>
        <w:t>┌─────────────────────────────────────────────────────────────────┐</w:t>
      </w:r>
    </w:p>
    <w:p>
      <w:pPr>
        <w:spacing w:after="40"/>
        <w:ind w:left="720"/>
      </w:pPr>
      <w:r>
        <w:rPr>
          <w:rFonts w:ascii="Consolas" w:hAnsi="Consolas"/>
          <w:sz w:val="20"/>
        </w:rPr>
        <w:t>│  STEP 4: Summarise selected chunks in a question-focused way      │</w:t>
      </w:r>
    </w:p>
    <w:p>
      <w:pPr>
        <w:spacing w:after="40"/>
        <w:ind w:left="720"/>
      </w:pPr>
      <w:r>
        <w:rPr>
          <w:rFonts w:ascii="Consolas" w:hAnsi="Consolas"/>
          <w:sz w:val="20"/>
        </w:rPr>
        <w:t>└───────────────────────────────┬───────────────────────────────┘</w:t>
      </w:r>
    </w:p>
    <w:p>
      <w:pPr>
        <w:spacing w:after="40"/>
        <w:ind w:left="720"/>
      </w:pPr>
      <w:r>
        <w:rPr>
          <w:rFonts w:ascii="Consolas" w:hAnsi="Consolas"/>
          <w:sz w:val="20"/>
        </w:rPr>
        <w:t xml:space="preserve">                                 ▼</w:t>
      </w:r>
    </w:p>
    <w:p>
      <w:pPr>
        <w:spacing w:after="40"/>
        <w:ind w:left="720"/>
      </w:pPr>
      <w:r>
        <w:rPr>
          <w:rFonts w:ascii="Consolas" w:hAnsi="Consolas"/>
          <w:sz w:val="20"/>
        </w:rPr>
        <w:t>┌─────────────────────────────────────────────────────────────────┐</w:t>
      </w:r>
    </w:p>
    <w:p>
      <w:pPr>
        <w:spacing w:after="40"/>
        <w:ind w:left="720"/>
      </w:pPr>
      <w:r>
        <w:rPr>
          <w:rFonts w:ascii="Consolas" w:hAnsi="Consolas"/>
          <w:sz w:val="20"/>
        </w:rPr>
        <w:t>│  STEP 5: Generate final answer from summaries only               │</w:t>
      </w:r>
    </w:p>
    <w:p>
      <w:pPr>
        <w:spacing w:after="40"/>
        <w:ind w:left="720"/>
      </w:pPr>
      <w:r>
        <w:rPr>
          <w:rFonts w:ascii="Consolas" w:hAnsi="Consolas"/>
          <w:sz w:val="20"/>
        </w:rPr>
        <w:t>│  → Markdown answer + “Sources” section with SEC.gov URLs         │</w:t>
      </w:r>
    </w:p>
    <w:p>
      <w:pPr>
        <w:spacing w:after="40"/>
        <w:ind w:left="720"/>
      </w:pPr>
      <w:r>
        <w:rPr>
          <w:rFonts w:ascii="Consolas" w:hAnsi="Consolas"/>
          <w:sz w:val="20"/>
        </w:rPr>
        <w:t>└─────────────────────────────────────────────────────────────────┘</w:t>
      </w:r>
    </w:p>
    <w:p>
      <w:pPr>
        <w:spacing w:after="120"/>
      </w:pPr>
      <w:r>
        <w:rPr>
          <w:rFonts w:ascii="Calibri" w:hAnsi="Calibri"/>
          <w:b w:val="0"/>
          <w:sz w:val="22"/>
        </w:rPr>
        <w:t>This design keeps answers tied to the knowledge base and makes it easy to trace any claim back to an official SEC source.</w:t>
      </w:r>
    </w:p>
    <w:p>
      <w:pPr>
        <w:pStyle w:val="Heading2"/>
      </w:pPr>
      <w:r>
        <w:rPr>
          <w:sz w:val="24"/>
        </w:rPr>
        <w:t>2.4 Benefits</w:t>
      </w:r>
    </w:p>
    <w:p>
      <w:pPr>
        <w:spacing w:after="120"/>
      </w:pPr>
      <w:r>
        <w:rPr>
          <w:rFonts w:ascii="Calibri" w:hAnsi="Calibri"/>
          <w:b w:val="0"/>
          <w:sz w:val="22"/>
        </w:rPr>
        <w:t>• Structured SEC knowledge base: All answers are derived from indexed SEC.gov content, not general web or unsourced material.</w:t>
      </w:r>
    </w:p>
    <w:p>
      <w:pPr>
        <w:spacing w:after="120"/>
      </w:pPr>
      <w:r>
        <w:rPr>
          <w:rFonts w:ascii="Calibri" w:hAnsi="Calibri"/>
          <w:b w:val="0"/>
          <w:sz w:val="22"/>
        </w:rPr>
        <w:t>• Source transparency: Every response includes a Sources section with direct links to SEC.gov documents, supporting compliance and due diligence.</w:t>
      </w:r>
    </w:p>
    <w:p>
      <w:pPr>
        <w:spacing w:after="120"/>
      </w:pPr>
      <w:r>
        <w:rPr>
          <w:rFonts w:ascii="Calibri" w:hAnsi="Calibri"/>
          <w:b w:val="0"/>
          <w:sz w:val="22"/>
        </w:rPr>
        <w:t>• SEC-only focus: The assistant is constrained to SEC regulations, guidance, enforcement, and policy, avoiding speculation from non-SEC sources.</w:t>
      </w:r>
    </w:p>
    <w:p>
      <w:pPr>
        <w:pStyle w:val="Heading2"/>
      </w:pPr>
      <w:r>
        <w:rPr>
          <w:sz w:val="24"/>
        </w:rPr>
        <w:t>2.5 Sample Questions and Answers</w:t>
      </w:r>
    </w:p>
    <w:p>
      <w:pPr>
        <w:spacing w:after="120"/>
      </w:pPr>
      <w:r>
        <w:rPr>
          <w:rFonts w:ascii="Calibri" w:hAnsi="Calibri"/>
          <w:b w:val="0"/>
          <w:sz w:val="22"/>
        </w:rPr>
        <w:t>The following are sample questions and answers produced by the SEC AI Assistant from the knowledge base. They illustrate the kind of factual, sourced responses users can expect.</w:t>
      </w:r>
    </w:p>
    <w:p>
      <w:pPr>
        <w:spacing w:after="120"/>
      </w:pPr>
      <w:r>
        <w:rPr>
          <w:rFonts w:ascii="Calibri" w:hAnsi="Calibri"/>
          <w:b/>
          <w:sz w:val="22"/>
        </w:rPr>
        <w:t>Question 1:</w:t>
      </w:r>
    </w:p>
    <w:p>
      <w:pPr>
        <w:spacing w:after="120"/>
      </w:pPr>
      <w:r>
        <w:rPr>
          <w:rFonts w:ascii="Calibri" w:hAnsi="Calibri"/>
          <w:b w:val="0"/>
          <w:sz w:val="22"/>
        </w:rPr>
        <w:t>can sentiment analysis of public submissions to the sec’s crypto task force reveal shifting industry attitudes toward specific policy areas (e.g., defi, stablecoins)?</w:t>
      </w:r>
    </w:p>
    <w:p>
      <w:pPr>
        <w:spacing w:after="120"/>
      </w:pPr>
      <w:r>
        <w:rPr>
          <w:rFonts w:ascii="Calibri" w:hAnsi="Calibri"/>
          <w:b/>
          <w:sz w:val="22"/>
        </w:rPr>
        <w:t>Answer:</w:t>
      </w:r>
    </w:p>
    <w:p>
      <w:pPr>
        <w:spacing w:after="120"/>
      </w:pPr>
      <w:r>
        <w:rPr>
          <w:rFonts w:ascii="Calibri" w:hAnsi="Calibri"/>
          <w:b w:val="0"/>
          <w:sz w:val="22"/>
        </w:rPr>
        <w:t>Yes. If you run sentiment analysis across the SEC Crypto Task Force’s written submissions and track them over time, you can detect whether industry views are becoming more supportive, more worried, or more demanding of changes in specific policy areas (like DeFi or stablecoins).</w:t>
        <w:br/>
        <w:br/>
        <w:t>How this can work based on the submissions and SEC’s request for input:</w:t>
        <w:br/>
        <w:br/>
        <w:t>- **There is an ongoing stream of written input to analyze.** The Task Force invites written submissions by email, and the Commission is actively requesting public input and welcoming a wide range of perspectives (including skeptics). That mix of viewpoints is well-suited to sentiment scoring (supportive vs. critical) and to trend analysis by date.</w:t>
        <w:br/>
        <w:t>- **Submissions contain topic-specific “signals” you can classify and measure.** Examples show clear positions that could be tagged by policy area and scored for tone:</w:t>
        <w:br/>
        <w:t xml:space="preserve">  - **DeFi / non-custodial infrastructure:**  </w:t>
        <w:br/>
        <w:t xml:space="preserve">    - Wintermute argues DeFi should be allowed to “flourish” and asks for guidance/exemptive relief so certain DeFi activities (e.g., liquidity provision) would not trigger broker-dealer registration—an explicitly positive stance toward DeFi growth paired with concern about regulatory uncertainty.  </w:t>
        <w:br/>
        <w:t xml:space="preserve">    - Solana Policy Institute and DeFi Education Fund argue non-custodial wallets and “neutral user interfaces” do not custody assets or “effect transactions,” and that… [Answer truncated for documentation.]</w:t>
      </w:r>
    </w:p>
    <w:p/>
    <w:p>
      <w:pPr>
        <w:spacing w:after="120"/>
      </w:pPr>
      <w:r>
        <w:rPr>
          <w:rFonts w:ascii="Calibri" w:hAnsi="Calibri"/>
          <w:b/>
          <w:sz w:val="22"/>
        </w:rPr>
        <w:t>Question 2:</w:t>
      </w:r>
    </w:p>
    <w:p>
      <w:pPr>
        <w:spacing w:after="120"/>
      </w:pPr>
      <w:r>
        <w:rPr>
          <w:rFonts w:ascii="Calibri" w:hAnsi="Calibri"/>
          <w:b w:val="0"/>
          <w:sz w:val="22"/>
        </w:rPr>
        <w:t>can the system forecast potential policy outcomes under proposed u.s. legislation like fit21, using extracted trends from sec and cftc harmonization documents?</w:t>
      </w:r>
    </w:p>
    <w:p>
      <w:pPr>
        <w:spacing w:after="120"/>
      </w:pPr>
      <w:r>
        <w:rPr>
          <w:rFonts w:ascii="Calibri" w:hAnsi="Calibri"/>
          <w:b/>
          <w:sz w:val="22"/>
        </w:rPr>
        <w:t>Answer:</w:t>
      </w:r>
    </w:p>
    <w:p>
      <w:pPr>
        <w:spacing w:after="120"/>
      </w:pPr>
      <w:r>
        <w:rPr>
          <w:rFonts w:ascii="Calibri" w:hAnsi="Calibri"/>
          <w:b w:val="0"/>
          <w:sz w:val="22"/>
        </w:rPr>
        <w:t>Yes—at a high level, the system can produce *trend‑based* projections about likely regulatory focus areas and the kinds of coordinated outcomes policymakers may pursue, by extracting signals from SEC–CFTC harmonization materials.</w:t>
        <w:br/>
        <w:br/>
        <w:t>From the SEC–CFTC joint harmonization statement, the strongest “trend features” a forecasting system could extract are the agencies’ stated intent to coordinate using existing authorities (including exemptive authority) and the specific priority topics they identify for harmonization. Those topics include:</w:t>
        <w:br/>
        <w:t>- harmonizing product/venue definitions, reporting/data standards, and capital/margin frameworks;</w:t>
        <w:br/>
        <w:t>- potential expansion to 24/7 trading where appropriate;</w:t>
        <w:br/>
        <w:t>- clarifying treatment of event/prediction contracts for U.S. participants;</w:t>
        <w:br/>
        <w:t>- considering onshoring/permitting perpetual contracts that meet investor‑protection standards;</w:t>
        <w:br/>
        <w:t>- developing coordinated portfolio‑margining across SEC/CFTC products and clearinghouses; and</w:t>
        <w:br/>
        <w:t>- creating “innovation exemptions” and safe harbors for DeFi and peer‑to‑peer trading while longer‑term rulemaking proceeds.</w:t>
        <w:br/>
        <w:br/>
        <w:t>Separately, a legislative framework like the “Digital Markets Restructure Act of 2026” discussion draft describes infrastructure that would make automated trend extraction and modeling much more systematic—e.g., a jointly operated Unified Digital Market Registry with machine‑readable submissions, a permissioned… [Answer truncated for documentation.]</w:t>
      </w:r>
    </w:p>
    <w:p/>
    <w:p>
      <w:pPr>
        <w:spacing w:after="120"/>
      </w:pPr>
      <w:r>
        <w:rPr>
          <w:rFonts w:ascii="Calibri" w:hAnsi="Calibri"/>
          <w:b/>
          <w:sz w:val="22"/>
        </w:rPr>
        <w:t>Question 3:</w:t>
      </w:r>
    </w:p>
    <w:p>
      <w:pPr>
        <w:spacing w:after="120"/>
      </w:pPr>
      <w:r>
        <w:rPr>
          <w:rFonts w:ascii="Calibri" w:hAnsi="Calibri"/>
          <w:b w:val="0"/>
          <w:sz w:val="22"/>
        </w:rPr>
        <w:t>can the system generate a comparative matrix of sec regulations versus the uk’s phased crypto regime and highlight convergence or divergence areas?</w:t>
      </w:r>
    </w:p>
    <w:p>
      <w:pPr>
        <w:spacing w:after="120"/>
      </w:pPr>
      <w:r>
        <w:rPr>
          <w:rFonts w:ascii="Calibri" w:hAnsi="Calibri"/>
          <w:b/>
          <w:sz w:val="22"/>
        </w:rPr>
        <w:t>Answer:</w:t>
      </w:r>
    </w:p>
    <w:p>
      <w:pPr>
        <w:spacing w:after="120"/>
      </w:pPr>
      <w:r>
        <w:rPr>
          <w:rFonts w:ascii="Calibri" w:hAnsi="Calibri"/>
          <w:b w:val="0"/>
          <w:sz w:val="22"/>
        </w:rPr>
        <w:t>Yes. Below is a comparative-matrix structure with the **SEC/U.S.** side populated from SEC materials, and a **UK phased regime** column ready to be filled. The last column flags **convergence/divergence** only where the SEC summaries themselves make an explicit cross‑jurisdiction point.</w:t>
        <w:br/>
        <w:br/>
        <w:t>## Comparative matrix (SEC regulations/guidance vs UK phased crypto regime)</w:t>
        <w:br/>
        <w:br/>
        <w:t>| Topic / “row” for comparison | SEC / U.S. (from SEC materials) | UK phased crypto regime (fill in) | Convergence / divergence signals explicitly stated in SEC materials |</w:t>
        <w:br/>
        <w:t>|---|---|---|---|</w:t>
        <w:br/>
        <w:t>| Core legal classification approach for digital assets | Uses a **Howey “investment contract” analysis** focused on “economic reality” (form is secondary to substance). Core prongs: **(1) investment of money**, **(2) common enterprise**, **(3) reasonable expectation of profits from the efforts of others**. |  | — |</w:t>
        <w:br/>
        <w:t>| “Efforts of others” / reliance on an active promoter | Factors indicating reliance on an **Active Participant (AP)**: AP responsible for development/operation/promotion; network not fully functional at sale; essential tasks done by AP rather than a decentralized community; AP supports/creates a market or influences supply (e.g., buybacks/burns); AP has central governance/code update/validation role; AP retains ongoing managerial discretion (use of proceeds, listings, distributions, validation/security, etc.); AP has… [Answer truncated for documentation.]</w:t>
      </w:r>
    </w:p>
    <w:p/>
    <w:p>
      <w:pPr>
        <w:spacing w:after="120"/>
      </w:pPr>
      <w:r>
        <w:rPr>
          <w:rFonts w:ascii="Calibri" w:hAnsi="Calibri"/>
          <w:b/>
          <w:sz w:val="22"/>
        </w:rPr>
        <w:t>Question 4:</w:t>
      </w:r>
    </w:p>
    <w:p>
      <w:pPr>
        <w:spacing w:after="120"/>
      </w:pPr>
      <w:r>
        <w:rPr>
          <w:rFonts w:ascii="Calibri" w:hAnsi="Calibri"/>
          <w:b w:val="0"/>
          <w:sz w:val="22"/>
        </w:rPr>
        <w:t>can the system map which crypto-asset categories (stablecoins, defi tokens, nfts) are most frequently cited in sec enforcement actions or policy statements?</w:t>
      </w:r>
    </w:p>
    <w:p>
      <w:pPr>
        <w:spacing w:after="120"/>
      </w:pPr>
      <w:r>
        <w:rPr>
          <w:rFonts w:ascii="Calibri" w:hAnsi="Calibri"/>
          <w:b/>
          <w:sz w:val="22"/>
        </w:rPr>
        <w:t>Answer:</w:t>
      </w:r>
    </w:p>
    <w:p>
      <w:pPr>
        <w:spacing w:after="120"/>
      </w:pPr>
      <w:r>
        <w:rPr>
          <w:rFonts w:ascii="Calibri" w:hAnsi="Calibri"/>
          <w:b w:val="0"/>
          <w:sz w:val="22"/>
        </w:rPr>
        <w:t>No. The materials here discuss categories like stablecoins, NFTs, and DeFi-related activities (staking infrastructure and decentralized exchanges), and they sometimes reference SEC staff statements or selected enforcement examples, but they do not provide an empirical mapping (e.g., a list of actions/statements by category) or any counts that would let a system determine which categories are *most frequently* cited across SEC enforcement actions or policy statements.</w:t>
        <w:br/>
        <w:br/>
        <w:t>## Sources</w:t>
        <w:br/>
        <w:br/>
        <w:t xml:space="preserve">- Daugherty Crypto Task Force input (notes lack of empirical mapping; discusses stablecoins, NFTs, meme coins, utility tokens) — https://www.sec.gov/files/ctf-input-daugherty-2025-3-20.pdf  </w:t>
        <w:br/>
        <w:t xml:space="preserve">- Crypto Council for Innovation recommendations (discusses stablecoins, NFTs, staking/DeFi infrastructure; no frequency data) — https://www.sec.gov/files/crypto-council-innovation-022125.pdf  </w:t>
        <w:br/>
        <w:t xml:space="preserve">- Gottlieb/Hinkes/Verret memorandum (illustrative enforcement/policy examples; not a frequency dataset) — https://www.sec.gov/files/memo-gottlieb-hinkes-verret-022425.pdf  </w:t>
        <w:br/>
        <w:t xml:space="preserve">- SIFMA response (references Corp Fin stablecoin and proof-of-work statements; notes staking addressed via enforcement; no mapping/counts) — https://www.sec.gov/files/sifma-sec-crypto-rfi-initial-response-050925.pdf  </w:t>
        <w:br/>
        <w:t>- Commissioner Peirce RFI statement (asks for input; no counts/examples for category frequency) —… [Answer truncated for documentation.]</w:t>
      </w:r>
    </w:p>
    <w:p/>
    <w:p/>
    <w:p>
      <w:pPr>
        <w:pStyle w:val="Heading1"/>
      </w:pPr>
      <w:r>
        <w:rPr>
          <w:sz w:val="28"/>
        </w:rPr>
        <w:t>3. Custody Newsletter Agent</w:t>
      </w:r>
    </w:p>
    <w:p>
      <w:pPr>
        <w:pStyle w:val="Heading2"/>
      </w:pPr>
      <w:r>
        <w:rPr>
          <w:sz w:val="24"/>
        </w:rPr>
        <w:t>3.1 Overview</w:t>
      </w:r>
    </w:p>
    <w:p>
      <w:pPr>
        <w:spacing w:after="120"/>
      </w:pPr>
      <w:r>
        <w:rPr>
          <w:rFonts w:ascii="Calibri" w:hAnsi="Calibri"/>
          <w:b w:val="0"/>
          <w:sz w:val="22"/>
        </w:rPr>
        <w:t>The Custody Newsletter Agent produces a weekly Crypto Custody Intelligence newsletter. It is designed to run on a schedule (e.g. weekly) and to generate a fresh report every Monday for the preceding week, so that users receive a consistent, up-to-date digest of SEC developments relevant to crypto custody and related regulation.</w:t>
      </w:r>
    </w:p>
    <w:p>
      <w:pPr>
        <w:pStyle w:val="Heading2"/>
      </w:pPr>
      <w:r>
        <w:rPr>
          <w:sz w:val="24"/>
        </w:rPr>
        <w:t>3.2 How It Works</w:t>
      </w:r>
    </w:p>
    <w:p>
      <w:pPr>
        <w:spacing w:after="120"/>
      </w:pPr>
      <w:r>
        <w:rPr>
          <w:rFonts w:ascii="Calibri" w:hAnsi="Calibri"/>
          <w:b w:val="0"/>
          <w:sz w:val="22"/>
        </w:rPr>
        <w:t>The agent discovers relevant SEC content for a given date range by visiting configured SEC.gov pages (e.g. speeches, task force, enforcement, rulemaking). It extracts links to articles, speeches, and releases published within that range, fetches each document, and uses an AI agent to extract structured information —facts, quotes, decisions, and implications for broker-dealers, RIAs, banks, and custodians. Optionally, it can also pull in additional context from the SEC knowledge base (RAG) for a custody-angle summary. Finally, it synthesizes all of this into a single newsletter in a fixed structure: This Week at a Glance, Top Stories with implications by entity type, Regulatory Tracker, Enforcement Watch, Banking Regulator Corner, What’s Coming, Compliance Action Items, and a Resource Library.</w:t>
      </w:r>
    </w:p>
    <w:p>
      <w:pPr>
        <w:pStyle w:val="Heading2"/>
      </w:pPr>
      <w:r>
        <w:rPr>
          <w:sz w:val="24"/>
        </w:rPr>
        <w:t>3.3 Sources and Direct Links</w:t>
      </w:r>
    </w:p>
    <w:p>
      <w:pPr>
        <w:spacing w:after="120"/>
      </w:pPr>
      <w:r>
        <w:rPr>
          <w:rFonts w:ascii="Calibri" w:hAnsi="Calibri"/>
          <w:b w:val="0"/>
          <w:sz w:val="22"/>
        </w:rPr>
        <w:t>Each newsletter section cites sources that help users explore and dive deep into the story. Every fact or claim that comes from an SEC document is tied to a source URL. The newsletter includes a Resource Library section presented as a table of links, and inline citations use the format “(Source: https://www.sec.gov/...)”. Users can click these direct links to open the original SEC.gov page and verify or read the full context.</w:t>
      </w:r>
    </w:p>
    <w:p>
      <w:pPr>
        <w:pStyle w:val="Heading2"/>
      </w:pPr>
      <w:r>
        <w:rPr>
          <w:sz w:val="24"/>
        </w:rPr>
        <w:t>3.4 Beta Version and Future Enhancements</w:t>
      </w:r>
    </w:p>
    <w:p>
      <w:pPr>
        <w:spacing w:after="120"/>
      </w:pPr>
      <w:r>
        <w:rPr>
          <w:rFonts w:ascii="Calibri" w:hAnsi="Calibri"/>
          <w:b w:val="0"/>
          <w:sz w:val="22"/>
        </w:rPr>
        <w:t>In the current beta version, the newsletter agent is configured to use SEC-base sources only (e.g. sec.gov featured topics, divisions, newsroom, enforcement, rulemaking). This ensures that the newsletter is grounded in official SEC material. For production, the set of sources can be expanded to cover other credible regulators or policy sources if requested. The newsletter format (sections, length, tone) can also be tweaked on request. Additional features and sections can be added upon request for production use.</w:t>
      </w:r>
    </w:p>
    <w:p>
      <w:pPr>
        <w:pStyle w:val="Heading2"/>
      </w:pPr>
      <w:r>
        <w:rPr>
          <w:sz w:val="24"/>
        </w:rPr>
        <w:t>3.5 Benefits</w:t>
      </w:r>
    </w:p>
    <w:p>
      <w:pPr>
        <w:spacing w:after="120"/>
      </w:pPr>
      <w:r>
        <w:rPr>
          <w:rFonts w:ascii="Calibri" w:hAnsi="Calibri"/>
          <w:b w:val="0"/>
          <w:sz w:val="22"/>
        </w:rPr>
        <w:t>• Weekly, consistent delivery of a custody-focused digest without manual curation.</w:t>
        <w:br/>
        <w:t>• Every story and fact is traceable to SEC (or configured) sources via direct links.</w:t>
        <w:br/>
        <w:t>• Structured layout (tables, implications by entity type) supports quick scanning and compliance review.</w:t>
      </w:r>
    </w:p>
    <w:p/>
    <w:p>
      <w:pPr>
        <w:pStyle w:val="Heading1"/>
      </w:pPr>
      <w:r>
        <w:rPr>
          <w:sz w:val="28"/>
        </w:rPr>
        <w:t>4. Round Table Meeting Agent</w:t>
      </w:r>
    </w:p>
    <w:p>
      <w:pPr>
        <w:pStyle w:val="Heading2"/>
      </w:pPr>
      <w:r>
        <w:rPr>
          <w:sz w:val="24"/>
        </w:rPr>
        <w:t>4.1 Overview</w:t>
      </w:r>
    </w:p>
    <w:p>
      <w:pPr>
        <w:spacing w:after="120"/>
      </w:pPr>
      <w:r>
        <w:rPr>
          <w:rFonts w:ascii="Calibri" w:hAnsi="Calibri"/>
          <w:b w:val="0"/>
          <w:sz w:val="22"/>
        </w:rPr>
        <w:t>The Round Table Meeting Agent generates detailed reports for SEC round table meetings. Given a meeting URL and a transcript file, it analyzes the transcript and any parsed meeting-page content to produce a structured report suitable for internal briefing and compliance use.</w:t>
      </w:r>
    </w:p>
    <w:p>
      <w:pPr>
        <w:pStyle w:val="Heading2"/>
      </w:pPr>
      <w:r>
        <w:rPr>
          <w:sz w:val="24"/>
        </w:rPr>
        <w:t>4.2 How It Works</w:t>
      </w:r>
    </w:p>
    <w:p>
      <w:pPr>
        <w:spacing w:after="120"/>
      </w:pPr>
      <w:r>
        <w:rPr>
          <w:rFonts w:ascii="Calibri" w:hAnsi="Calibri"/>
          <w:b w:val="0"/>
          <w:sz w:val="22"/>
        </w:rPr>
        <w:t>The agent loads the meeting transcript and the meeting URL. It may parse the SEC meeting page to capture title, description, and participants. It can use the SEC knowledge base (RAG search) to pull in relevant regulations or guidance, and optional web search for speaker or context. It then produces a report that includes: key speakers with influence and activity ratings, views on topics discussed, meeting conclusions, and key points and main arguments. The report is saved in the chosen format (e.g. TXT, DOCX) and includes a Sources section.</w:t>
      </w:r>
    </w:p>
    <w:p>
      <w:pPr>
        <w:pStyle w:val="Heading2"/>
      </w:pPr>
      <w:r>
        <w:rPr>
          <w:sz w:val="24"/>
        </w:rPr>
        <w:t>4.3 Benefits</w:t>
      </w:r>
    </w:p>
    <w:p>
      <w:pPr>
        <w:spacing w:after="120"/>
      </w:pPr>
      <w:r>
        <w:rPr>
          <w:rFonts w:ascii="Calibri" w:hAnsi="Calibri"/>
          <w:b w:val="0"/>
          <w:sz w:val="22"/>
        </w:rPr>
        <w:t>• Consistent structure across round table reports (speakers, topics, conclusions, sources).</w:t>
        <w:br/>
        <w:t>• Evidence-based speaker and topic analysis, with optional grounding in the SEC knowledge base.</w:t>
        <w:br/>
        <w:t>• Ready for internal distribution or further summarization in broader intelligence products.</w:t>
      </w:r>
    </w:p>
    <w:p/>
    <w:p>
      <w:pPr>
        <w:pStyle w:val="Heading1"/>
      </w:pPr>
      <w:r>
        <w:rPr>
          <w:sz w:val="28"/>
        </w:rPr>
        <w:t>5. Overall Report Agent</w:t>
      </w:r>
    </w:p>
    <w:p>
      <w:pPr>
        <w:pStyle w:val="Heading2"/>
      </w:pPr>
      <w:r>
        <w:rPr>
          <w:sz w:val="24"/>
        </w:rPr>
        <w:t>5.1 Overview</w:t>
      </w:r>
    </w:p>
    <w:p>
      <w:pPr>
        <w:spacing w:after="120"/>
      </w:pPr>
      <w:r>
        <w:rPr>
          <w:rFonts w:ascii="Calibri" w:hAnsi="Calibri"/>
          <w:b w:val="0"/>
          <w:sz w:val="22"/>
        </w:rPr>
        <w:t>The Overall Report Agent combines insights from all available SEC Round Table Meeting reports into a single regulatory intelligence report. It is intended for leadership and compliance teams who need a cross-meeting view of themes, speakers, and regulatory direction.</w:t>
      </w:r>
    </w:p>
    <w:p>
      <w:pPr>
        <w:pStyle w:val="Heading2"/>
      </w:pPr>
      <w:r>
        <w:rPr>
          <w:sz w:val="24"/>
        </w:rPr>
        <w:t>5.2 How It Works</w:t>
      </w:r>
    </w:p>
    <w:p>
      <w:pPr>
        <w:spacing w:after="120"/>
      </w:pPr>
      <w:r>
        <w:rPr>
          <w:rFonts w:ascii="Calibri" w:hAnsi="Calibri"/>
          <w:b w:val="0"/>
          <w:sz w:val="22"/>
        </w:rPr>
        <w:t>The agent discovers all meeting report files (e.g. SEC_Meeting_Report_*.txt) in a given directory, reads their contents, and optionally uses the SEC knowledge base and web search for additional context. It then produces a comprehensive report that: combines views of the same speaker across meetings; tags speakers with topics they engaged with; identifies the most influential stakeholder across meetings; and outlines future predictions and implications for issuers, DeFi protocols, exchanges, and custodians. The report follows a fixed structure (Executive Intelligence Brief, Methodology, Cross-Meeting Evidence, Speaker Analysis, Topic Tagging, Most Influential Stakeholder, What This Means For…, Unresolved Questions &amp; Regulatory Gaps, Future Predictions, Sources) and is output in Markdown or DOCX.</w:t>
      </w:r>
    </w:p>
    <w:p>
      <w:pPr>
        <w:pStyle w:val="Heading2"/>
      </w:pPr>
      <w:r>
        <w:rPr>
          <w:sz w:val="24"/>
        </w:rPr>
        <w:t>5.3 Benefits</w:t>
      </w:r>
    </w:p>
    <w:p>
      <w:pPr>
        <w:spacing w:after="120"/>
      </w:pPr>
      <w:r>
        <w:rPr>
          <w:rFonts w:ascii="Calibri" w:hAnsi="Calibri"/>
          <w:b w:val="0"/>
          <w:sz w:val="22"/>
        </w:rPr>
        <w:t>• Single, consolidated view of multiple round tables for executives and compliance.</w:t>
        <w:br/>
        <w:t>• Evidence-based identification of influential stakeholders and recurring themes.</w:t>
        <w:br/>
        <w:t>• Clear labeling of predictions (explicitly stated vs. inferred vs. speculative) and a dedicated section on unresolved regulatory gaps.</w:t>
      </w:r>
    </w:p>
    <w:p/>
    <w:p>
      <w:pPr>
        <w:pStyle w:val="Heading1"/>
      </w:pPr>
      <w:r>
        <w:rPr>
          <w:sz w:val="28"/>
        </w:rPr>
        <w:t>6. Benefits of Using the Application</w:t>
      </w:r>
    </w:p>
    <w:p>
      <w:pPr>
        <w:spacing w:after="120"/>
      </w:pPr>
      <w:r>
        <w:rPr>
          <w:rFonts w:ascii="Calibri" w:hAnsi="Calibri"/>
          <w:b w:val="0"/>
          <w:sz w:val="22"/>
        </w:rPr>
        <w:t>• Structured SEC knowledge base: All core features (AI Assistant, Newsletter, Round Table and Overall reports) draw on a centralized, indexed body of SEC and related credible material, ensuring consistency and traceability.</w:t>
      </w:r>
    </w:p>
    <w:p>
      <w:pPr>
        <w:spacing w:after="120"/>
      </w:pPr>
      <w:r>
        <w:rPr>
          <w:rFonts w:ascii="Calibri" w:hAnsi="Calibri"/>
          <w:b w:val="0"/>
          <w:sz w:val="22"/>
        </w:rPr>
        <w:t>• SEC-credible reporting: The AI Assistant and report agents are designed to use only SEC-credible sources where applicable, reducing reliance on unsourced or third-party interpretation for critical compliance and policy questions.</w:t>
      </w:r>
    </w:p>
    <w:p>
      <w:pPr>
        <w:spacing w:after="120"/>
      </w:pPr>
      <w:r>
        <w:rPr>
          <w:rFonts w:ascii="Calibri" w:hAnsi="Calibri"/>
          <w:b w:val="0"/>
          <w:sz w:val="22"/>
        </w:rPr>
        <w:t>• Time savings: Weekly newsletters and one-click round table and overall reports reduce manual collection and summarization of SEC developments.</w:t>
      </w:r>
    </w:p>
    <w:p>
      <w:pPr>
        <w:spacing w:after="120"/>
      </w:pPr>
      <w:r>
        <w:rPr>
          <w:rFonts w:ascii="Calibri" w:hAnsi="Calibri"/>
          <w:b w:val="0"/>
          <w:sz w:val="22"/>
        </w:rPr>
        <w:t>• Transparency: Direct source links in answers and newsletters allow users to explore and verify every claim against the original SEC document.</w:t>
      </w:r>
    </w:p>
    <w:p/>
    <w:p>
      <w:pPr>
        <w:pStyle w:val="Heading1"/>
      </w:pPr>
      <w:r>
        <w:rPr>
          <w:sz w:val="28"/>
        </w:rPr>
        <w:t>7. Additional Features and Customization</w:t>
      </w:r>
    </w:p>
    <w:p>
      <w:pPr>
        <w:spacing w:after="120"/>
      </w:pPr>
      <w:r>
        <w:rPr>
          <w:rFonts w:ascii="Calibri" w:hAnsi="Calibri"/>
          <w:b w:val="0"/>
          <w:sz w:val="22"/>
        </w:rPr>
        <w:t>Additional features and sections can be added upon request for production. Examples include: expanding newsletter sources beyond SEC-base sources, customizing newsletter format and sections, adding new report templates or output formats, and integrating with internal workflows or distribution channels. The documentation and behaviour of each agent can be extended to reflect such customizations.</w:t>
      </w:r>
    </w:p>
    <w:p/>
    <w:p>
      <w:pPr>
        <w:pStyle w:val="Heading1"/>
      </w:pPr>
      <w:r>
        <w:rPr>
          <w:sz w:val="28"/>
        </w:rPr>
        <w:t>8. Conclusion</w:t>
      </w:r>
    </w:p>
    <w:p>
      <w:pPr>
        <w:spacing w:after="120"/>
      </w:pPr>
      <w:r>
        <w:rPr>
          <w:rFonts w:ascii="Calibri" w:hAnsi="Calibri"/>
          <w:b w:val="0"/>
          <w:sz w:val="22"/>
        </w:rPr>
        <w:t>The SEC Crypto Application provides a unified platform for SEC-focused research, weekly custody intelligence, and round table and overall regulatory reporting. By combining a structured SEC knowledge base with AI-powered assistants and report agents that use only SEC-credible sources, the application helps users stay informed, verify information quickly, and make better-informed compliance and policy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