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2447" w:val="clear"/>
        <w:spacing w:before="0" w:after="0"/>
        <w:jc w:val="center"/>
      </w:pPr>
      <w:r>
        <w:rPr>
          <w:rFonts w:ascii="Arial" w:cs="Arial" w:eastAsia="Arial" w:hAnsi="Arial"/>
          <w:b/>
          <w:bCs/>
          <w:color w:val="FFFFFF"/>
          <w:sz w:val="36"/>
          <w:szCs w:val="36"/>
        </w:rPr>
        <w:t xml:space="preserve">🔐 CUSTODY INTELLIGENCE WEEKLY</w:t>
      </w:r>
    </w:p>
    <w:p>
      <w:pPr>
        <w:shd w:fill="0B2447" w:val="clear"/>
        <w:spacing w:before="0" w:after="0"/>
        <w:jc w:val="center"/>
      </w:pPr>
      <w:r>
        <w:rPr>
          <w:rFonts w:ascii="Arial" w:cs="Arial" w:eastAsia="Arial" w:hAnsi="Arial"/>
          <w:color w:val="D5E8F0"/>
          <w:sz w:val="22"/>
          <w:szCs w:val="22"/>
        </w:rPr>
        <w:t xml:space="preserve">The Regulatory Digest for Crypto Custodians</w:t>
      </w:r>
    </w:p>
    <w:p>
      <w:pPr>
        <w:shd w:fill="E8A317" w:val="clear"/>
        <w:spacing w:before="0" w:after="200"/>
        <w:jc w:val="center"/>
      </w:pPr>
      <w:r>
        <w:rPr>
          <w:rFonts w:ascii="Arial" w:cs="Arial" w:eastAsia="Arial" w:hAnsi="Arial"/>
          <w:b/>
          <w:bCs/>
          <w:color w:val="0B2447"/>
          <w:sz w:val="22"/>
          <w:szCs w:val="22"/>
        </w:rPr>
        <w:t xml:space="preserve">  Week of Jan 25 – Jan 31, 2026  |  Issue #1  </w:t>
      </w:r>
    </w:p>
    <w:p>
      <w:r>
        <w:rPr>
          <w:rFonts w:ascii="Arial" w:cs="Arial" w:eastAsia="Arial" w:hAnsi="Arial"/>
          <w:i/>
          <w:iCs/>
          <w:sz w:val="20"/>
          <w:szCs w:val="20"/>
        </w:rPr>
        <w:t xml:space="preserve">This week centered on SEC–CFTC harmonization (Project Crypto) and the SEC Crypto Task Force—both positioned as vehicles to clarify regulatory boundaries that directly affect who can custody crypto and under what standards.</w:t>
      </w:r>
    </w:p>
    <w:p>
      <w:pPr>
        <w:spacing w:before="120" w:after="120"/>
      </w:pPr>
    </w:p>
    <w:p>
      <w:pPr>
        <w:pStyle w:val="Heading2"/>
        <w:spacing w:before="200" w:after="100"/>
      </w:pPr>
      <w:r>
        <w:rPr>
          <w:rFonts w:ascii="Arial" w:cs="Arial" w:eastAsia="Arial" w:hAnsi="Arial"/>
          <w:b/>
          <w:bCs/>
          <w:color w:val="0B2447"/>
          <w:sz w:val="24"/>
          <w:szCs w:val="24"/>
        </w:rPr>
        <w:t xml:space="preserv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198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This Week</w:t>
            </w:r>
          </w:p>
        </w:tc>
        <w:tc>
          <w:tcPr>
            <w:tcW w:type="dxa" w:w="198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YTD 2026</w:t>
            </w:r>
          </w:p>
        </w:tc>
      </w:tr>
      <w:tr>
        <w:tc>
          <w:tcPr>
            <w:tcW w:type="dxa" w:w="5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custody-related releases</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5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CFTC custody/collateral releases</w:t>
            </w:r>
          </w:p>
        </w:tc>
        <w:tc>
          <w:tcPr>
            <w:tcW w:type="dxa" w:w="198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0</w:t>
            </w:r>
          </w:p>
        </w:tc>
        <w:tc>
          <w:tcPr>
            <w:tcW w:type="dxa" w:w="198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0</w:t>
            </w:r>
          </w:p>
        </w:tc>
      </w:tr>
      <w:tr>
        <w:tc>
          <w:tcPr>
            <w:tcW w:type="dxa" w:w="5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No-action letters</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5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Enforcement actions (custody)</w:t>
            </w:r>
          </w:p>
        </w:tc>
        <w:tc>
          <w:tcPr>
            <w:tcW w:type="dxa" w:w="198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0</w:t>
            </w:r>
          </w:p>
        </w:tc>
        <w:tc>
          <w:tcPr>
            <w:tcW w:type="dxa" w:w="198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0</w:t>
            </w:r>
          </w:p>
        </w:tc>
      </w:tr>
      <w:tr>
        <w:tc>
          <w:tcPr>
            <w:tcW w:type="dxa" w:w="5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Banking regulator guidance</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bl>
    <w:p>
      <w:pPr>
        <w:spacing w:before="120" w:after="80"/>
      </w:pPr>
    </w:p>
    <w:p>
      <w:r>
        <w:rPr>
          <w:rFonts w:ascii="Arial" w:cs="Arial" w:eastAsia="Arial" w:hAnsi="Arial"/>
          <w:i/>
          <w:iCs/>
          <w:sz w:val="20"/>
          <w:szCs w:val="20"/>
        </w:rPr>
        <w:t xml:space="preserve">Bottom Line: The SEC signaled a near-term push toward regulatory coordination and definitional clarity (SEC–CFTC) rather than new custody rules—while enforcement this week skewed toward traditional fraud/accounting, not custody/segregation failures.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TOP STORIES</w:t>
      </w:r>
    </w:p>
    <w:p>
      <w:pPr>
        <w:spacing w:before="120" w:after="40"/>
      </w:pPr>
      <w:r>
        <w:rPr>
          <w:rFonts w:ascii="Arial" w:cs="Arial" w:eastAsia="Arial" w:hAnsi="Arial"/>
          <w:b/>
          <w:bCs/>
          <w:color w:val="0B2447"/>
          <w:sz w:val="20"/>
          <w:szCs w:val="20"/>
        </w:rPr>
        <w:t xml:space="preserve">1. Project Crypto Proceeds as a Joint SEC–CFTC Initiative (Jan 29, 2026)</w:t>
      </w:r>
    </w:p>
    <w:p>
      <w:r>
        <w:rPr>
          <w:rFonts w:ascii="Arial" w:cs="Arial" w:eastAsia="Arial" w:hAnsi="Arial"/>
          <w:sz w:val="20"/>
          <w:szCs w:val="20"/>
        </w:rPr>
        <w:t xml:space="preserve">The SEC–CFTC Harmonization Initiative states goals to eliminate duplicative/conflicting requirements and provide clear guidance on jurisdictional boundaries, using meetings, roundtables, and written input. The Project Crypto remarks noted staff work touching 'broker-dealer financial responsibility' and that 'registered advisers and regulated funds can maintain crypto assets with certain state-chartered financial institutions.'</w:t>
      </w:r>
    </w:p>
    <w:p>
      <w:pPr>
        <w:spacing w:before="80" w:after="40"/>
      </w:pP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Custody, segregation, and control standards are increasingly discussed as cross-market infrastructure—not siloed by 'SEC vs CFTC.'</w:t>
      </w:r>
    </w:p>
    <w:p>
      <w:pPr>
        <w:pStyle w:val="ListParagraph"/>
        <w:numPr>
          <w:ilvl w:val="0"/>
          <w:numId w:val="2"/>
        </w:numPr>
        <w:ind w:left="720" w:hanging="360"/>
      </w:pPr>
      <w:r>
        <w:rPr>
          <w:rFonts w:ascii="Arial" w:cs="Arial" w:eastAsia="Arial" w:hAnsi="Arial"/>
          <w:sz w:val="20"/>
          <w:szCs w:val="20"/>
        </w:rPr>
        <w:t xml:space="preserve">The reference to RIA/fund custody via certain state-chartered institutions signals that the SEC expects custody pathways resembling regulated financial-institution custody, even while broader harmonization work continues.</w:t>
      </w:r>
    </w:p>
    <w:p>
      <w:r>
        <w:rPr>
          <w:rFonts w:ascii="Arial" w:cs="Arial" w:eastAsia="Arial" w:hAnsi="Arial"/>
          <w:b/>
          <w:bCs/>
          <w:sz w:val="20"/>
          <w:szCs w:val="20"/>
        </w:rPr>
        <w:t xml:space="preserve">Inference:</w:t>
      </w:r>
    </w:p>
    <w:p>
      <w:pPr>
        <w:pStyle w:val="ListParagraph"/>
        <w:numPr>
          <w:ilvl w:val="0"/>
          <w:numId w:val="2"/>
        </w:numPr>
        <w:ind w:left="720" w:hanging="360"/>
      </w:pPr>
      <w:r>
        <w:rPr>
          <w:rFonts w:ascii="Arial" w:cs="Arial" w:eastAsia="Arial" w:hAnsi="Arial"/>
          <w:sz w:val="20"/>
          <w:szCs w:val="20"/>
        </w:rPr>
        <w:t xml:space="preserve">Expect more formalized shared definitions (e.g., 'custody,' 'control,' 'segregation,' 'qualified custodian' equivalence concepts) to emerge through speeches/FAQs before any legislation implementation.</w:t>
      </w:r>
    </w:p>
    <w:p>
      <w:pPr>
        <w:spacing w:before="120" w:after="40"/>
      </w:pPr>
    </w:p>
    <w:p>
      <w:pPr>
        <w:spacing w:before="120" w:after="40"/>
      </w:pPr>
      <w:r>
        <w:rPr>
          <w:rFonts w:ascii="Arial" w:cs="Arial" w:eastAsia="Arial" w:hAnsi="Arial"/>
          <w:b/>
          <w:bCs/>
          <w:color w:val="0B2447"/>
          <w:sz w:val="20"/>
          <w:szCs w:val="20"/>
        </w:rPr>
        <w:t xml:space="preserve">2. SEC Launches a Crypto Task Force Led by Commissioner Hester Peirce (Jan 25, 2026)</w:t>
      </w:r>
    </w:p>
    <w:p>
      <w:r>
        <w:rPr>
          <w:rFonts w:ascii="Arial" w:cs="Arial" w:eastAsia="Arial" w:hAnsi="Arial"/>
          <w:sz w:val="20"/>
          <w:szCs w:val="20"/>
        </w:rPr>
        <w:t xml:space="preserve">The SEC Crypto Task Force is a staff initiative to clarify how securities laws apply to crypto and to recommend policy measures fostering innovation while protecting investors. Scope includes drawing lines between securities vs non-securities, crafting tailored disclosure frameworks, and providing 'realistic paths to registration' for crypto assets and intermediaries.</w:t>
      </w:r>
    </w:p>
    <w:p>
      <w:pPr>
        <w:spacing w:before="80" w:after="40"/>
      </w:pP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Custody is implicated because 'registration paths' inevitably raise questions about who can legally hold client crypto, how 'segregation' is evidenced, and what baseline controls are required.</w:t>
      </w:r>
    </w:p>
    <w:p>
      <w:r>
        <w:rPr>
          <w:rFonts w:ascii="Arial" w:cs="Arial" w:eastAsia="Arial" w:hAnsi="Arial"/>
          <w:b/>
          <w:bCs/>
          <w:sz w:val="20"/>
          <w:szCs w:val="20"/>
        </w:rPr>
        <w:t xml:space="preserve">Inference:</w:t>
      </w:r>
    </w:p>
    <w:p>
      <w:pPr>
        <w:pStyle w:val="ListParagraph"/>
        <w:numPr>
          <w:ilvl w:val="0"/>
          <w:numId w:val="2"/>
        </w:numPr>
        <w:ind w:left="720" w:hanging="360"/>
      </w:pPr>
      <w:r>
        <w:rPr>
          <w:rFonts w:ascii="Arial" w:cs="Arial" w:eastAsia="Arial" w:hAnsi="Arial"/>
          <w:sz w:val="20"/>
          <w:szCs w:val="20"/>
        </w:rPr>
        <w:t xml:space="preserve">Expect the Task Force to become a primary channel for staff-level signaling on custody-adjacent expectations (key management, disclosures about insolvency treatment, operational controls).</w:t>
      </w:r>
    </w:p>
    <w:p>
      <w:pPr>
        <w:spacing w:before="120" w:after="40"/>
      </w:pPr>
    </w:p>
    <w:p>
      <w:pPr>
        <w:spacing w:before="120" w:after="40"/>
      </w:pPr>
      <w:r>
        <w:rPr>
          <w:rFonts w:ascii="Arial" w:cs="Arial" w:eastAsia="Arial" w:hAnsi="Arial"/>
          <w:b/>
          <w:bCs/>
          <w:color w:val="0B2447"/>
          <w:sz w:val="20"/>
          <w:szCs w:val="20"/>
        </w:rPr>
        <w:t xml:space="preserve">3. SEC Replaces PCAOB Leadership; Signals 'Sensible, Efficient' Audit Oversight (Jan 30, 2026)</w:t>
      </w:r>
    </w:p>
    <w:p>
      <w:r>
        <w:rPr>
          <w:rFonts w:ascii="Arial" w:cs="Arial" w:eastAsia="Arial" w:hAnsi="Arial"/>
          <w:sz w:val="20"/>
          <w:szCs w:val="20"/>
        </w:rPr>
        <w:t xml:space="preserve">The SEC appointed Demetrios (Jim) Logothetis as PCAOB Chair and new board members. Chair Atkins emphasized minimizing unnecessary costs for broker-dealers and public companies that fund the PCAOB's budget.</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While not crypto-specific, PCAOB direction matters for crypto custody because audit/attestation expectations often become de facto standards for custody control environments (governance, evidence retention, reconciliations).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REGULATORY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00"/>
        <w:gridCol w:w="4060"/>
      </w:tblGrid>
      <w:tr>
        <w:trPr>
          <w:tblHeader/>
        </w:trPr>
        <w:tc>
          <w:tcPr>
            <w:tcW w:type="dxa" w:w="26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Guidance</w:t>
            </w:r>
          </w:p>
        </w:tc>
        <w:tc>
          <w:tcPr>
            <w:tcW w:type="dxa" w:w="1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Effective</w:t>
            </w:r>
          </w:p>
        </w:tc>
        <w:tc>
          <w:tcPr>
            <w:tcW w:type="dxa" w:w="13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0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Crypto Task Force</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2026-01-25</w:t>
            </w:r>
          </w:p>
        </w:tc>
        <w:tc>
          <w:tcPr>
            <w:tcW w:type="dxa" w:w="13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In effect</w:t>
            </w:r>
          </w:p>
        </w:tc>
        <w:tc>
          <w:tcPr>
            <w:tcW w:type="dxa" w:w="40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Signals accelerated SEC focus on crypto classification; custody expectations to be shaped through outreach.</w:t>
            </w:r>
          </w:p>
        </w:tc>
      </w:tr>
      <w:tr>
        <w:tc>
          <w:tcPr>
            <w:tcW w:type="dxa" w:w="26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SEC–CFTC Harmonization Initiative</w:t>
            </w:r>
          </w:p>
        </w:tc>
        <w:tc>
          <w:tcPr>
            <w:tcW w:type="dxa" w:w="1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2026-01-25</w:t>
            </w:r>
          </w:p>
        </w:tc>
        <w:tc>
          <w:tcPr>
            <w:tcW w:type="dxa" w:w="13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In effect</w:t>
            </w:r>
          </w:p>
        </w:tc>
        <w:tc>
          <w:tcPr>
            <w:tcW w:type="dxa" w:w="40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Frames cross-agency coordination; includes custody in harmonization scope.</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Project Crypto — Opening Remarks</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2026-01-29</w:t>
            </w:r>
          </w:p>
        </w:tc>
        <w:tc>
          <w:tcPr>
            <w:tcW w:type="dxa" w:w="13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In effect (speech)</w:t>
            </w:r>
          </w:p>
        </w:tc>
        <w:tc>
          <w:tcPr>
            <w:tcW w:type="dxa" w:w="40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Highlights harmonization across 'custody'; references BD financial responsibility and RIA/fund custody via state-chartered institutions.</w:t>
            </w:r>
          </w:p>
        </w:tc>
      </w:tr>
      <w:tr>
        <w:tc>
          <w:tcPr>
            <w:tcW w:type="dxa" w:w="26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PCAOB Leadership Appointments</w:t>
            </w:r>
          </w:p>
        </w:tc>
        <w:tc>
          <w:tcPr>
            <w:tcW w:type="dxa" w:w="1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2026-01-30</w:t>
            </w:r>
          </w:p>
        </w:tc>
        <w:tc>
          <w:tcPr>
            <w:tcW w:type="dxa" w:w="13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In effect</w:t>
            </w:r>
          </w:p>
        </w:tc>
        <w:tc>
          <w:tcPr>
            <w:tcW w:type="dxa" w:w="40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Potentially shifts audit oversight tone; relevant to BD audit and custody-control assurance expectations.</w:t>
            </w:r>
          </w:p>
        </w:tc>
      </w:tr>
    </w:tbl>
    <w:p>
      <w:pPr>
        <w:spacing w:before="160" w:after="40"/>
      </w:pPr>
    </w:p>
    <w:p>
      <w:r>
        <w:rPr>
          <w:rFonts w:ascii="Arial" w:cs="Arial" w:eastAsia="Arial" w:hAnsi="Arial"/>
          <w:b/>
          <w:bCs/>
          <w:sz w:val="20"/>
          <w:szCs w:val="20"/>
        </w:rPr>
        <w:t xml:space="preserve">Pending Developments: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rPr>
          <w:tblHeader/>
        </w:trPr>
        <w:tc>
          <w:tcPr>
            <w:tcW w:type="dxa" w:w="52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Development</w:t>
            </w:r>
          </w:p>
        </w:tc>
        <w:tc>
          <w:tcPr>
            <w:tcW w:type="dxa" w:w="22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9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Confidence</w:t>
            </w:r>
          </w:p>
        </w:tc>
      </w:tr>
      <w:tr>
        <w:tc>
          <w:tcPr>
            <w:tcW w:type="dxa" w:w="5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SEC–CFTC harmonization outputs (additional meetings, roundtables)</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TBD (ongoing)</w:t>
            </w:r>
          </w:p>
        </w:tc>
        <w:tc>
          <w:tcPr>
            <w:tcW w:type="dxa" w:w="1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5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SEC/CFTC readiness to implement forthcoming congressional legislation</w:t>
            </w:r>
          </w:p>
        </w:tc>
        <w:tc>
          <w:tcPr>
            <w:tcW w:type="dxa" w:w="2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TBD (post-Congress)</w:t>
            </w:r>
          </w:p>
        </w:tc>
        <w:tc>
          <w:tcPr>
            <w:tcW w:type="dxa" w:w="19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5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PCAOB leadership transition completion</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Coming weeks</w:t>
            </w:r>
          </w:p>
        </w:tc>
        <w:tc>
          <w:tcPr>
            <w:tcW w:type="dxa" w:w="1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bl>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ENFORCEMENT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760"/>
        <w:gridCol w:w="2200"/>
      </w:tblGrid>
      <w:tr>
        <w:trPr>
          <w:tblHeader/>
        </w:trPr>
        <w:tc>
          <w:tcPr>
            <w:tcW w:type="dxa" w:w="28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Case</w:t>
            </w:r>
          </w:p>
        </w:tc>
        <w:tc>
          <w:tcPr>
            <w:tcW w:type="dxa" w:w="16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27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22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Next Event</w:t>
            </w:r>
          </w:p>
        </w:tc>
      </w:tr>
      <w:tr>
        <w:tc>
          <w:tcPr>
            <w:tcW w:type="dxa" w:w="2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v. Watson / Northstar Commercial Partners</w:t>
            </w:r>
          </w:p>
        </w:tc>
        <w:tc>
          <w:tcPr>
            <w:tcW w:type="dxa" w:w="1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Verdict for SEC</w:t>
            </w:r>
          </w:p>
        </w:tc>
        <w:tc>
          <w:tcPr>
            <w:tcW w:type="dxa" w:w="27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Misrepresentations about sponsor 'co-investment'</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Remedies / post-trial proceedings</w:t>
            </w:r>
          </w:p>
        </w:tc>
      </w:tr>
      <w:tr>
        <w:tc>
          <w:tcPr>
            <w:tcW w:type="dxa" w:w="28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In re ADM, Macciocchi, Young</w:t>
            </w:r>
          </w:p>
        </w:tc>
        <w:tc>
          <w:tcPr>
            <w:tcW w:type="dxa" w:w="16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Settled; $40M penalty</w:t>
            </w:r>
          </w:p>
        </w:tc>
        <w:tc>
          <w:tcPr>
            <w:tcW w:type="dxa" w:w="27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Accounting/disclosure fraud; internal controls failures</w:t>
            </w:r>
          </w:p>
        </w:tc>
        <w:tc>
          <w:tcPr>
            <w:tcW w:type="dxa" w:w="2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Fair Fund administration</w:t>
            </w:r>
          </w:p>
        </w:tc>
      </w:tr>
      <w:tr>
        <w:tc>
          <w:tcPr>
            <w:tcW w:type="dxa" w:w="2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v. Vikram Luthar</w:t>
            </w:r>
          </w:p>
        </w:tc>
        <w:tc>
          <w:tcPr>
            <w:tcW w:type="dxa" w:w="1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Litigation filed</w:t>
            </w:r>
          </w:p>
        </w:tc>
        <w:tc>
          <w:tcPr>
            <w:tcW w:type="dxa" w:w="27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Alleged post-hoc intersegment adjustments</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Court schedule TBD</w:t>
            </w:r>
          </w:p>
        </w:tc>
      </w:tr>
    </w:tbl>
    <w:p>
      <w:pPr>
        <w:spacing w:before="80" w:after="80"/>
      </w:pPr>
    </w:p>
    <w:p>
      <w:r>
        <w:rPr>
          <w:rFonts w:ascii="Arial" w:cs="Arial" w:eastAsia="Arial" w:hAnsi="Arial"/>
          <w:i/>
          <w:iCs/>
          <w:sz w:val="20"/>
          <w:szCs w:val="20"/>
        </w:rPr>
        <w:t xml:space="preserve">Trends: No new SEC actions this week were centrally about crypto custody/segregation. Enforcement nonetheless reinforces: regulators will focus on controls, books and records, and truthful disclosures.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WHAT'S 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33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42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Relevance</w:t>
            </w:r>
          </w:p>
        </w:tc>
      </w:tr>
      <w:tr>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TBD (ongoing)</w:t>
            </w:r>
          </w:p>
        </w:tc>
        <w:tc>
          <w:tcPr>
            <w:tcW w:type="dxa" w:w="33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Crypto Task Force meetings / roundtables</w:t>
            </w:r>
          </w:p>
        </w:tc>
        <w:tc>
          <w:tcPr>
            <w:tcW w:type="dxa" w:w="42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Channel for custody-adjacent expectations (segregation, disclosures, intermediary registration).</w:t>
            </w:r>
          </w:p>
        </w:tc>
      </w:tr>
      <w:tr>
        <w:tc>
          <w:tcPr>
            <w:tcW w:type="dxa" w:w="18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TBD (ongoing)</w:t>
            </w:r>
          </w:p>
        </w:tc>
        <w:tc>
          <w:tcPr>
            <w:tcW w:type="dxa" w:w="33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SEC–CFTC Harmonization Initiative stakeholder engagement</w:t>
            </w:r>
          </w:p>
        </w:tc>
        <w:tc>
          <w:tcPr>
            <w:tcW w:type="dxa" w:w="42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Potential convergence of custody expectations across securities/derivatives crypto markets.</w:t>
            </w:r>
          </w:p>
        </w:tc>
      </w:tr>
      <w:tr>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TBD (coming weeks)</w:t>
            </w:r>
          </w:p>
        </w:tc>
        <w:tc>
          <w:tcPr>
            <w:tcW w:type="dxa" w:w="33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PCAOB leadership transition completion</w:t>
            </w:r>
          </w:p>
        </w:tc>
        <w:tc>
          <w:tcPr>
            <w:tcW w:type="dxa" w:w="42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Could affect audit oversight posture for broker-dealer custody control assurance.</w:t>
            </w:r>
          </w:p>
        </w:tc>
      </w:tr>
    </w:tbl>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COMPLIANCE ACTION ITEMS</w:t>
      </w:r>
    </w:p>
    <w:p>
      <w:pPr>
        <w:pStyle w:val="ListParagraph"/>
        <w:numPr>
          <w:ilvl w:val="0"/>
          <w:numId w:val="3"/>
        </w:numPr>
      </w:pPr>
      <w:r>
        <w:rPr>
          <w:rFonts w:ascii="Arial" w:cs="Arial" w:eastAsia="Arial" w:hAnsi="Arial"/>
          <w:sz w:val="20"/>
          <w:szCs w:val="20"/>
        </w:rPr>
        <w:t xml:space="preserve">Prepare a short written-input submission for SEC–CFTC harmonization and/or the Crypto Task Force focusing on custody pain points (segregation evidence, control standards, insolvency treatment disclosures).</w:t>
      </w:r>
    </w:p>
    <w:p>
      <w:pPr>
        <w:pStyle w:val="ListParagraph"/>
        <w:numPr>
          <w:ilvl w:val="0"/>
          <w:numId w:val="3"/>
        </w:numPr>
      </w:pPr>
      <w:r>
        <w:rPr>
          <w:rFonts w:ascii="Arial" w:cs="Arial" w:eastAsia="Arial" w:hAnsi="Arial"/>
          <w:sz w:val="20"/>
          <w:szCs w:val="20"/>
        </w:rPr>
        <w:t xml:space="preserve">Map your custody model to 'harmonization' language: document how your controls address custody + risk management across products (spot, derivatives-linked, tokenized exposures).</w:t>
      </w:r>
    </w:p>
    <w:p>
      <w:pPr>
        <w:pStyle w:val="ListParagraph"/>
        <w:numPr>
          <w:ilvl w:val="0"/>
          <w:numId w:val="3"/>
        </w:numPr>
      </w:pPr>
      <w:r>
        <w:rPr>
          <w:rFonts w:ascii="Arial" w:cs="Arial" w:eastAsia="Arial" w:hAnsi="Arial"/>
          <w:sz w:val="20"/>
          <w:szCs w:val="20"/>
        </w:rPr>
        <w:t xml:space="preserve">Audit readiness check (BD-grade): reconfirm evidence trails for key controls (access governance, approvals, reconciliations, incident response) anticipating evolving PCAOB oversight tone.</w:t>
      </w:r>
    </w:p>
    <w:p>
      <w:pPr>
        <w:pStyle w:val="ListParagraph"/>
        <w:numPr>
          <w:ilvl w:val="0"/>
          <w:numId w:val="3"/>
        </w:numPr>
      </w:pPr>
      <w:r>
        <w:rPr>
          <w:rFonts w:ascii="Arial" w:cs="Arial" w:eastAsia="Arial" w:hAnsi="Arial"/>
          <w:sz w:val="20"/>
          <w:szCs w:val="20"/>
        </w:rPr>
        <w:t xml:space="preserve">Marketing/disclosure verification controls: tighten review of sponsor/operator claims to avoid misrepresentation exposure highlighted by recent SEC enforcement.</w:t>
      </w:r>
    </w:p>
    <w:p>
      <w:r>
        <w:br w:type="page"/>
      </w:r>
    </w:p>
    <w:p>
      <w:pPr>
        <w:shd w:fill="0B2447" w:val="clear"/>
        <w:spacing w:before="0" w:after="0"/>
        <w:jc w:val="center"/>
      </w:pPr>
      <w:r>
        <w:rPr>
          <w:rFonts w:ascii="Arial" w:cs="Arial" w:eastAsia="Arial" w:hAnsi="Arial"/>
          <w:b/>
          <w:bCs/>
          <w:color w:val="FFFFFF"/>
          <w:sz w:val="36"/>
          <w:szCs w:val="36"/>
        </w:rPr>
        <w:t xml:space="preserve">🔐 CUSTODY INTELLIGENCE WEEKLY</w:t>
      </w:r>
    </w:p>
    <w:p>
      <w:pPr>
        <w:shd w:fill="0B2447" w:val="clear"/>
        <w:spacing w:before="0" w:after="0"/>
        <w:jc w:val="center"/>
      </w:pPr>
      <w:r>
        <w:rPr>
          <w:rFonts w:ascii="Arial" w:cs="Arial" w:eastAsia="Arial" w:hAnsi="Arial"/>
          <w:color w:val="D5E8F0"/>
          <w:sz w:val="22"/>
          <w:szCs w:val="22"/>
        </w:rPr>
        <w:t xml:space="preserve">The Regulatory Digest for Crypto Custodians</w:t>
      </w:r>
    </w:p>
    <w:p>
      <w:pPr>
        <w:shd w:fill="E8A317" w:val="clear"/>
        <w:spacing w:before="0" w:after="200"/>
        <w:jc w:val="center"/>
      </w:pPr>
      <w:r>
        <w:rPr>
          <w:rFonts w:ascii="Arial" w:cs="Arial" w:eastAsia="Arial" w:hAnsi="Arial"/>
          <w:b/>
          <w:bCs/>
          <w:color w:val="0B2447"/>
          <w:sz w:val="22"/>
          <w:szCs w:val="22"/>
        </w:rPr>
        <w:t xml:space="preserve">  Week of Feb 3 – Feb 9, 2026  |  Issue #2  </w:t>
      </w:r>
    </w:p>
    <w:p>
      <w:r>
        <w:rPr>
          <w:rFonts w:ascii="Arial" w:cs="Arial" w:eastAsia="Arial" w:hAnsi="Arial"/>
          <w:i/>
          <w:iCs/>
          <w:sz w:val="20"/>
          <w:szCs w:val="20"/>
        </w:rPr>
        <w:t xml:space="preserve">This week's SEC messaging centered on building engagement channels for tokenization/'permissioned on-chain finance' and encouraging pilots/no-action requests for new technologies (AI and tokenization) while keeping investor-protection guardrails—especially around custody, disclosure, supervision, and recordkeeping.</w:t>
      </w:r>
    </w:p>
    <w:p>
      <w:pPr>
        <w:spacing w:before="120" w:after="120"/>
      </w:pPr>
    </w:p>
    <w:p>
      <w:pPr>
        <w:pStyle w:val="Heading2"/>
        <w:spacing w:before="200" w:after="100"/>
      </w:pPr>
      <w:r>
        <w:rPr>
          <w:rFonts w:ascii="Arial" w:cs="Arial" w:eastAsia="Arial" w:hAnsi="Arial"/>
          <w:b/>
          <w:bCs/>
          <w:color w:val="0B2447"/>
          <w:sz w:val="24"/>
          <w:szCs w:val="24"/>
        </w:rPr>
        <w:t xml:space="preserv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198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This Week</w:t>
            </w:r>
          </w:p>
        </w:tc>
        <w:tc>
          <w:tcPr>
            <w:tcW w:type="dxa" w:w="198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YTD 2026</w:t>
            </w:r>
          </w:p>
        </w:tc>
      </w:tr>
      <w:tr>
        <w:tc>
          <w:tcPr>
            <w:tcW w:type="dxa" w:w="5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custody-related releases</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5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CFTC custody/collateral releases</w:t>
            </w:r>
          </w:p>
        </w:tc>
        <w:tc>
          <w:tcPr>
            <w:tcW w:type="dxa" w:w="198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0</w:t>
            </w:r>
          </w:p>
        </w:tc>
        <w:tc>
          <w:tcPr>
            <w:tcW w:type="dxa" w:w="198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0</w:t>
            </w:r>
          </w:p>
        </w:tc>
      </w:tr>
      <w:tr>
        <w:tc>
          <w:tcPr>
            <w:tcW w:type="dxa" w:w="5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No-action letters</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5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Enforcement actions (custody)</w:t>
            </w:r>
          </w:p>
        </w:tc>
        <w:tc>
          <w:tcPr>
            <w:tcW w:type="dxa" w:w="198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1</w:t>
            </w:r>
          </w:p>
        </w:tc>
        <w:tc>
          <w:tcPr>
            <w:tcW w:type="dxa" w:w="198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1</w:t>
            </w:r>
          </w:p>
        </w:tc>
      </w:tr>
      <w:tr>
        <w:tc>
          <w:tcPr>
            <w:tcW w:type="dxa" w:w="5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Banking regulator guidance</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c>
          <w:tcPr>
            <w:tcW w:type="dxa" w:w="19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bl>
    <w:p>
      <w:pPr>
        <w:spacing w:before="80" w:after="80"/>
      </w:pPr>
    </w:p>
    <w:p>
      <w:r>
        <w:rPr>
          <w:rFonts w:ascii="Arial" w:cs="Arial" w:eastAsia="Arial" w:hAnsi="Arial"/>
          <w:i/>
          <w:iCs/>
          <w:sz w:val="20"/>
          <w:szCs w:val="20"/>
        </w:rPr>
        <w:t xml:space="preserve">Bottom Line: The SEC is signaling 'engage with us early' rather than issuing new custody rules—treat 2026 as a design-and-controls year for tokenized assets and AI-enabled operations.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TOP STORIES</w:t>
      </w:r>
    </w:p>
    <w:p>
      <w:pPr>
        <w:spacing w:before="120" w:after="40"/>
      </w:pPr>
      <w:r>
        <w:rPr>
          <w:rFonts w:ascii="Arial" w:cs="Arial" w:eastAsia="Arial" w:hAnsi="Arial"/>
          <w:b/>
          <w:bCs/>
          <w:color w:val="0B2447"/>
          <w:sz w:val="20"/>
          <w:szCs w:val="20"/>
        </w:rPr>
        <w:t xml:space="preserve">1. Project Crypto + SEC-CFTC Harmonization + SEC Crypto Task Force (Feb 3–4, 2026)</w:t>
      </w:r>
    </w:p>
    <w:p>
      <w:r>
        <w:rPr>
          <w:rFonts w:ascii="Arial" w:cs="Arial" w:eastAsia="Arial" w:hAnsi="Arial"/>
          <w:sz w:val="20"/>
          <w:szCs w:val="20"/>
        </w:rPr>
        <w:t xml:space="preserve">Chairman Atkins said the SEC will pursue 'Project Crypto' jointly with the CFTC to explore tokenization and an 'innovation exemption framework' for permissioned on-chain finance, while 'preserving investor protection, transparency, and supervisory oversight.' The Crypto Task Force will clarify how federal securities laws apply to crypto assets, craft tailored disclosure frameworks, and provide realistic paths to registration.</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The path to market for tokenized securities will run through (a) engagement, (b) scoped exemptions/pilots, and (c) demonstrable custody-grade controls (segregation, key management, auditability, supervisory oversight)—not broad deregulation.</w:t>
      </w:r>
    </w:p>
    <w:p>
      <w:pPr>
        <w:pStyle w:val="ListParagraph"/>
        <w:numPr>
          <w:ilvl w:val="0"/>
          <w:numId w:val="2"/>
        </w:numPr>
        <w:ind w:left="720" w:hanging="360"/>
      </w:pPr>
      <w:r>
        <w:rPr>
          <w:rFonts w:ascii="Arial" w:cs="Arial" w:eastAsia="Arial" w:hAnsi="Arial"/>
          <w:sz w:val="20"/>
          <w:szCs w:val="20"/>
        </w:rPr>
        <w:t xml:space="preserve">Expect custody expectations to be expressed first through conditions in exemptions/no-action positions and pilot guardrails, not a single new 'crypto custody rule.'</w:t>
      </w:r>
    </w:p>
    <w:p>
      <w:pPr>
        <w:spacing w:before="120" w:after="40"/>
      </w:pPr>
    </w:p>
    <w:p>
      <w:pPr>
        <w:spacing w:before="120" w:after="40"/>
      </w:pPr>
      <w:r>
        <w:rPr>
          <w:rFonts w:ascii="Arial" w:cs="Arial" w:eastAsia="Arial" w:hAnsi="Arial"/>
          <w:b/>
          <w:bCs/>
          <w:color w:val="0B2447"/>
          <w:sz w:val="20"/>
          <w:szCs w:val="20"/>
        </w:rPr>
        <w:t xml:space="preserve">2. SEC Investment Management Signals 'Pilot/No-Action First' Approach to AI (Feb 3, 2026)</w:t>
      </w:r>
    </w:p>
    <w:p>
      <w:r>
        <w:rPr>
          <w:rFonts w:ascii="Arial" w:cs="Arial" w:eastAsia="Arial" w:hAnsi="Arial"/>
          <w:sz w:val="20"/>
          <w:szCs w:val="20"/>
        </w:rPr>
        <w:t xml:space="preserve">IM Division Director Brian Daly said AI adoption is uneven, discouraged rushing to prescriptive rules, and invited firms to propose pilots, request no-action letters, or seek staff guidance. He highlighted regulatory issues including recordkeeping, supervision, marketing, and fiduciary questions. He floated the concept of reimagining investor disclosure using large language models.</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For crypto custody programs, AI increasingly touches reconciliations, exception management, client reporting, and incident response—core custody controls. If AI is used, firms should treat model outputs as regulated records.</w:t>
      </w:r>
    </w:p>
    <w:p>
      <w:r>
        <w:rPr>
          <w:rFonts w:ascii="Arial" w:cs="Arial" w:eastAsia="Arial" w:hAnsi="Arial"/>
          <w:b/>
          <w:bCs/>
          <w:sz w:val="20"/>
          <w:szCs w:val="20"/>
        </w:rPr>
        <w:t xml:space="preserve">Inference:</w:t>
      </w:r>
    </w:p>
    <w:p>
      <w:pPr>
        <w:pStyle w:val="ListParagraph"/>
        <w:numPr>
          <w:ilvl w:val="0"/>
          <w:numId w:val="2"/>
        </w:numPr>
        <w:ind w:left="720" w:hanging="360"/>
      </w:pPr>
      <w:r>
        <w:rPr>
          <w:rFonts w:ascii="Arial" w:cs="Arial" w:eastAsia="Arial" w:hAnsi="Arial"/>
          <w:sz w:val="20"/>
          <w:szCs w:val="20"/>
        </w:rPr>
        <w:t xml:space="preserve">Expect near-term SEC staff attention to focus on whether AI use weakens or can be shown to strengthen control evidence: audit trails, reproducibility, approvals, and escalation paths.</w:t>
      </w:r>
    </w:p>
    <w:p>
      <w:pPr>
        <w:spacing w:before="120" w:after="40"/>
      </w:pPr>
    </w:p>
    <w:p>
      <w:pPr>
        <w:spacing w:before="120" w:after="40"/>
      </w:pPr>
      <w:r>
        <w:rPr>
          <w:rFonts w:ascii="Arial" w:cs="Arial" w:eastAsia="Arial" w:hAnsi="Arial"/>
          <w:b/>
          <w:bCs/>
          <w:color w:val="0B2447"/>
          <w:sz w:val="20"/>
          <w:szCs w:val="20"/>
        </w:rPr>
        <w:t xml:space="preserve">3. Tokenization + Treasury Clearing Infrastructure Updates (Feb 9, 2026)</w:t>
      </w:r>
    </w:p>
    <w:p>
      <w:r>
        <w:rPr>
          <w:rFonts w:ascii="Arial" w:cs="Arial" w:eastAsia="Arial" w:hAnsi="Arial"/>
          <w:sz w:val="20"/>
          <w:szCs w:val="20"/>
        </w:rPr>
        <w:t xml:space="preserve">Commissioner Mark Uyeda discussed Treasury market reforms and noted the SEC approved registration of CME Securities Clearing Inc. and ICE Clear Credit LLC as clearing agencies for U.S. Treasury securities. On tokenization, Uyeda described a technology-neutral approach and willingness to use sub-regulatory guidance and exemptive relief for pilots while ensuring 'custody, disclosure, and investor protections' are met.</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Tokenized Treasuries will be evaluated against the same core custody outcomes: clear ownership records, segregation, reliable settlement finality, and auditable controls—even if the asset rail is 'on-chain.'</w:t>
      </w:r>
    </w:p>
    <w:p>
      <w:pPr>
        <w:pStyle w:val="ListParagraph"/>
        <w:numPr>
          <w:ilvl w:val="0"/>
          <w:numId w:val="2"/>
        </w:numPr>
        <w:ind w:left="720" w:hanging="360"/>
      </w:pPr>
      <w:r>
        <w:rPr>
          <w:rFonts w:ascii="Arial" w:cs="Arial" w:eastAsia="Arial" w:hAnsi="Arial"/>
          <w:sz w:val="20"/>
          <w:szCs w:val="20"/>
        </w:rPr>
        <w:t xml:space="preserve">Clearing model changes (cross-margining, collateral-in-lieu) can create operational complexity for custodians around collateral movements, lien/perfection concepts, and reconciliations.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REGULATORY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700"/>
        <w:gridCol w:w="3660"/>
      </w:tblGrid>
      <w:tr>
        <w:trPr>
          <w:tblHeader/>
        </w:trPr>
        <w:tc>
          <w:tcPr>
            <w:tcW w:type="dxa" w:w="26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Guidance</w:t>
            </w:r>
          </w:p>
        </w:tc>
        <w:tc>
          <w:tcPr>
            <w:tcW w:type="dxa" w:w="1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Effective</w:t>
            </w:r>
          </w:p>
        </w:tc>
        <w:tc>
          <w:tcPr>
            <w:tcW w:type="dxa" w:w="17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6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Crypto Task Force</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2026-02-03</w:t>
            </w:r>
          </w:p>
        </w:tc>
        <w:tc>
          <w:tcPr>
            <w:tcW w:type="dxa" w:w="17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36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High — likely focal point for future custody expectations for crypto market intermediaries.</w:t>
            </w:r>
          </w:p>
        </w:tc>
      </w:tr>
      <w:tr>
        <w:tc>
          <w:tcPr>
            <w:tcW w:type="dxa" w:w="26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SEC-CFTC Harmonization Initiative</w:t>
            </w:r>
          </w:p>
        </w:tc>
        <w:tc>
          <w:tcPr>
            <w:tcW w:type="dxa" w:w="1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2026-02-03</w:t>
            </w:r>
          </w:p>
        </w:tc>
        <w:tc>
          <w:tcPr>
            <w:tcW w:type="dxa" w:w="17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Active</w:t>
            </w:r>
          </w:p>
        </w:tc>
        <w:tc>
          <w:tcPr>
            <w:tcW w:type="dxa" w:w="36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High — may reduce duplication and clarify which custody obligations attach under each regime.</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AI remarks (IM Division) – pilots/no-action</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2026-02-03</w:t>
            </w:r>
          </w:p>
        </w:tc>
        <w:tc>
          <w:tcPr>
            <w:tcW w:type="dxa" w:w="17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Staff posture (not a rule)</w:t>
            </w:r>
          </w:p>
        </w:tc>
        <w:tc>
          <w:tcPr>
            <w:tcW w:type="dxa" w:w="36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Medium — custody programs using AI should strengthen recordkeeping/supervision evidence.</w:t>
            </w:r>
          </w:p>
        </w:tc>
      </w:tr>
    </w:tbl>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ENFORCEMENT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360"/>
        <w:gridCol w:w="2000"/>
      </w:tblGrid>
      <w:tr>
        <w:trPr>
          <w:tblHeader/>
        </w:trPr>
        <w:tc>
          <w:tcPr>
            <w:tcW w:type="dxa" w:w="2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Case</w:t>
            </w:r>
          </w:p>
        </w:tc>
        <w:tc>
          <w:tcPr>
            <w:tcW w:type="dxa" w:w="16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3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20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Next Event</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v. CBA Pharma (LR-26479)</w:t>
            </w:r>
          </w:p>
        </w:tc>
        <w:tc>
          <w:tcPr>
            <w:tcW w:type="dxa" w:w="1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Complaint filed (Feb 5, 2026)</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Offering fraud; proceeds raised ~$4.1M; pooled investor funds in company accounts</w:t>
            </w:r>
          </w:p>
        </w:tc>
        <w:tc>
          <w:tcPr>
            <w:tcW w:type="dxa" w:w="2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Not specified</w:t>
            </w:r>
          </w:p>
        </w:tc>
      </w:tr>
      <w:tr>
        <w:tc>
          <w:tcPr>
            <w:tcW w:type="dxa" w:w="2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Gerald &amp; Michael Shvartsman (LR-26477)</w:t>
            </w:r>
          </w:p>
        </w:tc>
        <w:tc>
          <w:tcPr>
            <w:tcW w:type="dxa" w:w="16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Final consent judgments entered</w:t>
            </w:r>
          </w:p>
        </w:tc>
        <w:tc>
          <w:tcPr>
            <w:tcW w:type="dxa" w:w="33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Insider trading (DWAC)</w:t>
            </w:r>
          </w:p>
        </w:tc>
        <w:tc>
          <w:tcPr>
            <w:tcW w:type="dxa" w:w="20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Concluded</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Ryan Squillante (LR-26478)</w:t>
            </w:r>
          </w:p>
        </w:tc>
        <w:tc>
          <w:tcPr>
            <w:tcW w:type="dxa" w:w="1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Final consent judgment</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Insider trading</w:t>
            </w:r>
          </w:p>
        </w:tc>
        <w:tc>
          <w:tcPr>
            <w:tcW w:type="dxa" w:w="2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Concluded</w:t>
            </w:r>
          </w:p>
        </w:tc>
      </w:tr>
    </w:tbl>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COMPLIANCE ACTION ITEMS</w:t>
      </w:r>
    </w:p>
    <w:p>
      <w:pPr>
        <w:pStyle w:val="ListParagraph"/>
        <w:numPr>
          <w:ilvl w:val="0"/>
          <w:numId w:val="3"/>
        </w:numPr>
      </w:pPr>
      <w:r>
        <w:rPr>
          <w:rFonts w:ascii="Arial" w:cs="Arial" w:eastAsia="Arial" w:hAnsi="Arial"/>
          <w:sz w:val="20"/>
          <w:szCs w:val="20"/>
        </w:rPr>
        <w:t xml:space="preserve">Prepare a 'permissioned on-chain custody control pack' (segregation model, key management, access logs, reconciliations, incident response, independent assurance) aligned to investor protection themes cited by SEC leadership.</w:t>
      </w:r>
    </w:p>
    <w:p>
      <w:pPr>
        <w:pStyle w:val="ListParagraph"/>
        <w:numPr>
          <w:ilvl w:val="0"/>
          <w:numId w:val="3"/>
        </w:numPr>
      </w:pPr>
      <w:r>
        <w:rPr>
          <w:rFonts w:ascii="Arial" w:cs="Arial" w:eastAsia="Arial" w:hAnsi="Arial"/>
          <w:sz w:val="20"/>
          <w:szCs w:val="20"/>
        </w:rPr>
        <w:t xml:space="preserve">Engage early: draft a short written input outline for the Crypto Task Force (what custody clarity you need; what controls you can demonstrate).</w:t>
      </w:r>
    </w:p>
    <w:p>
      <w:pPr>
        <w:pStyle w:val="ListParagraph"/>
        <w:numPr>
          <w:ilvl w:val="0"/>
          <w:numId w:val="3"/>
        </w:numPr>
      </w:pPr>
      <w:r>
        <w:rPr>
          <w:rFonts w:ascii="Arial" w:cs="Arial" w:eastAsia="Arial" w:hAnsi="Arial"/>
          <w:sz w:val="20"/>
          <w:szCs w:val="20"/>
        </w:rPr>
        <w:t xml:space="preserve">Map SEC/CFTC perimeter risk: identify products/services where classification uncertainty affects custody obligations; plan for harmonization-driven boundary clarification.</w:t>
      </w:r>
    </w:p>
    <w:p>
      <w:pPr>
        <w:pStyle w:val="ListParagraph"/>
        <w:numPr>
          <w:ilvl w:val="0"/>
          <w:numId w:val="3"/>
        </w:numPr>
      </w:pPr>
      <w:r>
        <w:rPr>
          <w:rFonts w:ascii="Arial" w:cs="Arial" w:eastAsia="Arial" w:hAnsi="Arial"/>
          <w:sz w:val="20"/>
          <w:szCs w:val="20"/>
        </w:rPr>
        <w:t xml:space="preserve">AI governance for custody operations: inventory AI use in reconciliations, client reporting, support, surveillance; implement retention/review workflows and supervision sign-offs.</w:t>
      </w:r>
    </w:p>
    <w:p>
      <w:pPr>
        <w:pStyle w:val="ListParagraph"/>
        <w:numPr>
          <w:ilvl w:val="0"/>
          <w:numId w:val="3"/>
        </w:numPr>
      </w:pPr>
      <w:r>
        <w:rPr>
          <w:rFonts w:ascii="Arial" w:cs="Arial" w:eastAsia="Arial" w:hAnsi="Arial"/>
          <w:sz w:val="20"/>
          <w:szCs w:val="20"/>
        </w:rPr>
        <w:t xml:space="preserve">MNPI controls for custodians: refresh employee trading/pre-clearance and confidentiality controls in light of continuing insider-trading enforcement.</w:t>
      </w:r>
    </w:p>
    <w:p>
      <w:r>
        <w:br w:type="page"/>
      </w:r>
    </w:p>
    <w:p>
      <w:pPr>
        <w:shd w:fill="0B2447" w:val="clear"/>
        <w:spacing w:before="0" w:after="0"/>
        <w:jc w:val="center"/>
      </w:pPr>
      <w:r>
        <w:rPr>
          <w:rFonts w:ascii="Arial" w:cs="Arial" w:eastAsia="Arial" w:hAnsi="Arial"/>
          <w:b/>
          <w:bCs/>
          <w:color w:val="FFFFFF"/>
          <w:sz w:val="36"/>
          <w:szCs w:val="36"/>
        </w:rPr>
        <w:t xml:space="preserve">🔐 CUSTODY INTELLIGENCE WEEKLY</w:t>
      </w:r>
    </w:p>
    <w:p>
      <w:pPr>
        <w:shd w:fill="0B2447" w:val="clear"/>
        <w:spacing w:before="0" w:after="0"/>
        <w:jc w:val="center"/>
      </w:pPr>
      <w:r>
        <w:rPr>
          <w:rFonts w:ascii="Arial" w:cs="Arial" w:eastAsia="Arial" w:hAnsi="Arial"/>
          <w:color w:val="D5E8F0"/>
          <w:sz w:val="22"/>
          <w:szCs w:val="22"/>
        </w:rPr>
        <w:t xml:space="preserve">The Regulatory Digest for Crypto Custodians</w:t>
      </w:r>
    </w:p>
    <w:p>
      <w:pPr>
        <w:shd w:fill="E8A317" w:val="clear"/>
        <w:spacing w:before="0" w:after="200"/>
        <w:jc w:val="center"/>
      </w:pPr>
      <w:r>
        <w:rPr>
          <w:rFonts w:ascii="Arial" w:cs="Arial" w:eastAsia="Arial" w:hAnsi="Arial"/>
          <w:b/>
          <w:bCs/>
          <w:color w:val="0B2447"/>
          <w:sz w:val="22"/>
          <w:szCs w:val="22"/>
        </w:rPr>
        <w:t xml:space="preserve">  Week of Feb 9 – Feb 15, 2026  |  Issue #3  </w:t>
      </w:r>
    </w:p>
    <w:p>
      <w:r>
        <w:rPr>
          <w:rFonts w:ascii="Arial" w:cs="Arial" w:eastAsia="Arial" w:hAnsi="Arial"/>
          <w:i/>
          <w:iCs/>
          <w:sz w:val="20"/>
          <w:szCs w:val="20"/>
        </w:rPr>
        <w:t xml:space="preserve">This week's SEC messaging clustered around (1) building a token taxonomy and potential on-chain exemptions via a joint SEC–CFTC effort, (2) reiterating that tokenized securities remain securities, and (3) enforcement actions underscoring classic custody failures: misappropriation, weak controls, and opaque omnibus arrangements.</w:t>
      </w:r>
    </w:p>
    <w:p>
      <w:pPr>
        <w:spacing w:before="120" w:after="120"/>
      </w:pPr>
    </w:p>
    <w:p>
      <w:pPr>
        <w:pStyle w:val="Heading2"/>
        <w:spacing w:before="200" w:after="100"/>
      </w:pPr>
      <w:r>
        <w:rPr>
          <w:rFonts w:ascii="Arial" w:cs="Arial" w:eastAsia="Arial" w:hAnsi="Arial"/>
          <w:b/>
          <w:bCs/>
          <w:color w:val="0B2447"/>
          <w:sz w:val="24"/>
          <w:szCs w:val="24"/>
        </w:rPr>
        <w:t xml:space="preserv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33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This Week</w:t>
            </w:r>
          </w:p>
        </w:tc>
      </w:tr>
      <w:tr>
        <w:tc>
          <w:tcPr>
            <w:tcW w:type="dxa" w:w="6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custody-related releases</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5</w:t>
            </w:r>
          </w:p>
        </w:tc>
      </w:tr>
      <w:tr>
        <w:tc>
          <w:tcPr>
            <w:tcW w:type="dxa" w:w="60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CFTC custody/collateral releases</w:t>
            </w:r>
          </w:p>
        </w:tc>
        <w:tc>
          <w:tcPr>
            <w:tcW w:type="dxa" w:w="33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0</w:t>
            </w:r>
          </w:p>
        </w:tc>
      </w:tr>
      <w:tr>
        <w:tc>
          <w:tcPr>
            <w:tcW w:type="dxa" w:w="6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No-action letters</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60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Enforcement actions (custody)</w:t>
            </w:r>
          </w:p>
        </w:tc>
        <w:tc>
          <w:tcPr>
            <w:tcW w:type="dxa" w:w="33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3</w:t>
            </w:r>
          </w:p>
        </w:tc>
      </w:tr>
      <w:tr>
        <w:tc>
          <w:tcPr>
            <w:tcW w:type="dxa" w:w="6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Banking regulator guidance</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bl>
    <w:p>
      <w:pPr>
        <w:spacing w:before="80" w:after="80"/>
      </w:pPr>
    </w:p>
    <w:p>
      <w:r>
        <w:rPr>
          <w:rFonts w:ascii="Arial" w:cs="Arial" w:eastAsia="Arial" w:hAnsi="Arial"/>
          <w:i/>
          <w:iCs/>
          <w:sz w:val="20"/>
          <w:szCs w:val="20"/>
        </w:rPr>
        <w:t xml:space="preserve">Bottom Line: The SEC is signaling faster movement toward a crypto 'token taxonomy' and possible on-chain exemptions while continuing to bring enforcement matters that look like traditional custody/control failures.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TOP STORIES</w:t>
      </w:r>
    </w:p>
    <w:p>
      <w:pPr>
        <w:spacing w:before="120" w:after="40"/>
      </w:pPr>
      <w:r>
        <w:rPr>
          <w:rFonts w:ascii="Arial" w:cs="Arial" w:eastAsia="Arial" w:hAnsi="Arial"/>
          <w:b/>
          <w:bCs/>
          <w:color w:val="0B2447"/>
          <w:sz w:val="20"/>
          <w:szCs w:val="20"/>
        </w:rPr>
        <w:t xml:space="preserve">1. SEC Chair Spotlights 'Project Crypto' for Token Taxonomy + Possible On-Chain Exemptions (Feb 11–12, 2026)</w:t>
      </w:r>
    </w:p>
    <w:p>
      <w:r>
        <w:rPr>
          <w:rFonts w:ascii="Arial" w:cs="Arial" w:eastAsia="Arial" w:hAnsi="Arial"/>
          <w:sz w:val="20"/>
          <w:szCs w:val="20"/>
        </w:rPr>
        <w:t xml:space="preserve">SEC Chairman Atkins testified that the SEC and CFTC have formed a joint effort ('Project Crypto') to consider a token taxonomy and potential exemptions to enable on-chain movement/transactions. The SEC frames the need as a missing federal framework: 'A federal framework for crypto markets is long overdue.'</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For custody providers, a taxonomy is the 'front door' to everything else: whether an asset is treated as a security determines whether broker-dealer customer protection concepts, adviser custody expectations, and securities-style controls become the baseline.</w:t>
      </w:r>
    </w:p>
    <w:p>
      <w:r>
        <w:rPr>
          <w:rFonts w:ascii="Arial" w:cs="Arial" w:eastAsia="Arial" w:hAnsi="Arial"/>
          <w:b/>
          <w:bCs/>
          <w:sz w:val="20"/>
          <w:szCs w:val="20"/>
        </w:rPr>
        <w:t xml:space="preserve">Inference:</w:t>
      </w:r>
    </w:p>
    <w:p>
      <w:pPr>
        <w:pStyle w:val="ListParagraph"/>
        <w:numPr>
          <w:ilvl w:val="0"/>
          <w:numId w:val="2"/>
        </w:numPr>
        <w:ind w:left="720" w:hanging="360"/>
      </w:pPr>
      <w:r>
        <w:rPr>
          <w:rFonts w:ascii="Arial" w:cs="Arial" w:eastAsia="Arial" w:hAnsi="Arial"/>
          <w:sz w:val="20"/>
          <w:szCs w:val="20"/>
        </w:rPr>
        <w:t xml:space="preserve">Expect industry pressure to translate 'on-chain exemptions' into concrete conditions (control standards, audit trails, who must intermediate transfers) rather than broad carve-outs.</w:t>
      </w:r>
    </w:p>
    <w:p>
      <w:pPr>
        <w:spacing w:before="120" w:after="40"/>
      </w:pPr>
    </w:p>
    <w:p>
      <w:pPr>
        <w:spacing w:before="120" w:after="40"/>
      </w:pPr>
      <w:r>
        <w:rPr>
          <w:rFonts w:ascii="Arial" w:cs="Arial" w:eastAsia="Arial" w:hAnsi="Arial"/>
          <w:b/>
          <w:bCs/>
          <w:color w:val="0B2447"/>
          <w:sz w:val="20"/>
          <w:szCs w:val="20"/>
        </w:rPr>
        <w:t xml:space="preserve">2. Commissioner Uyeda: Tokenization is 'Technology-Neutral,' But Tokenized Securities Remain Subject to Securities Regulation (Feb 9, 2026)</w:t>
      </w:r>
    </w:p>
    <w:p>
      <w:r>
        <w:rPr>
          <w:rFonts w:ascii="Arial" w:cs="Arial" w:eastAsia="Arial" w:hAnsi="Arial"/>
          <w:sz w:val="20"/>
          <w:szCs w:val="20"/>
        </w:rPr>
        <w:t xml:space="preserve">Commissioner Uyeda stated the SEC's approach to tokenization should be technology-neutral and outcomes-focused. He also emphasized: 'Tokenized versions of securities remain subject to securities regulation.' Uyeda described the SEC using exemptive relief and scoped pilots to permit controlled experiments.</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The SEC is implicitly telling custodians: 'tokenization doesn't change the compliance target.' If you custody tokenized securities, expect securities-grade custody expectations regardless of whether the asset moves on-chain.</w:t>
      </w:r>
    </w:p>
    <w:p>
      <w:pPr>
        <w:spacing w:before="120" w:after="40"/>
      </w:pPr>
    </w:p>
    <w:p>
      <w:pPr>
        <w:spacing w:before="120" w:after="40"/>
      </w:pPr>
      <w:r>
        <w:rPr>
          <w:rFonts w:ascii="Arial" w:cs="Arial" w:eastAsia="Arial" w:hAnsi="Arial"/>
          <w:b/>
          <w:bCs/>
          <w:color w:val="0B2447"/>
          <w:sz w:val="20"/>
          <w:szCs w:val="20"/>
        </w:rPr>
        <w:t xml:space="preserve">3. Enforcement Reinforces Custody Basics: Misappropriation, Omnibus Practices, Weak Books/Records (Feb 10–12, 2026)</w:t>
      </w:r>
    </w:p>
    <w:p>
      <w:r>
        <w:rPr>
          <w:rFonts w:ascii="Arial" w:cs="Arial" w:eastAsia="Arial" w:hAnsi="Arial"/>
          <w:sz w:val="20"/>
          <w:szCs w:val="20"/>
        </w:rPr>
        <w:t xml:space="preserve">In SEC v. Gessin, the SEC obtained final default judgments after alleging investors' funds were misappropriated for personal expenses. In Barrington, an adviser CCO used omnibus trading accounts to allocate profitable day trades to himself while allocating losing trades to clients, and Form ADV representations about review controls did not match actual review. A jury found a CryptoFX salesperson liable in a case the SEC described as a Ponzi scheme using funds for Ponzi payments and personal expenses.</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Even when the week's 'big policy' theme is token taxonomy, the SEC's enforcement messaging is still anchored to custody primitives: don't commingle/misuse client assets, don't misstate controls, and don't run custody operations you can't evidence with records.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REGULATORY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3860"/>
      </w:tblGrid>
      <w:tr>
        <w:trPr>
          <w:tblHeader/>
        </w:trPr>
        <w:tc>
          <w:tcPr>
            <w:tcW w:type="dxa" w:w="2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Guidance</w:t>
            </w:r>
          </w:p>
        </w:tc>
        <w:tc>
          <w:tcPr>
            <w:tcW w:type="dxa" w:w="1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Effective</w:t>
            </w:r>
          </w:p>
        </w:tc>
        <w:tc>
          <w:tcPr>
            <w:tcW w:type="dxa" w:w="17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8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Tokenized securities remain subject to securities regulation (Uyeda)</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2026-02-09</w:t>
            </w:r>
          </w:p>
        </w:tc>
        <w:tc>
          <w:tcPr>
            <w:tcW w:type="dxa" w:w="17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In effect (speech)</w:t>
            </w:r>
          </w:p>
        </w:tc>
        <w:tc>
          <w:tcPr>
            <w:tcW w:type="dxa" w:w="3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Sets expectation that tokenization does not avoid securities custody/compliance obligations.</w:t>
            </w:r>
          </w:p>
        </w:tc>
      </w:tr>
      <w:tr>
        <w:tc>
          <w:tcPr>
            <w:tcW w:type="dxa" w:w="2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 Crypto Task Force (Peirce lead; public engagement planned)</w:t>
            </w:r>
          </w:p>
        </w:tc>
        <w:tc>
          <w:tcPr>
            <w:tcW w:type="dxa" w:w="1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2026-02-09</w:t>
            </w:r>
          </w:p>
        </w:tc>
        <w:tc>
          <w:tcPr>
            <w:tcW w:type="dxa" w:w="17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In effect (initiative)</w:t>
            </w:r>
          </w:p>
        </w:tc>
        <w:tc>
          <w:tcPr>
            <w:tcW w:type="dxa" w:w="38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Signals ongoing SEC work to draw lines between securities/non-securities impacting custody models.</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SEC–CFTC Harmonization Initiative</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2026-02-09</w:t>
            </w:r>
          </w:p>
        </w:tc>
        <w:tc>
          <w:tcPr>
            <w:tcW w:type="dxa" w:w="17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In effect (initiative)</w:t>
            </w:r>
          </w:p>
        </w:tc>
        <w:tc>
          <w:tcPr>
            <w:tcW w:type="dxa" w:w="3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Increases likelihood of joint frameworks affecting on-chain activity and custody expectations.</w:t>
            </w:r>
          </w:p>
        </w:tc>
      </w:tr>
    </w:tbl>
    <w:p>
      <w:pPr>
        <w:spacing w:before="160" w:after="40"/>
      </w:pPr>
    </w:p>
    <w:p>
      <w:r>
        <w:rPr>
          <w:rFonts w:ascii="Arial" w:cs="Arial" w:eastAsia="Arial" w:hAnsi="Arial"/>
          <w:b/>
          <w:bCs/>
          <w:sz w:val="20"/>
          <w:szCs w:val="20"/>
        </w:rPr>
        <w:t xml:space="preserve">Pending Developments: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rPr>
          <w:tblHeader/>
        </w:trPr>
        <w:tc>
          <w:tcPr>
            <w:tcW w:type="dxa" w:w="52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Development</w:t>
            </w:r>
          </w:p>
        </w:tc>
        <w:tc>
          <w:tcPr>
            <w:tcW w:type="dxa" w:w="22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9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Confidence</w:t>
            </w:r>
          </w:p>
        </w:tc>
      </w:tr>
      <w:tr>
        <w:tc>
          <w:tcPr>
            <w:tcW w:type="dxa" w:w="5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Joint SEC–CFTC 'Project Crypto': token taxonomy + potential on-chain exemptions</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TBD</w:t>
            </w:r>
          </w:p>
        </w:tc>
        <w:tc>
          <w:tcPr>
            <w:tcW w:type="dxa" w:w="1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5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Corp Fin interpretive guidance: crypto asset taxonomy + investment contract framework</w:t>
            </w:r>
          </w:p>
        </w:tc>
        <w:tc>
          <w:tcPr>
            <w:tcW w:type="dxa" w:w="2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TBD</w:t>
            </w:r>
          </w:p>
        </w:tc>
        <w:tc>
          <w:tcPr>
            <w:tcW w:type="dxa" w:w="19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5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FICC/CME cross-margining rule change and exemptive petitions</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TBD</w:t>
            </w:r>
          </w:p>
        </w:tc>
        <w:tc>
          <w:tcPr>
            <w:tcW w:type="dxa" w:w="1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5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Section 16(a) compliance for FPI officers/directors</w:t>
            </w:r>
          </w:p>
        </w:tc>
        <w:tc>
          <w:tcPr>
            <w:tcW w:type="dxa" w:w="2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2026-03-18</w:t>
            </w:r>
          </w:p>
        </w:tc>
        <w:tc>
          <w:tcPr>
            <w:tcW w:type="dxa" w:w="19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High</w:t>
            </w:r>
          </w:p>
        </w:tc>
      </w:tr>
    </w:tbl>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ENFORCEMENT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260"/>
        <w:gridCol w:w="1900"/>
      </w:tblGrid>
      <w:tr>
        <w:trPr>
          <w:tblHeader/>
        </w:trPr>
        <w:tc>
          <w:tcPr>
            <w:tcW w:type="dxa" w:w="2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Case</w:t>
            </w:r>
          </w:p>
        </w:tc>
        <w:tc>
          <w:tcPr>
            <w:tcW w:type="dxa" w:w="18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2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19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Next Event</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v. Gessin (LR-26481)</w:t>
            </w:r>
          </w:p>
        </w:tc>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Final default judgments</w:t>
            </w:r>
          </w:p>
        </w:tc>
        <w:tc>
          <w:tcPr>
            <w:tcW w:type="dxa" w:w="32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Misappropriation of investor funds; permanent injunctions; disgorgement</w:t>
            </w:r>
          </w:p>
        </w:tc>
        <w:tc>
          <w:tcPr>
            <w:tcW w:type="dxa" w:w="19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Collection/distribution TBD</w:t>
            </w:r>
          </w:p>
        </w:tc>
      </w:tr>
      <w:tr>
        <w:tc>
          <w:tcPr>
            <w:tcW w:type="dxa" w:w="2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Barrington / Paris (34-104793)</w:t>
            </w:r>
          </w:p>
        </w:tc>
        <w:tc>
          <w:tcPr>
            <w:tcW w:type="dxa" w:w="18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Settled admin order; C&amp;D; disgorgement</w:t>
            </w:r>
          </w:p>
        </w:tc>
        <w:tc>
          <w:tcPr>
            <w:tcW w:type="dxa" w:w="32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Omnibus trading; unfair allocations; Form ADV control misstatements</w:t>
            </w:r>
          </w:p>
        </w:tc>
        <w:tc>
          <w:tcPr>
            <w:tcW w:type="dxa" w:w="19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Suspension effective second Monday after entry</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Trial of Ismael Sanchez (CryptoFX)</w:t>
            </w:r>
          </w:p>
        </w:tc>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Jury verdict for SEC</w:t>
            </w:r>
          </w:p>
        </w:tc>
        <w:tc>
          <w:tcPr>
            <w:tcW w:type="dxa" w:w="32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Fraud/registration violations tied to alleged Ponzi scheme</w:t>
            </w:r>
          </w:p>
        </w:tc>
        <w:tc>
          <w:tcPr>
            <w:tcW w:type="dxa" w:w="19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Remedies TBD</w:t>
            </w:r>
          </w:p>
        </w:tc>
      </w:tr>
    </w:tbl>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COMPLIANCE ACTION ITEMS</w:t>
      </w:r>
    </w:p>
    <w:p>
      <w:pPr>
        <w:pStyle w:val="ListParagraph"/>
        <w:numPr>
          <w:ilvl w:val="0"/>
          <w:numId w:val="3"/>
        </w:numPr>
      </w:pPr>
      <w:r>
        <w:rPr>
          <w:rFonts w:ascii="Arial" w:cs="Arial" w:eastAsia="Arial" w:hAnsi="Arial"/>
          <w:sz w:val="20"/>
          <w:szCs w:val="20"/>
        </w:rPr>
        <w:t xml:space="preserve">Build a token classification inventory (by product/service line) and flag where a future 'security' determination would change custody obligations.</w:t>
      </w:r>
    </w:p>
    <w:p>
      <w:pPr>
        <w:pStyle w:val="ListParagraph"/>
        <w:numPr>
          <w:ilvl w:val="0"/>
          <w:numId w:val="3"/>
        </w:numPr>
      </w:pPr>
      <w:r>
        <w:rPr>
          <w:rFonts w:ascii="Arial" w:cs="Arial" w:eastAsia="Arial" w:hAnsi="Arial"/>
          <w:sz w:val="20"/>
          <w:szCs w:val="20"/>
        </w:rPr>
        <w:t xml:space="preserve">Stress-test omnibus/pooled workflows: document allocation logic, access rights, and audit trails; reconcile client entitlements end-to-end.</w:t>
      </w:r>
    </w:p>
    <w:p>
      <w:pPr>
        <w:pStyle w:val="ListParagraph"/>
        <w:numPr>
          <w:ilvl w:val="0"/>
          <w:numId w:val="3"/>
        </w:numPr>
      </w:pPr>
      <w:r>
        <w:rPr>
          <w:rFonts w:ascii="Arial" w:cs="Arial" w:eastAsia="Arial" w:hAnsi="Arial"/>
          <w:sz w:val="20"/>
          <w:szCs w:val="20"/>
        </w:rPr>
        <w:t xml:space="preserve">Re-validate marketing and disclosure accuracy about custody controls. Don't describe reviews you do not actually perform.</w:t>
      </w:r>
    </w:p>
    <w:p>
      <w:pPr>
        <w:pStyle w:val="ListParagraph"/>
        <w:numPr>
          <w:ilvl w:val="0"/>
          <w:numId w:val="3"/>
        </w:numPr>
      </w:pPr>
      <w:r>
        <w:rPr>
          <w:rFonts w:ascii="Arial" w:cs="Arial" w:eastAsia="Arial" w:hAnsi="Arial"/>
          <w:sz w:val="20"/>
          <w:szCs w:val="20"/>
        </w:rPr>
        <w:t xml:space="preserve">Reassess misappropriation controls (dual control, approvals, monitoring, exception reporting) and ensure you can respond rapidly to legal process.</w:t>
      </w:r>
    </w:p>
    <w:p>
      <w:pPr>
        <w:pStyle w:val="ListParagraph"/>
        <w:numPr>
          <w:ilvl w:val="0"/>
          <w:numId w:val="3"/>
        </w:numPr>
      </w:pPr>
      <w:r>
        <w:rPr>
          <w:rFonts w:ascii="Arial" w:cs="Arial" w:eastAsia="Arial" w:hAnsi="Arial"/>
          <w:sz w:val="20"/>
          <w:szCs w:val="20"/>
        </w:rPr>
        <w:t xml:space="preserve">Consider submitting written input to SEC engagement channels tied to harmonization/taxonomy efforts, focusing on custody mechanics.</w:t>
      </w:r>
    </w:p>
    <w:p>
      <w:r>
        <w:br w:type="page"/>
      </w:r>
    </w:p>
    <w:p>
      <w:pPr>
        <w:shd w:fill="0B2447" w:val="clear"/>
        <w:spacing w:before="0" w:after="0"/>
        <w:jc w:val="center"/>
      </w:pPr>
      <w:r>
        <w:rPr>
          <w:rFonts w:ascii="Arial" w:cs="Arial" w:eastAsia="Arial" w:hAnsi="Arial"/>
          <w:b/>
          <w:bCs/>
          <w:color w:val="FFFFFF"/>
          <w:sz w:val="36"/>
          <w:szCs w:val="36"/>
        </w:rPr>
        <w:t xml:space="preserve">🔐 CUSTODY INTELLIGENCE WEEKLY</w:t>
      </w:r>
    </w:p>
    <w:p>
      <w:pPr>
        <w:shd w:fill="0B2447" w:val="clear"/>
        <w:spacing w:before="0" w:after="0"/>
        <w:jc w:val="center"/>
      </w:pPr>
      <w:r>
        <w:rPr>
          <w:rFonts w:ascii="Arial" w:cs="Arial" w:eastAsia="Arial" w:hAnsi="Arial"/>
          <w:color w:val="D5E8F0"/>
          <w:sz w:val="22"/>
          <w:szCs w:val="22"/>
        </w:rPr>
        <w:t xml:space="preserve">The Regulatory Digest for Crypto Custodians</w:t>
      </w:r>
    </w:p>
    <w:p>
      <w:pPr>
        <w:shd w:fill="E8A317" w:val="clear"/>
        <w:spacing w:before="0" w:after="200"/>
        <w:jc w:val="center"/>
      </w:pPr>
      <w:r>
        <w:rPr>
          <w:rFonts w:ascii="Arial" w:cs="Arial" w:eastAsia="Arial" w:hAnsi="Arial"/>
          <w:b/>
          <w:bCs/>
          <w:color w:val="0B2447"/>
          <w:sz w:val="22"/>
          <w:szCs w:val="22"/>
        </w:rPr>
        <w:t xml:space="preserve">  Week of Feb 16 – Feb 22, 2026  |  Issue #4  </w:t>
      </w:r>
    </w:p>
    <w:p>
      <w:r>
        <w:rPr>
          <w:rFonts w:ascii="Arial" w:cs="Arial" w:eastAsia="Arial" w:hAnsi="Arial"/>
          <w:i/>
          <w:iCs/>
          <w:sz w:val="20"/>
          <w:szCs w:val="20"/>
        </w:rPr>
        <w:t xml:space="preserve">This week, the SEC (i) signaled a lower net-capital haircut path for certain payment stablecoins, (ii) previewed broker-dealer custody rulemaking for non-security crypto assets (including payment stablecoins), and (iii) expanded its crypto-policy posture via the Crypto Task Force and SEC–CFTC harmonization initiative.</w:t>
      </w:r>
    </w:p>
    <w:p>
      <w:pPr>
        <w:spacing w:before="120" w:after="120"/>
      </w:pPr>
    </w:p>
    <w:p>
      <w:pPr>
        <w:pStyle w:val="Heading2"/>
        <w:spacing w:before="200" w:after="100"/>
      </w:pPr>
      <w:r>
        <w:rPr>
          <w:rFonts w:ascii="Arial" w:cs="Arial" w:eastAsia="Arial" w:hAnsi="Arial"/>
          <w:b/>
          <w:bCs/>
          <w:color w:val="0B2447"/>
          <w:sz w:val="24"/>
          <w:szCs w:val="24"/>
        </w:rPr>
        <w:t xml:space="preserv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33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This Week</w:t>
            </w:r>
          </w:p>
        </w:tc>
      </w:tr>
      <w:tr>
        <w:tc>
          <w:tcPr>
            <w:tcW w:type="dxa" w:w="6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custody-related releases</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6</w:t>
            </w:r>
          </w:p>
        </w:tc>
      </w:tr>
      <w:tr>
        <w:tc>
          <w:tcPr>
            <w:tcW w:type="dxa" w:w="60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CFTC custody/collateral releases</w:t>
            </w:r>
          </w:p>
        </w:tc>
        <w:tc>
          <w:tcPr>
            <w:tcW w:type="dxa" w:w="33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0</w:t>
            </w:r>
          </w:p>
        </w:tc>
      </w:tr>
      <w:tr>
        <w:tc>
          <w:tcPr>
            <w:tcW w:type="dxa" w:w="6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No-action letters</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60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Enforcement actions (custody)</w:t>
            </w:r>
          </w:p>
        </w:tc>
        <w:tc>
          <w:tcPr>
            <w:tcW w:type="dxa" w:w="33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3</w:t>
            </w:r>
          </w:p>
        </w:tc>
      </w:tr>
      <w:tr>
        <w:tc>
          <w:tcPr>
            <w:tcW w:type="dxa" w:w="6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Banking regulator guidance</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bl>
    <w:p>
      <w:pPr>
        <w:spacing w:before="80" w:after="80"/>
      </w:pPr>
    </w:p>
    <w:p>
      <w:r>
        <w:rPr>
          <w:rFonts w:ascii="Arial" w:cs="Arial" w:eastAsia="Arial" w:hAnsi="Arial"/>
          <w:i/>
          <w:iCs/>
          <w:sz w:val="20"/>
          <w:szCs w:val="20"/>
        </w:rPr>
        <w:t xml:space="preserve">Bottom Line: The SEC is actively lowering friction for regulated stablecoin usage (net capital), while signaling new custody frameworks for broker-dealers holding non-security crypto assets. Enforcement continues to punish weak controls over investor money movement.</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TOP STORIES</w:t>
      </w:r>
    </w:p>
    <w:p>
      <w:pPr>
        <w:spacing w:before="120" w:after="40"/>
      </w:pPr>
      <w:r>
        <w:rPr>
          <w:rFonts w:ascii="Arial" w:cs="Arial" w:eastAsia="Arial" w:hAnsi="Arial"/>
          <w:b/>
          <w:bCs/>
          <w:color w:val="0B2447"/>
          <w:sz w:val="20"/>
          <w:szCs w:val="20"/>
        </w:rPr>
        <w:t xml:space="preserve">1. Trading &amp; Markets Staff: '2% Haircut' Treatment for Proprietary Payment Stablecoins Under BD Net Capital (Feb 19, 2026)</w:t>
      </w:r>
    </w:p>
    <w:p>
      <w:r>
        <w:rPr>
          <w:rFonts w:ascii="Arial" w:cs="Arial" w:eastAsia="Arial" w:hAnsi="Arial"/>
          <w:sz w:val="20"/>
          <w:szCs w:val="20"/>
        </w:rPr>
        <w:t xml:space="preserve">SEC Division of Trading &amp; Markets staff issued an FAQ on applying Exchange Act Rule 15c3-1 to 'payment stablecoins,' and staff 'would not object' if a broker-dealer applies a 2% haircut to proprietary payment stablecoin positions when calculating net capital. Commissioner Peirce praised the approach—noting some broker-dealers had proposed a 100% haircut—and urged consideration of amending Rule 15c3-1 to address payment stablecoins more formally.</w:t>
      </w:r>
    </w:p>
    <w:p>
      <w:r>
        <w:rPr>
          <w:rFonts w:ascii="Arial" w:cs="Arial" w:eastAsia="Arial" w:hAnsi="Arial"/>
          <w:sz w:val="20"/>
          <w:szCs w:val="20"/>
        </w:rPr>
        <w:t xml:space="preserve">The staff FAQ's 'payment stablecoin' definition ties eligibility to issuer regulation, reserve composition, redemption/disclosure policies, and monthly attestations, with differences pre- vs. post-effective date of the GENIUS Act.</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A staff non-objection at 2% materially reduces the capital penalty versus 100%, making regulated broker-dealer stablecoin usage (e.g., settlement rails around tokenized securities) more feasible.</w:t>
      </w:r>
    </w:p>
    <w:p>
      <w:pPr>
        <w:pStyle w:val="ListParagraph"/>
        <w:numPr>
          <w:ilvl w:val="0"/>
          <w:numId w:val="2"/>
        </w:numPr>
        <w:ind w:left="720" w:hanging="360"/>
      </w:pPr>
      <w:r>
        <w:rPr>
          <w:rFonts w:ascii="Arial" w:cs="Arial" w:eastAsia="Arial" w:hAnsi="Arial"/>
          <w:sz w:val="20"/>
          <w:szCs w:val="20"/>
        </w:rPr>
        <w:t xml:space="preserve">The eligibility conditions function like a practical 'allow-list' concept: firms may treat stablecoins differently depending on whether they match the SEC staff's definitional criteria.</w:t>
      </w:r>
    </w:p>
    <w:p>
      <w:pPr>
        <w:spacing w:before="120" w:after="40"/>
      </w:pPr>
    </w:p>
    <w:p>
      <w:pPr>
        <w:spacing w:before="120" w:after="40"/>
      </w:pPr>
      <w:r>
        <w:rPr>
          <w:rFonts w:ascii="Arial" w:cs="Arial" w:eastAsia="Arial" w:hAnsi="Arial"/>
          <w:b/>
          <w:bCs/>
          <w:color w:val="0B2447"/>
          <w:sz w:val="20"/>
          <w:szCs w:val="20"/>
        </w:rPr>
        <w:t xml:space="preserve">2. SEC Leadership Previews Broker-Dealer Custody Rulemaking for Non-Security Crypto Assets (Feb 18, 2026 — ETHDenver)</w:t>
      </w:r>
    </w:p>
    <w:p>
      <w:r>
        <w:rPr>
          <w:rFonts w:ascii="Arial" w:cs="Arial" w:eastAsia="Arial" w:hAnsi="Arial"/>
          <w:sz w:val="20"/>
          <w:szCs w:val="20"/>
        </w:rPr>
        <w:t xml:space="preserve">Chairman Atkins and Commissioner Peirce previewed forthcoming SEC work including rulemaking on custody of non-security crypto assets (including payment stablecoins) by broker-dealers. They also described planned outputs: a Commission framework for investment-contract analysis, consideration of an innovation exemption for limited tokenized-securities trading, transfer agent modernization to accommodate blockchain recordkeeping, and additional no-action letters/exemptive orders (including on wallets/UIs).</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This is a direct 'heads-up' that the SEC wants a defined pathway for broker-dealers to custody assets that are not securities—closing a long-standing gap where custody expectations were clearer for securities than for broader crypto activity.</w:t>
      </w:r>
    </w:p>
    <w:p>
      <w:pPr>
        <w:pStyle w:val="ListParagraph"/>
        <w:numPr>
          <w:ilvl w:val="0"/>
          <w:numId w:val="2"/>
        </w:numPr>
        <w:ind w:left="720" w:hanging="360"/>
      </w:pPr>
      <w:r>
        <w:rPr>
          <w:rFonts w:ascii="Arial" w:cs="Arial" w:eastAsia="Arial" w:hAnsi="Arial"/>
          <w:sz w:val="20"/>
          <w:szCs w:val="20"/>
        </w:rPr>
        <w:t xml:space="preserve">Wallet and UI relief (via no-action/exemptive tools) could materially change who can provide 'custody-adjacent' services without triggering Exchange Act registration.</w:t>
      </w:r>
    </w:p>
    <w:p>
      <w:pPr>
        <w:spacing w:before="120" w:after="40"/>
      </w:pPr>
    </w:p>
    <w:p>
      <w:pPr>
        <w:spacing w:before="120" w:after="40"/>
      </w:pPr>
      <w:r>
        <w:rPr>
          <w:rFonts w:ascii="Arial" w:cs="Arial" w:eastAsia="Arial" w:hAnsi="Arial"/>
          <w:b/>
          <w:bCs/>
          <w:color w:val="0B2447"/>
          <w:sz w:val="20"/>
          <w:szCs w:val="20"/>
        </w:rPr>
        <w:t xml:space="preserve">3. SEC Formalizes Crypto Task Force + Expands SEC–CFTC Harmonization Channel (Feb 16, 2026)</w:t>
      </w:r>
    </w:p>
    <w:p>
      <w:r>
        <w:rPr>
          <w:rFonts w:ascii="Arial" w:cs="Arial" w:eastAsia="Arial" w:hAnsi="Arial"/>
          <w:sz w:val="20"/>
          <w:szCs w:val="20"/>
        </w:rPr>
        <w:t xml:space="preserve">Commissioner Peirce is designated to lead the Crypto Task Force. The SEC–CFTC Harmonization Initiative aims to coordinate and reduce duplicative regulation, clarify jurisdictional boundaries, and engage stakeholders. For custody specifically, this increases the probability of clearer 'who can hold what' lines—especially for hybrid models involving tokenized securities plus spot commodities/derivatives.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REGULATORY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700"/>
        <w:gridCol w:w="3660"/>
      </w:tblGrid>
      <w:tr>
        <w:trPr>
          <w:tblHeader/>
        </w:trPr>
        <w:tc>
          <w:tcPr>
            <w:tcW w:type="dxa" w:w="26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Guidance</w:t>
            </w:r>
          </w:p>
        </w:tc>
        <w:tc>
          <w:tcPr>
            <w:tcW w:type="dxa" w:w="1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Effective</w:t>
            </w:r>
          </w:p>
        </w:tc>
        <w:tc>
          <w:tcPr>
            <w:tcW w:type="dxa" w:w="17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6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Trading &amp; Markets staff FAQ: 2% net capital haircut for payment stablecoins</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2026-02-19</w:t>
            </w:r>
          </w:p>
        </w:tc>
        <w:tc>
          <w:tcPr>
            <w:tcW w:type="dxa" w:w="17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Staff FAQ / non-objection posture</w:t>
            </w:r>
          </w:p>
        </w:tc>
        <w:tc>
          <w:tcPr>
            <w:tcW w:type="dxa" w:w="36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Lowers BD capital friction; increases diligence pressure around issuer/reserves/attestations.</w:t>
            </w:r>
          </w:p>
        </w:tc>
      </w:tr>
      <w:tr>
        <w:tc>
          <w:tcPr>
            <w:tcW w:type="dxa" w:w="26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 Crypto Task Force (led by Commissioner Peirce)</w:t>
            </w:r>
          </w:p>
        </w:tc>
        <w:tc>
          <w:tcPr>
            <w:tcW w:type="dxa" w:w="1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2026-02-16</w:t>
            </w:r>
          </w:p>
        </w:tc>
        <w:tc>
          <w:tcPr>
            <w:tcW w:type="dxa" w:w="17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Active</w:t>
            </w:r>
          </w:p>
        </w:tc>
        <w:tc>
          <w:tcPr>
            <w:tcW w:type="dxa" w:w="36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Centralizes SEC crypto policy; likely accelerates classification clarity and registration pathway work.</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SEC–CFTC Harmonization Initiative</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2026-02-16</w:t>
            </w:r>
          </w:p>
        </w:tc>
        <w:tc>
          <w:tcPr>
            <w:tcW w:type="dxa" w:w="17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Active</w:t>
            </w:r>
          </w:p>
        </w:tc>
        <w:tc>
          <w:tcPr>
            <w:tcW w:type="dxa" w:w="36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Potential to reduce conflicting custody/segregation expectations across regimes.</w:t>
            </w:r>
          </w:p>
        </w:tc>
      </w:tr>
      <w:tr>
        <w:tc>
          <w:tcPr>
            <w:tcW w:type="dxa" w:w="26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Names Rule / Form N-PORT compliance date extension</w:t>
            </w:r>
          </w:p>
        </w:tc>
        <w:tc>
          <w:tcPr>
            <w:tcW w:type="dxa" w:w="1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2026-02-18</w:t>
            </w:r>
          </w:p>
        </w:tc>
        <w:tc>
          <w:tcPr>
            <w:tcW w:type="dxa" w:w="17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Final (extension)</w:t>
            </w:r>
          </w:p>
        </w:tc>
        <w:tc>
          <w:tcPr>
            <w:tcW w:type="dxa" w:w="36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Delays certain standardized '80% basket' reporting fields; reduces near-term build burden.</w:t>
            </w:r>
          </w:p>
        </w:tc>
      </w:tr>
    </w:tbl>
    <w:p>
      <w:pPr>
        <w:spacing w:before="160" w:after="40"/>
      </w:pPr>
    </w:p>
    <w:p>
      <w:r>
        <w:rPr>
          <w:rFonts w:ascii="Arial" w:cs="Arial" w:eastAsia="Arial" w:hAnsi="Arial"/>
          <w:b/>
          <w:bCs/>
          <w:sz w:val="20"/>
          <w:szCs w:val="20"/>
        </w:rPr>
        <w:t xml:space="preserve">Pending Developments: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rPr>
          <w:tblHeader/>
        </w:trPr>
        <w:tc>
          <w:tcPr>
            <w:tcW w:type="dxa" w:w="52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Development</w:t>
            </w:r>
          </w:p>
        </w:tc>
        <w:tc>
          <w:tcPr>
            <w:tcW w:type="dxa" w:w="22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9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Confidence</w:t>
            </w:r>
          </w:p>
        </w:tc>
      </w:tr>
      <w:tr>
        <w:tc>
          <w:tcPr>
            <w:tcW w:type="dxa" w:w="5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rulemaking on broker-dealer custody of non-security crypto assets (incl. payment stablecoins)</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TBD</w:t>
            </w:r>
          </w:p>
        </w:tc>
        <w:tc>
          <w:tcPr>
            <w:tcW w:type="dxa" w:w="1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5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Potential amendment of Exchange Act Rule 15c3-1 to formally address payment stablecoins</w:t>
            </w:r>
          </w:p>
        </w:tc>
        <w:tc>
          <w:tcPr>
            <w:tcW w:type="dxa" w:w="2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TBD</w:t>
            </w:r>
          </w:p>
        </w:tc>
        <w:tc>
          <w:tcPr>
            <w:tcW w:type="dxa" w:w="19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5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Innovation exemption for limited tokenized-securities trading</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TBD</w:t>
            </w:r>
          </w:p>
        </w:tc>
        <w:tc>
          <w:tcPr>
            <w:tcW w:type="dxa" w:w="1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5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Transfer agent modernization to accommodate blockchain recordkeeping</w:t>
            </w:r>
          </w:p>
        </w:tc>
        <w:tc>
          <w:tcPr>
            <w:tcW w:type="dxa" w:w="2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TBD</w:t>
            </w:r>
          </w:p>
        </w:tc>
        <w:tc>
          <w:tcPr>
            <w:tcW w:type="dxa" w:w="19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Medium</w:t>
            </w:r>
          </w:p>
        </w:tc>
      </w:tr>
    </w:tbl>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ENFORCEMENT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Case</w:t>
            </w:r>
          </w:p>
        </w:tc>
        <w:tc>
          <w:tcPr>
            <w:tcW w:type="dxa" w:w="18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51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v. C-Hear, Inc. (LR-26486)</w:t>
            </w:r>
          </w:p>
        </w:tc>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Filed</w:t>
            </w:r>
          </w:p>
        </w:tc>
        <w:tc>
          <w:tcPr>
            <w:tcW w:type="dxa" w:w="51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Alleged investor-fund misdirection to unauthorized bank accounts and misappropriation.</w:t>
            </w:r>
          </w:p>
        </w:tc>
      </w:tr>
      <w:tr>
        <w:tc>
          <w:tcPr>
            <w:tcW w:type="dxa" w:w="2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 v. Saumil Thakkar (LR-26483)</w:t>
            </w:r>
          </w:p>
        </w:tc>
        <w:tc>
          <w:tcPr>
            <w:tcW w:type="dxa" w:w="18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Filed</w:t>
            </w:r>
          </w:p>
        </w:tc>
        <w:tc>
          <w:tcPr>
            <w:tcW w:type="dxa" w:w="51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Alleged private fund offering fraud; undisclosed related-party arrangements and affiliate payments.</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Bluesky Eagle Capital Management (LR-26484)</w:t>
            </w:r>
          </w:p>
        </w:tc>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Final judgment (default)</w:t>
            </w:r>
          </w:p>
        </w:tc>
        <w:tc>
          <w:tcPr>
            <w:tcW w:type="dxa" w:w="51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Alleged false Form ADV statements and failure to produce records.</w:t>
            </w:r>
          </w:p>
        </w:tc>
      </w:tr>
    </w:tbl>
    <w:p>
      <w:pPr>
        <w:spacing w:before="80" w:after="80"/>
      </w:pPr>
    </w:p>
    <w:p>
      <w:r>
        <w:rPr>
          <w:rFonts w:ascii="Arial" w:cs="Arial" w:eastAsia="Arial" w:hAnsi="Arial"/>
          <w:i/>
          <w:iCs/>
          <w:sz w:val="20"/>
          <w:szCs w:val="20"/>
        </w:rPr>
        <w:t xml:space="preserve">Trends: Regulators continue to focus on authority, verified destination accounts, segregation, and substantiation—the same pillars auditors and regulated counterparties will demand for crypto custody.</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COMPLIANCE ACTION ITEMS</w:t>
      </w:r>
    </w:p>
    <w:p>
      <w:pPr>
        <w:pStyle w:val="ListParagraph"/>
        <w:numPr>
          <w:ilvl w:val="0"/>
          <w:numId w:val="3"/>
        </w:numPr>
      </w:pPr>
      <w:r>
        <w:rPr>
          <w:rFonts w:ascii="Arial" w:cs="Arial" w:eastAsia="Arial" w:hAnsi="Arial"/>
          <w:sz w:val="20"/>
          <w:szCs w:val="20"/>
        </w:rPr>
        <w:t xml:space="preserve">Broker-dealers: recalculate net capital impacts of moving from internal 100% stablecoin haircuts toward the 2% staff non-objection posture—but only for stablecoins that match the staff 'payment stablecoin' definition.</w:t>
      </w:r>
    </w:p>
    <w:p>
      <w:pPr>
        <w:pStyle w:val="ListParagraph"/>
        <w:numPr>
          <w:ilvl w:val="0"/>
          <w:numId w:val="3"/>
        </w:numPr>
      </w:pPr>
      <w:r>
        <w:rPr>
          <w:rFonts w:ascii="Arial" w:cs="Arial" w:eastAsia="Arial" w:hAnsi="Arial"/>
          <w:sz w:val="20"/>
          <w:szCs w:val="20"/>
        </w:rPr>
        <w:t xml:space="preserve">All custodians (banks/trusts + crypto-native): build an 'evidence packet' for stablecoin eligibility: issuer regulatory status, reserve composition, redemption policy disclosures, and monthly attestation availability.</w:t>
      </w:r>
    </w:p>
    <w:p>
      <w:pPr>
        <w:pStyle w:val="ListParagraph"/>
        <w:numPr>
          <w:ilvl w:val="0"/>
          <w:numId w:val="3"/>
        </w:numPr>
      </w:pPr>
      <w:r>
        <w:rPr>
          <w:rFonts w:ascii="Arial" w:cs="Arial" w:eastAsia="Arial" w:hAnsi="Arial"/>
          <w:sz w:val="20"/>
          <w:szCs w:val="20"/>
        </w:rPr>
        <w:t xml:space="preserve">Custody product / legal: draft a short written-input outline for the SEC on (i) custody of non-security crypto assets by broker-dealers, and (ii) practical control standards for keys, approvals, and incident response.</w:t>
      </w:r>
    </w:p>
    <w:p>
      <w:pPr>
        <w:pStyle w:val="ListParagraph"/>
        <w:numPr>
          <w:ilvl w:val="0"/>
          <w:numId w:val="3"/>
        </w:numPr>
      </w:pPr>
      <w:r>
        <w:rPr>
          <w:rFonts w:ascii="Arial" w:cs="Arial" w:eastAsia="Arial" w:hAnsi="Arial"/>
          <w:sz w:val="20"/>
          <w:szCs w:val="20"/>
        </w:rPr>
        <w:t xml:space="preserve">Onboarding/operations (all intermediaries): strengthen 'authorized destination' controls (verified accounts/wallets, entity authority documents, dual-approval, and exception escalation).</w:t>
      </w:r>
    </w:p>
    <w:p>
      <w:pPr>
        <w:pStyle w:val="ListParagraph"/>
        <w:numPr>
          <w:ilvl w:val="0"/>
          <w:numId w:val="3"/>
        </w:numPr>
      </w:pPr>
      <w:r>
        <w:rPr>
          <w:rFonts w:ascii="Arial" w:cs="Arial" w:eastAsia="Arial" w:hAnsi="Arial"/>
          <w:sz w:val="20"/>
          <w:szCs w:val="20"/>
        </w:rPr>
        <w:t xml:space="preserve">Counterparty diligence: validate adviser/fund counterparties' core representations (e.g., filings/addresses/status) and retention of substantiating records.</w:t>
      </w:r>
    </w:p>
    <w:p>
      <w:r>
        <w:br w:type="page"/>
      </w:r>
    </w:p>
    <w:p>
      <w:pPr>
        <w:shd w:fill="0B2447" w:val="clear"/>
        <w:spacing w:before="0" w:after="0"/>
        <w:jc w:val="center"/>
      </w:pPr>
      <w:r>
        <w:rPr>
          <w:rFonts w:ascii="Arial" w:cs="Arial" w:eastAsia="Arial" w:hAnsi="Arial"/>
          <w:b/>
          <w:bCs/>
          <w:color w:val="FFFFFF"/>
          <w:sz w:val="36"/>
          <w:szCs w:val="36"/>
        </w:rPr>
        <w:t xml:space="preserve">🔐 CUSTODY INTELLIGENCE WEEKLY</w:t>
      </w:r>
    </w:p>
    <w:p>
      <w:pPr>
        <w:shd w:fill="0B2447" w:val="clear"/>
        <w:spacing w:before="0" w:after="0"/>
        <w:jc w:val="center"/>
      </w:pPr>
      <w:r>
        <w:rPr>
          <w:rFonts w:ascii="Arial" w:cs="Arial" w:eastAsia="Arial" w:hAnsi="Arial"/>
          <w:color w:val="D5E8F0"/>
          <w:sz w:val="22"/>
          <w:szCs w:val="22"/>
        </w:rPr>
        <w:t xml:space="preserve">The Regulatory Digest for Crypto Custodians</w:t>
      </w:r>
    </w:p>
    <w:p>
      <w:pPr>
        <w:shd w:fill="E8A317" w:val="clear"/>
        <w:spacing w:before="0" w:after="200"/>
        <w:jc w:val="center"/>
      </w:pPr>
      <w:r>
        <w:rPr>
          <w:rFonts w:ascii="Arial" w:cs="Arial" w:eastAsia="Arial" w:hAnsi="Arial"/>
          <w:b/>
          <w:bCs/>
          <w:color w:val="0B2447"/>
          <w:sz w:val="22"/>
          <w:szCs w:val="22"/>
        </w:rPr>
        <w:t xml:space="preserve">  Week of Feb 23 – Mar 1, 2026  |  Issue #5  </w:t>
      </w:r>
    </w:p>
    <w:p>
      <w:r>
        <w:rPr>
          <w:rFonts w:ascii="Arial" w:cs="Arial" w:eastAsia="Arial" w:hAnsi="Arial"/>
          <w:i/>
          <w:iCs/>
          <w:sz w:val="20"/>
          <w:szCs w:val="20"/>
        </w:rPr>
        <w:t xml:space="preserve">This week combined (i) a final SEC rulemaking that operationally impacts custodians supporting foreign-issuer insiders, and (ii) multiple asset-safeguarding enforcement outcomes that reinforce segregation and transfer-control expectations.</w:t>
      </w:r>
    </w:p>
    <w:p>
      <w:pPr>
        <w:spacing w:before="120" w:after="120"/>
      </w:pPr>
    </w:p>
    <w:p>
      <w:pPr>
        <w:pStyle w:val="Heading2"/>
        <w:spacing w:before="200" w:after="100"/>
      </w:pPr>
      <w:r>
        <w:rPr>
          <w:rFonts w:ascii="Arial" w:cs="Arial" w:eastAsia="Arial" w:hAnsi="Arial"/>
          <w:b/>
          <w:bCs/>
          <w:color w:val="0B2447"/>
          <w:sz w:val="24"/>
          <w:szCs w:val="24"/>
        </w:rPr>
        <w:t xml:space="preserv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33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This Week</w:t>
            </w:r>
          </w:p>
        </w:tc>
      </w:tr>
      <w:tr>
        <w:tc>
          <w:tcPr>
            <w:tcW w:type="dxa" w:w="6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custody-related releases</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7</w:t>
            </w:r>
          </w:p>
        </w:tc>
      </w:tr>
      <w:tr>
        <w:tc>
          <w:tcPr>
            <w:tcW w:type="dxa" w:w="60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CFTC custody/collateral releases</w:t>
            </w:r>
          </w:p>
        </w:tc>
        <w:tc>
          <w:tcPr>
            <w:tcW w:type="dxa" w:w="33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0</w:t>
            </w:r>
          </w:p>
        </w:tc>
      </w:tr>
      <w:tr>
        <w:tc>
          <w:tcPr>
            <w:tcW w:type="dxa" w:w="6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No-action letters</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60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Enforcement actions (custody)</w:t>
            </w:r>
          </w:p>
        </w:tc>
        <w:tc>
          <w:tcPr>
            <w:tcW w:type="dxa" w:w="33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4</w:t>
            </w:r>
          </w:p>
        </w:tc>
      </w:tr>
      <w:tr>
        <w:tc>
          <w:tcPr>
            <w:tcW w:type="dxa" w:w="6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Banking regulator guidance</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0</w:t>
            </w:r>
          </w:p>
        </w:tc>
      </w:tr>
    </w:tbl>
    <w:p>
      <w:pPr>
        <w:spacing w:before="80" w:after="80"/>
      </w:pPr>
    </w:p>
    <w:p>
      <w:r>
        <w:rPr>
          <w:rFonts w:ascii="Arial" w:cs="Arial" w:eastAsia="Arial" w:hAnsi="Arial"/>
          <w:i/>
          <w:iCs/>
          <w:sz w:val="20"/>
          <w:szCs w:val="20"/>
        </w:rPr>
        <w:t xml:space="preserve">Bottom Line: The SEC raised the operational bar for record production and timelines (Enforcement Manual updates) and reinforced the basics of asset segregation and authorized movement controls through multiple fraud/asset-diversion resolutions.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TOP STORIES</w:t>
      </w:r>
    </w:p>
    <w:p>
      <w:pPr>
        <w:spacing w:before="120" w:after="40"/>
      </w:pPr>
      <w:r>
        <w:rPr>
          <w:rFonts w:ascii="Arial" w:cs="Arial" w:eastAsia="Arial" w:hAnsi="Arial"/>
          <w:b/>
          <w:bCs/>
          <w:color w:val="0B2447"/>
          <w:sz w:val="20"/>
          <w:szCs w:val="20"/>
        </w:rPr>
        <w:t xml:space="preserve">1. SEC Adopts Final HFIA Rules: Section 16 Reporting Now Applies to FPI Directors/Officers (Effective Mar 18, 2026)</w:t>
      </w:r>
    </w:p>
    <w:p>
      <w:r>
        <w:rPr>
          <w:rFonts w:ascii="Arial" w:cs="Arial" w:eastAsia="Arial" w:hAnsi="Arial"/>
          <w:sz w:val="20"/>
          <w:szCs w:val="20"/>
        </w:rPr>
        <w:t xml:space="preserve">The SEC adopted final rule and form amendments implementing the Holding Foreign Insiders Accountable Act (HFIA), requiring directors and officers of Exchange Act reporting foreign private issuers (FPIs) with Section 12-registered equity to file Section 16 reports electronically and in English, starting March 18, 2026. The SEC removed the prior blanket FPI exemption and replaced it with narrower exemptions limited to Section 16(b) (short-swing profits) and 16(c) (short sale prohibition). The Commission explicitly excludes 10% beneficial owners from these new HFIA Section 16 reporting obligations.</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Even though HFIA is a reporting rule, it creates custody-adjacent operational demands: custodians may need to generate auditable position and transaction histories quickly enough to support Section 16 workflows—especially where custody platforms sit between the insider and the executing broker.</w:t>
      </w:r>
    </w:p>
    <w:p>
      <w:r>
        <w:rPr>
          <w:rFonts w:ascii="Arial" w:cs="Arial" w:eastAsia="Arial" w:hAnsi="Arial"/>
          <w:b/>
          <w:bCs/>
          <w:sz w:val="20"/>
          <w:szCs w:val="20"/>
        </w:rPr>
        <w:t xml:space="preserve">Inference:</w:t>
      </w:r>
    </w:p>
    <w:p>
      <w:pPr>
        <w:pStyle w:val="ListParagraph"/>
        <w:numPr>
          <w:ilvl w:val="0"/>
          <w:numId w:val="2"/>
        </w:numPr>
        <w:ind w:left="720" w:hanging="360"/>
      </w:pPr>
      <w:r>
        <w:rPr>
          <w:rFonts w:ascii="Arial" w:cs="Arial" w:eastAsia="Arial" w:hAnsi="Arial"/>
          <w:sz w:val="20"/>
          <w:szCs w:val="20"/>
        </w:rPr>
        <w:t xml:space="preserve">Expect near-term requests from insider clients for 'custodian-verified' trade confirms/holdings snapshots suitable for EDGAR filing support, and heightened scrutiny of controls that assure the records are complete and tamper-resistant.</w:t>
      </w:r>
    </w:p>
    <w:p>
      <w:pPr>
        <w:spacing w:before="120" w:after="40"/>
      </w:pPr>
    </w:p>
    <w:p>
      <w:pPr>
        <w:spacing w:before="120" w:after="40"/>
      </w:pPr>
      <w:r>
        <w:rPr>
          <w:rFonts w:ascii="Arial" w:cs="Arial" w:eastAsia="Arial" w:hAnsi="Arial"/>
          <w:b/>
          <w:bCs/>
          <w:color w:val="0B2447"/>
          <w:sz w:val="20"/>
          <w:szCs w:val="20"/>
        </w:rPr>
        <w:t xml:space="preserve">2. SEC Enforcement Manual Overhaul: Faster Wells Timelines + Restored Settlement/Waiver Sequencing (Feb 24, 2026)</w:t>
      </w:r>
    </w:p>
    <w:p>
      <w:r>
        <w:rPr>
          <w:rFonts w:ascii="Arial" w:cs="Arial" w:eastAsia="Arial" w:hAnsi="Arial"/>
          <w:sz w:val="20"/>
          <w:szCs w:val="20"/>
        </w:rPr>
        <w:t xml:space="preserve">The SEC's Division of Enforcement updated its Enforcement Manual (last revised in 2017) and stated it will be reviewed yearly going forward. The updated approach standardizes the Wells process: recipients will ordinarily have four weeks to make Wells submissions; Wells meetings will be scheduled within four weeks and include senior Division leadership. The SEC also restored the ability for settling parties to request simultaneous consideration of settlement offers and related waiver requests.</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The four-week Wells cadence compresses timelines for producing custody logs, key-management evidence, reconciliation trails, and incident documentation into a tighter response window.</w:t>
      </w:r>
    </w:p>
    <w:p>
      <w:pPr>
        <w:pStyle w:val="ListParagraph"/>
        <w:numPr>
          <w:ilvl w:val="0"/>
          <w:numId w:val="2"/>
        </w:numPr>
        <w:ind w:left="720" w:hanging="360"/>
      </w:pPr>
      <w:r>
        <w:rPr>
          <w:rFonts w:ascii="Arial" w:cs="Arial" w:eastAsia="Arial" w:hAnsi="Arial"/>
          <w:sz w:val="20"/>
          <w:szCs w:val="20"/>
        </w:rPr>
        <w:t xml:space="preserve">Simultaneous settlement + waiver consideration can be material for regulated intermediaries and partners whose eligibility may hinge on waivers.</w:t>
      </w:r>
    </w:p>
    <w:p>
      <w:pPr>
        <w:spacing w:before="120" w:after="40"/>
      </w:pPr>
    </w:p>
    <w:p>
      <w:pPr>
        <w:spacing w:before="120" w:after="40"/>
      </w:pPr>
      <w:r>
        <w:rPr>
          <w:rFonts w:ascii="Arial" w:cs="Arial" w:eastAsia="Arial" w:hAnsi="Arial"/>
          <w:b/>
          <w:bCs/>
          <w:color w:val="0B2447"/>
          <w:sz w:val="20"/>
          <w:szCs w:val="20"/>
        </w:rPr>
        <w:t xml:space="preserve">3. $100M Mutual Fund Asset Diversion: Final Consent Judgment + Industry Bar (Feb 25–27, 2026)</w:t>
      </w:r>
    </w:p>
    <w:p>
      <w:r>
        <w:rPr>
          <w:rFonts w:ascii="Arial" w:cs="Arial" w:eastAsia="Arial" w:hAnsi="Arial"/>
          <w:sz w:val="20"/>
          <w:szCs w:val="20"/>
        </w:rPr>
        <w:t xml:space="preserve">A federal court entered a final consent judgment against Ofer Abarbanel, alleged manager of two mutual funds, where the SEC alleged he diverted fund assets to shell companies he controlled through unauthorized, uncollateralized loan transactions. The judgment included permanent injunctions and ordered disgorgement of $106,530,000 plus prejudgment interest. The SEC also imposed an association bar across multiple regulated roles (BD/IA/transfer agent/NRSRO, etc.). The SEC highlighted use of an asset freeze and return of frozen assets to harmed investors.</w:t>
      </w:r>
    </w:p>
    <w:p>
      <w:r>
        <w:rPr>
          <w:rFonts w:ascii="Arial" w:cs="Arial" w:eastAsia="Arial" w:hAnsi="Arial"/>
          <w:b/>
          <w:bCs/>
          <w:sz w:val="20"/>
          <w:szCs w:val="20"/>
        </w:rPr>
        <w:t xml:space="preserve">Analysis:</w:t>
      </w:r>
    </w:p>
    <w:p>
      <w:pPr>
        <w:pStyle w:val="ListParagraph"/>
        <w:numPr>
          <w:ilvl w:val="0"/>
          <w:numId w:val="2"/>
        </w:numPr>
        <w:ind w:left="720" w:hanging="360"/>
      </w:pPr>
      <w:r>
        <w:rPr>
          <w:rFonts w:ascii="Arial" w:cs="Arial" w:eastAsia="Arial" w:hAnsi="Arial"/>
          <w:sz w:val="20"/>
          <w:szCs w:val="20"/>
        </w:rPr>
        <w:t xml:space="preserve">The fact pattern (unauthorized loans/transfers to affiliated shells) maps directly to custody control failures regulators care about: who can move assets, under what approval chain, with what documentation, and how quickly exceptions are detected.</w:t>
      </w:r>
    </w:p>
    <w:p>
      <w:pPr>
        <w:pStyle w:val="ListParagraph"/>
        <w:numPr>
          <w:ilvl w:val="0"/>
          <w:numId w:val="2"/>
        </w:numPr>
        <w:ind w:left="720" w:hanging="360"/>
      </w:pPr>
      <w:r>
        <w:rPr>
          <w:rFonts w:ascii="Arial" w:cs="Arial" w:eastAsia="Arial" w:hAnsi="Arial"/>
          <w:sz w:val="20"/>
          <w:szCs w:val="20"/>
        </w:rPr>
        <w:t xml:space="preserve">For crypto custody, the analogous risk is unauthorized lending/rehypothecation or transfers to affiliated wallets—this case reinforces that 'segregation + governance + monitoring' is not optional when client/fund assets are involved.</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REGULATORY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700"/>
        <w:gridCol w:w="3660"/>
      </w:tblGrid>
      <w:tr>
        <w:trPr>
          <w:tblHeader/>
        </w:trPr>
        <w:tc>
          <w:tcPr>
            <w:tcW w:type="dxa" w:w="26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Guidance</w:t>
            </w:r>
          </w:p>
        </w:tc>
        <w:tc>
          <w:tcPr>
            <w:tcW w:type="dxa" w:w="1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Effective</w:t>
            </w:r>
          </w:p>
        </w:tc>
        <w:tc>
          <w:tcPr>
            <w:tcW w:type="dxa" w:w="17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36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Enforcement Manual updates + annual review commitment</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2026-02-24</w:t>
            </w:r>
          </w:p>
        </w:tc>
        <w:tc>
          <w:tcPr>
            <w:tcW w:type="dxa" w:w="17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In effect (staff guidance)</w:t>
            </w:r>
          </w:p>
        </w:tc>
        <w:tc>
          <w:tcPr>
            <w:tcW w:type="dxa" w:w="36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Faster Wells cadence; updated settlement/waiver sequencing; details on MUIs/Formal Orders, subpoenas, SAR handling.</w:t>
            </w:r>
          </w:p>
        </w:tc>
      </w:tr>
      <w:tr>
        <w:tc>
          <w:tcPr>
            <w:tcW w:type="dxa" w:w="26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 Crypto Task Force (featured topic page)</w:t>
            </w:r>
          </w:p>
        </w:tc>
        <w:tc>
          <w:tcPr>
            <w:tcW w:type="dxa" w:w="1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2026-02-23</w:t>
            </w:r>
          </w:p>
        </w:tc>
        <w:tc>
          <w:tcPr>
            <w:tcW w:type="dxa" w:w="17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Active policy initiative</w:t>
            </w:r>
          </w:p>
        </w:tc>
        <w:tc>
          <w:tcPr>
            <w:tcW w:type="dxa" w:w="36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Signals SEC effort to clarify registration pathways and investor protection expectations including custody.</w:t>
            </w:r>
          </w:p>
        </w:tc>
      </w:tr>
      <w:tr>
        <w:tc>
          <w:tcPr>
            <w:tcW w:type="dxa" w:w="26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SEC–FSA Financial Regulatory Dialogue (includes crypto/digital assets)</w:t>
            </w:r>
          </w:p>
        </w:tc>
        <w:tc>
          <w:tcPr>
            <w:tcW w:type="dxa" w:w="1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2026-02-27</w:t>
            </w:r>
          </w:p>
        </w:tc>
        <w:tc>
          <w:tcPr>
            <w:tcW w:type="dxa" w:w="17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Ongoing cross-border coordination</w:t>
            </w:r>
          </w:p>
        </w:tc>
        <w:tc>
          <w:tcPr>
            <w:tcW w:type="dxa" w:w="36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Indicates supervisory coordination momentum that may affect cross-border custody expectations.</w:t>
            </w:r>
          </w:p>
        </w:tc>
      </w:tr>
    </w:tbl>
    <w:p>
      <w:pPr>
        <w:spacing w:before="160" w:after="40"/>
      </w:pPr>
    </w:p>
    <w:p>
      <w:r>
        <w:rPr>
          <w:rFonts w:ascii="Arial" w:cs="Arial" w:eastAsia="Arial" w:hAnsi="Arial"/>
          <w:b/>
          <w:bCs/>
          <w:sz w:val="20"/>
          <w:szCs w:val="20"/>
        </w:rPr>
        <w:t xml:space="preserve">Pending Developments: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rPr>
          <w:tblHeader/>
        </w:trPr>
        <w:tc>
          <w:tcPr>
            <w:tcW w:type="dxa" w:w="52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Development</w:t>
            </w:r>
          </w:p>
        </w:tc>
        <w:tc>
          <w:tcPr>
            <w:tcW w:type="dxa" w:w="22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19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Confidence</w:t>
            </w:r>
          </w:p>
        </w:tc>
      </w:tr>
      <w:tr>
        <w:tc>
          <w:tcPr>
            <w:tcW w:type="dxa" w:w="5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HFIA Section 16 reporting begins for FPI directors/officers</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2026-03-18</w:t>
            </w:r>
          </w:p>
        </w:tc>
        <w:tc>
          <w:tcPr>
            <w:tcW w:type="dxa" w:w="1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5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 staff evaluation of possible HFIA exemptions where foreign law is 'substantially similar'</w:t>
            </w:r>
          </w:p>
        </w:tc>
        <w:tc>
          <w:tcPr>
            <w:tcW w:type="dxa" w:w="22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TBD</w:t>
            </w:r>
          </w:p>
        </w:tc>
        <w:tc>
          <w:tcPr>
            <w:tcW w:type="dxa" w:w="19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5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Roundtable on Private Markets Valuation ('responsible retailization')</w:t>
            </w:r>
          </w:p>
        </w:tc>
        <w:tc>
          <w:tcPr>
            <w:tcW w:type="dxa" w:w="22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2026-03-04</w:t>
            </w:r>
          </w:p>
        </w:tc>
        <w:tc>
          <w:tcPr>
            <w:tcW w:type="dxa" w:w="19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bl>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ENFORCEMENT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Case</w:t>
            </w:r>
          </w:p>
        </w:tc>
        <w:tc>
          <w:tcPr>
            <w:tcW w:type="dxa" w:w="21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8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v. Ofer Abarbanel (LR-26494)</w:t>
            </w:r>
          </w:p>
        </w:tc>
        <w:tc>
          <w:tcPr>
            <w:tcW w:type="dxa" w:w="21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Final consent judgment (Feb 25)</w:t>
            </w:r>
          </w:p>
        </w:tc>
        <w:tc>
          <w:tcPr>
            <w:tcW w:type="dxa" w:w="4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Alleged diversion of mutual fund assets via unauthorized loans; asset freeze and investor returns.</w:t>
            </w:r>
          </w:p>
        </w:tc>
      </w:tr>
      <w:tr>
        <w:tc>
          <w:tcPr>
            <w:tcW w:type="dxa" w:w="2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 v. Charles T. Lawrence (LR-26492)</w:t>
            </w:r>
          </w:p>
        </w:tc>
        <w:tc>
          <w:tcPr>
            <w:tcW w:type="dxa" w:w="21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Final consent judgment; case dismissed</w:t>
            </w:r>
          </w:p>
        </w:tc>
        <w:tc>
          <w:tcPr>
            <w:tcW w:type="dxa" w:w="48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Offering fraud; investor funds routed to entity controlled by defendant.</w:t>
            </w:r>
          </w:p>
        </w:tc>
      </w:tr>
      <w:tr>
        <w:tc>
          <w:tcPr>
            <w:tcW w:type="dxa" w:w="24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v. Ian G. Bell (LR-26488)</w:t>
            </w:r>
          </w:p>
        </w:tc>
        <w:tc>
          <w:tcPr>
            <w:tcW w:type="dxa" w:w="21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Final consent judgment (Feb 23)</w:t>
            </w:r>
          </w:p>
        </w:tc>
        <w:tc>
          <w:tcPr>
            <w:tcW w:type="dxa" w:w="4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Misappropriation + fabricated performance screenshots.</w:t>
            </w:r>
          </w:p>
        </w:tc>
      </w:tr>
      <w:tr>
        <w:tc>
          <w:tcPr>
            <w:tcW w:type="dxa" w:w="24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SEC v. Joel Castellanos (LR-26490)</w:t>
            </w:r>
          </w:p>
        </w:tc>
        <w:tc>
          <w:tcPr>
            <w:tcW w:type="dxa" w:w="21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Settled; subject to court approval</w:t>
            </w:r>
          </w:p>
        </w:tc>
        <w:tc>
          <w:tcPr>
            <w:tcW w:type="dxa" w:w="48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Unregistered securities sales; Ponzi scheme context; receivership ongoing.</w:t>
            </w:r>
          </w:p>
        </w:tc>
      </w:tr>
    </w:tbl>
    <w:p>
      <w:pPr>
        <w:spacing w:before="80" w:after="80"/>
      </w:pPr>
    </w:p>
    <w:p>
      <w:r>
        <w:rPr>
          <w:rFonts w:ascii="Arial" w:cs="Arial" w:eastAsia="Arial" w:hAnsi="Arial"/>
          <w:i/>
          <w:iCs/>
          <w:sz w:val="20"/>
          <w:szCs w:val="20"/>
        </w:rPr>
        <w:t xml:space="preserve">Trends: Unauthorized movement of investor assets, misappropriation, and documentation integrity—all areas where custodians are expected to have preventative controls and forensic-quality records.</w:t>
      </w:r>
    </w:p>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WHAT'S 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330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w:t>
            </w:r>
          </w:p>
        </w:tc>
        <w:tc>
          <w:tcPr>
            <w:tcW w:type="dxa" w:w="4260"/>
            <w:tcBorders>
              <w:top w:val="single" w:color="AACCDD" w:sz="1"/>
              <w:left w:val="single" w:color="AACCDD" w:sz="1"/>
              <w:bottom w:val="single" w:color="AACCDD" w:sz="1"/>
              <w:right w:val="single" w:color="AACCDD" w:sz="1"/>
            </w:tcBorders>
            <w:shd w:fill="0B2447"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Relevance</w:t>
            </w:r>
          </w:p>
        </w:tc>
      </w:tr>
      <w:tr>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2026-03-04</w:t>
            </w:r>
          </w:p>
        </w:tc>
        <w:tc>
          <w:tcPr>
            <w:tcW w:type="dxa" w:w="33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SEC Roundtable on Private Markets Valuation</w:t>
            </w:r>
          </w:p>
        </w:tc>
        <w:tc>
          <w:tcPr>
            <w:tcW w:type="dxa" w:w="42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Retail access to private assets increases focus on valuation governance; relevant for custodians supporting private/tokenized assets.</w:t>
            </w:r>
          </w:p>
        </w:tc>
      </w:tr>
      <w:tr>
        <w:tc>
          <w:tcPr>
            <w:tcW w:type="dxa" w:w="18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2026-03-18</w:t>
            </w:r>
          </w:p>
        </w:tc>
        <w:tc>
          <w:tcPr>
            <w:tcW w:type="dxa" w:w="330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HFIA Section 16 reporting requirements take effect</w:t>
            </w:r>
          </w:p>
        </w:tc>
        <w:tc>
          <w:tcPr>
            <w:tcW w:type="dxa" w:w="4260"/>
            <w:tcBorders>
              <w:top w:val="single" w:color="AACCDD" w:sz="1"/>
              <w:left w:val="single" w:color="AACCDD" w:sz="1"/>
              <w:bottom w:val="single" w:color="AACCDD" w:sz="1"/>
              <w:right w:val="single" w:color="AACCDD" w:sz="1"/>
            </w:tcBorders>
            <w:shd w:fill="EDF4F8" w:val="clear"/>
            <w:tcMar>
              <w:top w:type="dxa" w:w="80"/>
              <w:left w:type="dxa" w:w="120"/>
              <w:bottom w:type="dxa" w:w="80"/>
              <w:right w:type="dxa" w:w="120"/>
            </w:tcMar>
          </w:tcPr>
          <w:p>
            <w:r>
              <w:rPr>
                <w:rFonts w:ascii="Arial" w:cs="Arial" w:eastAsia="Arial" w:hAnsi="Arial"/>
                <w:sz w:val="18"/>
                <w:szCs w:val="18"/>
              </w:rPr>
              <w:t xml:space="preserve">Custodians may need to support insider reporting with reliable position/transaction data.</w:t>
            </w:r>
          </w:p>
        </w:tc>
      </w:tr>
      <w:tr>
        <w:tc>
          <w:tcPr>
            <w:tcW w:type="dxa" w:w="18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Fall 2026</w:t>
            </w:r>
          </w:p>
        </w:tc>
        <w:tc>
          <w:tcPr>
            <w:tcW w:type="dxa" w:w="33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Next SEC–FSA Regulatory Dialogue (Tokyo)</w:t>
            </w:r>
          </w:p>
        </w:tc>
        <w:tc>
          <w:tcPr>
            <w:tcW w:type="dxa" w:w="42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18"/>
                <w:szCs w:val="18"/>
              </w:rPr>
              <w:t xml:space="preserve">Potential cross-border alignment signals for digital-asset oversight, including custody expectations.</w:t>
            </w:r>
          </w:p>
        </w:tc>
      </w:tr>
    </w:tbl>
    <w:p>
      <w:pPr>
        <w:pBdr>
          <w:bottom w:val="single" w:color="0B2447" w:sz="6" w:space="1"/>
        </w:pBdr>
        <w:spacing w:before="160" w:after="160"/>
      </w:pPr>
    </w:p>
    <w:p>
      <w:pPr>
        <w:pStyle w:val="Heading2"/>
        <w:spacing w:before="200" w:after="100"/>
      </w:pPr>
      <w:r>
        <w:rPr>
          <w:rFonts w:ascii="Arial" w:cs="Arial" w:eastAsia="Arial" w:hAnsi="Arial"/>
          <w:b/>
          <w:bCs/>
          <w:color w:val="0B2447"/>
          <w:sz w:val="24"/>
          <w:szCs w:val="24"/>
        </w:rPr>
        <w:t xml:space="preserve">💡 COMPLIANCE ACTION ITEMS</w:t>
      </w:r>
    </w:p>
    <w:p>
      <w:pPr>
        <w:pStyle w:val="ListParagraph"/>
        <w:numPr>
          <w:ilvl w:val="0"/>
          <w:numId w:val="3"/>
        </w:numPr>
      </w:pPr>
      <w:r>
        <w:rPr>
          <w:rFonts w:ascii="Arial" w:cs="Arial" w:eastAsia="Arial" w:hAnsi="Arial"/>
          <w:sz w:val="20"/>
          <w:szCs w:val="20"/>
        </w:rPr>
        <w:t xml:space="preserve">HFIA readiness (for cross-asset/tokenized equity custodians): identify any clients who are FPI directors/officers and validate you can produce complete holdings + transaction histories suitable for electronic English-language filings starting Mar 18, 2026.</w:t>
      </w:r>
    </w:p>
    <w:p>
      <w:pPr>
        <w:pStyle w:val="ListParagraph"/>
        <w:numPr>
          <w:ilvl w:val="0"/>
          <w:numId w:val="3"/>
        </w:numPr>
      </w:pPr>
      <w:r>
        <w:rPr>
          <w:rFonts w:ascii="Arial" w:cs="Arial" w:eastAsia="Arial" w:hAnsi="Arial"/>
          <w:sz w:val="20"/>
          <w:szCs w:val="20"/>
        </w:rPr>
        <w:t xml:space="preserve">Wells process drill: update your investigation/Wells playbook to meet the SEC's 'ordinarily four weeks' submission timeline; pre-stage custody evidence (key-management policies, access logs, reconciliations, incident reports).</w:t>
      </w:r>
    </w:p>
    <w:p>
      <w:pPr>
        <w:pStyle w:val="ListParagraph"/>
        <w:numPr>
          <w:ilvl w:val="0"/>
          <w:numId w:val="3"/>
        </w:numPr>
      </w:pPr>
      <w:r>
        <w:rPr>
          <w:rFonts w:ascii="Arial" w:cs="Arial" w:eastAsia="Arial" w:hAnsi="Arial"/>
          <w:sz w:val="20"/>
          <w:szCs w:val="20"/>
        </w:rPr>
        <w:t xml:space="preserve">Asset-movement controls review: re-test controls that prevent unauthorized loans/transfers of client/fund assets (including lending/yield features) in light of the Abarbanel asset-diversion allegations.</w:t>
      </w:r>
    </w:p>
    <w:p>
      <w:pPr>
        <w:pStyle w:val="ListParagraph"/>
        <w:numPr>
          <w:ilvl w:val="0"/>
          <w:numId w:val="3"/>
        </w:numPr>
      </w:pPr>
      <w:r>
        <w:rPr>
          <w:rFonts w:ascii="Arial" w:cs="Arial" w:eastAsia="Arial" w:hAnsi="Arial"/>
          <w:sz w:val="20"/>
          <w:szCs w:val="20"/>
        </w:rPr>
        <w:t xml:space="preserve">Fraud red-flag procedures: enhance onboarding/monitoring to detect fabricated performance evidence and 'too-good-to-be-true' return promises.</w:t>
      </w:r>
    </w:p>
    <w:p>
      <w:pPr>
        <w:pStyle w:val="ListParagraph"/>
        <w:numPr>
          <w:ilvl w:val="0"/>
          <w:numId w:val="3"/>
        </w:numPr>
      </w:pPr>
      <w:r>
        <w:rPr>
          <w:rFonts w:ascii="Arial" w:cs="Arial" w:eastAsia="Arial" w:hAnsi="Arial"/>
          <w:sz w:val="20"/>
          <w:szCs w:val="20"/>
        </w:rPr>
        <w:t xml:space="preserve">Engage proactively: provide written input or request meetings with the SEC Crypto Task Force on custody-specific pain points (segregation, key management, audit evidence).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2447" w:sz="6" w:space="1"/>
      </w:pBdr>
      <w:spacing w:before="80" w:after="0"/>
      <w:jc w:val="center"/>
    </w:pPr>
    <w:r>
      <w:rPr>
        <w:rFonts w:ascii="Arial" w:cs="Arial" w:eastAsia="Arial" w:hAnsi="Arial"/>
        <w:color w:val="666666"/>
        <w:sz w:val="16"/>
        <w:szCs w:val="16"/>
      </w:rPr>
      <w:t xml:space="preserve">© 2026 CRI – Crypto Regulatory Insight. For informational purposes only. Not legal advice.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447" w:sz="6" w:space="1"/>
      </w:pBdr>
      <w:spacing w:before="0" w:after="120"/>
    </w:pPr>
    <w:r>
      <w:rPr>
        <w:rFonts w:ascii="Arial" w:cs="Arial" w:eastAsia="Arial" w:hAnsi="Arial"/>
        <w:b/>
        <w:bCs/>
        <w:color w:val="0B2447"/>
        <w:sz w:val="18"/>
        <w:szCs w:val="18"/>
      </w:rPr>
      <w:t xml:space="preserve">🔐 Custody Intelligence Weekly</w:t>
    </w:r>
    <w:r>
      <w:rPr>
        <w:rFonts w:ascii="Arial" w:cs="Arial" w:eastAsia="Arial" w:hAnsi="Arial"/>
        <w:color w:val="666666"/>
        <w:sz w:val="18"/>
        <w:szCs w:val="18"/>
      </w:rPr>
      <w:t xml:space="preserve">  |  CRI – Crypto Regulatory Insight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0B2447"/>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0B24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2026-03-06T23:20:11.015Z</dcterms:created>
  <dcterms:modified xsi:type="dcterms:W3CDTF">2026-03-06T23:20:11.016Z</dcterms:modified>
</cp:coreProperties>
</file>

<file path=docProps/custom.xml><?xml version="1.0" encoding="utf-8"?>
<Properties xmlns="http://schemas.openxmlformats.org/officeDocument/2006/custom-properties" xmlns:vt="http://schemas.openxmlformats.org/officeDocument/2006/docPropsVTypes"/>
</file>