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B2447" w:val="clear"/>
        <w:spacing w:before="0" w:after="0"/>
        <w:jc w:val="center"/>
      </w:pPr>
      <w:r>
        <w:rPr>
          <w:sz w:val="8"/>
          <w:szCs w:val="8"/>
        </w:rPr>
        <w:t xml:space="preserve">  </w:t>
      </w:r>
    </w:p>
    <w:p>
      <w:pPr>
        <w:shd w:fill="0B2447" w:val="clear"/>
        <w:spacing w:before="1440" w:after="0"/>
        <w:jc w:val="center"/>
      </w:pPr>
      <w:r>
        <w:rPr>
          <w:rFonts w:ascii="Calibri" w:cs="Calibri" w:eastAsia="Calibri" w:hAnsi="Calibri"/>
          <w:b/>
          <w:bCs/>
          <w:color w:val="FFFFFF"/>
          <w:sz w:val="56"/>
          <w:szCs w:val="56"/>
        </w:rPr>
        <w:t xml:space="preserve">SEC CRYPTO TASK FORCE</w:t>
      </w:r>
    </w:p>
    <w:p>
      <w:pPr>
        <w:shd w:fill="0B2447" w:val="clear"/>
        <w:spacing w:before="120" w:after="0"/>
        <w:jc w:val="center"/>
      </w:pPr>
      <w:r>
        <w:rPr>
          <w:rFonts w:ascii="Calibri" w:cs="Calibri" w:eastAsia="Calibri" w:hAnsi="Calibri"/>
          <w:b/>
          <w:bCs/>
          <w:color w:val="D6E8F7"/>
          <w:sz w:val="36"/>
          <w:szCs w:val="36"/>
        </w:rPr>
        <w:t xml:space="preserve">REGULATORY INTELLIGENCE REPORT</w:t>
      </w:r>
    </w:p>
    <w:p>
      <w:pPr>
        <w:shd w:fill="0B2447" w:val="clear"/>
        <w:spacing w:before="320" w:after="0"/>
        <w:jc w:val="center"/>
      </w:pPr>
      <w:r>
        <w:rPr>
          <w:rFonts w:ascii="Calibri" w:cs="Calibri" w:eastAsia="Calibri" w:hAnsi="Calibri"/>
          <w:color w:val="AACCEE"/>
          <w:sz w:val="26"/>
          <w:szCs w:val="26"/>
        </w:rPr>
        <w:t xml:space="preserve">All Five Roundtable Meetings  |  March – June 2025</w:t>
      </w:r>
    </w:p>
    <w:p>
      <w:pPr>
        <w:shd w:fill="0B2447" w:val="clear"/>
        <w:spacing w:before="80" w:after="0"/>
        <w:jc w:val="center"/>
      </w:pPr>
      <w:r>
        <w:rPr>
          <w:rFonts w:ascii="Calibri" w:cs="Calibri" w:eastAsia="Calibri" w:hAnsi="Calibri"/>
          <w:i/>
          <w:iCs/>
          <w:color w:val="8899BB"/>
          <w:sz w:val="20"/>
          <w:szCs w:val="20"/>
        </w:rPr>
        <w:t xml:space="preserve">How We Got Here  ·  Between a Block  ·  Know Your Custodian  ·  Tokenization  ·  DeFi &amp; the American Spirit</w:t>
      </w:r>
    </w:p>
    <w:p>
      <w:pPr>
        <w:shd w:fill="0B2447" w:val="clear"/>
        <w:spacing w:before="800" w:after="0"/>
        <w:jc w:val="center"/>
      </w:pPr>
      <w:r>
        <w:rPr>
          <w:rFonts w:ascii="Calibri" w:cs="Calibri" w:eastAsia="Calibri" w:hAnsi="Calibri"/>
          <w:color w:val="C9922A"/>
          <w:sz w:val="22"/>
          <w:szCs w:val="22"/>
        </w:rPr>
        <w:t xml:space="preserve">Facts  ·  Analysis  ·  Inference  ·  Stakeholder Mapping  ·  Predictions</w:t>
      </w:r>
    </w:p>
    <w:p>
      <w:pPr>
        <w:shd w:fill="0B2447" w:val="clear"/>
        <w:spacing w:before="80" w:after="1440"/>
        <w:jc w:val="center"/>
      </w:pPr>
      <w:r>
        <w:rPr>
          <w:rFonts w:ascii="Calibri" w:cs="Calibri" w:eastAsia="Calibri" w:hAnsi="Calibri"/>
          <w:i/>
          <w:iCs/>
          <w:color w:val="8899BB"/>
          <w:sz w:val="19"/>
          <w:szCs w:val="19"/>
        </w:rPr>
        <w:t xml:space="preserve">Prepared by CRI — Crypto Regulatory Insight</w:t>
      </w:r>
    </w:p>
    <w:p>
      <w:r>
        <w:br w:type="page"/>
      </w:r>
    </w:p>
    <w:p>
      <w:pPr>
        <w:spacing w:before="0" w:after="200"/>
      </w:pPr>
      <w:r>
        <w:rPr>
          <w:rFonts w:ascii="Calibri" w:cs="Calibri" w:eastAsia="Calibri" w:hAnsi="Calibri"/>
          <w:b/>
          <w:bCs/>
          <w:color w:val="0B2447"/>
          <w:sz w:val="28"/>
          <w:szCs w:val="28"/>
        </w:rPr>
        <w:t xml:space="preserve">How to Read This Report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0B24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Label</w:t>
            </w:r>
          </w:p>
        </w:tc>
        <w:tc>
          <w:tcPr>
            <w:tcW w:type="dxa" w:w="716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0B24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2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E8F5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C2A"/>
                <w:sz w:val="18"/>
                <w:szCs w:val="18"/>
              </w:rPr>
              <w:t xml:space="preserve">FACTS</w:t>
            </w:r>
          </w:p>
        </w:tc>
        <w:tc>
          <w:tcPr>
            <w:tcW w:type="dxa" w:w="716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Directly supported by meeting transcripts or explicit speaker statements</w:t>
            </w:r>
          </w:p>
        </w:tc>
      </w:tr>
      <w:tr>
        <w:tc>
          <w:tcPr>
            <w:tcW w:type="dxa" w:w="2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5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A4F00"/>
                <w:sz w:val="18"/>
                <w:szCs w:val="18"/>
              </w:rPr>
              <w:t xml:space="preserve">ANALYSIS</w:t>
            </w:r>
          </w:p>
        </w:tc>
        <w:tc>
          <w:tcPr>
            <w:tcW w:type="dxa" w:w="716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Interpretation of cross-meeting patterns; repeated signals (≥3 meetings) or tied to staff/Chair directives</w:t>
            </w:r>
          </w:p>
        </w:tc>
      </w:tr>
      <w:tr>
        <w:tc>
          <w:tcPr>
            <w:tcW w:type="dxa" w:w="2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C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1515"/>
                <w:sz w:val="18"/>
                <w:szCs w:val="18"/>
              </w:rPr>
              <w:t xml:space="preserve">INFERENCE</w:t>
            </w:r>
          </w:p>
        </w:tc>
        <w:tc>
          <w:tcPr>
            <w:tcW w:type="dxa" w:w="716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Reasoned forecasts where direct evidence is lacking — clearly labeled</w:t>
            </w:r>
          </w:p>
        </w:tc>
      </w:tr>
      <w:tr>
        <w:tc>
          <w:tcPr>
            <w:tcW w:type="dxa" w:w="2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E8F5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C2A"/>
                <w:sz w:val="18"/>
                <w:szCs w:val="18"/>
              </w:rPr>
              <w:t xml:space="preserve">● High Confidence</w:t>
            </w:r>
          </w:p>
        </w:tc>
        <w:tc>
          <w:tcPr>
            <w:tcW w:type="dxa" w:w="716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Multiple direct statements + staff/Chair action</w:t>
            </w:r>
          </w:p>
        </w:tc>
      </w:tr>
      <w:tr>
        <w:tc>
          <w:tcPr>
            <w:tcW w:type="dxa" w:w="2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5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A4F00"/>
                <w:sz w:val="18"/>
                <w:szCs w:val="18"/>
              </w:rPr>
              <w:t xml:space="preserve">◑ Medium</w:t>
            </w:r>
          </w:p>
        </w:tc>
        <w:tc>
          <w:tcPr>
            <w:tcW w:type="dxa" w:w="716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Cross-meeting convergence but absence of explicit commitments</w:t>
            </w:r>
          </w:p>
        </w:tc>
      </w:tr>
      <w:tr>
        <w:tc>
          <w:tcPr>
            <w:tcW w:type="dxa" w:w="2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C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1515"/>
                <w:sz w:val="18"/>
                <w:szCs w:val="18"/>
              </w:rPr>
              <w:t xml:space="preserve">○ Low</w:t>
            </w:r>
          </w:p>
        </w:tc>
        <w:tc>
          <w:tcPr>
            <w:tcW w:type="dxa" w:w="716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Single meeting mention or single stakeholder advocacy</w:t>
            </w:r>
          </w:p>
        </w:tc>
      </w:tr>
    </w:tbl>
    <w:p>
      <w:pPr>
        <w:pBdr>
          <w:bottom w:val="single" w:color="0B2447" w:sz="8" w:space="1"/>
        </w:pBdr>
        <w:spacing w:before="300" w:after="240"/>
      </w:pPr>
    </w:p>
    <w:p>
      <w:pPr>
        <w:pStyle w:val="Heading1"/>
        <w:spacing w:before="360" w:after="180"/>
      </w:pPr>
      <w:r>
        <w:rPr>
          <w:rFonts w:ascii="Calibri" w:cs="Calibri" w:eastAsia="Calibri" w:hAnsi="Calibri"/>
          <w:b/>
          <w:bCs/>
          <w:color w:val="0A6EBD"/>
          <w:sz w:val="32"/>
          <w:szCs w:val="32"/>
        </w:rPr>
        <w:t xml:space="preserve">01  </w:t>
      </w:r>
      <w:r>
        <w:rPr>
          <w:rFonts w:ascii="Calibri" w:cs="Calibri" w:eastAsia="Calibri" w:hAnsi="Calibri"/>
          <w:b/>
          <w:bCs/>
          <w:color w:val="0B2447"/>
          <w:sz w:val="32"/>
          <w:szCs w:val="32"/>
        </w:rPr>
        <w:t xml:space="preserve">EXECUTIVE INTELLIGENCE BRIEF</w:t>
      </w:r>
    </w:p>
    <w:p>
      <w:pPr>
        <w:spacing w:before="40" w:after="60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Inputs analyzed: five SEC Crypto Task Force roundtable reports — How We Got Here (Defining Securities); Between a Block and a Hard Place (Tailoring Regulation); Know Your Custodian (Custody); Tokenization (Moving Assets On-Chain); DeFi and the American Spirit. Source confirmation includes SAB 122 rescinding SAB 121.</w:t>
      </w:r>
    </w:p>
    <w:p>
      <w:pPr>
        <w:spacing w:before="200" w:after="10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19376D"/>
          <w:sz w:val="24"/>
          <w:szCs w:val="24"/>
        </w:rPr>
        <w:t xml:space="preserve">Key Takeaways</w:t>
      </w:r>
    </w:p>
    <w:p>
      <w:pPr>
        <w:pStyle w:val="ListParagraph"/>
        <w:numPr>
          <w:ilvl w:val="0"/>
          <w:numId w:val="2"/>
        </w:numPr>
        <w:spacing w:before="50" w:after="50"/>
        <w:ind w:left="0" w:hanging="3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Regulators consistently prioritize investor protection and market integrity as the organizing principle; industry asks for clarity, technology-neutral standards, and on-ramps (guidance, sandboxes, conditional exemptive relief).</w:t>
      </w:r>
    </w:p>
    <w:p>
      <w:pPr>
        <w:pStyle w:val="ListParagraph"/>
        <w:numPr>
          <w:ilvl w:val="0"/>
          <w:numId w:val="2"/>
        </w:numPr>
        <w:spacing w:before="50" w:after="50"/>
        <w:ind w:left="0" w:hanging="3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The SEC is pursuing a staged, pragmatic approach: continued public convenings + staff work (guidance/exemptions/pilots) while preserving notice-and-comment rulemaking where statutory change is required.</w:t>
      </w:r>
    </w:p>
    <w:p>
      <w:pPr>
        <w:pStyle w:val="ListParagraph"/>
        <w:numPr>
          <w:ilvl w:val="0"/>
          <w:numId w:val="2"/>
        </w:numPr>
        <w:spacing w:before="50" w:after="50"/>
        <w:ind w:left="0" w:hanging="3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Custody, qualified-custodian definitions, and insolvency/perfection (SIPA/UCC issues) are immediate operational priorities unlikely to be resolved without interagency or legislative engagement.</w:t>
      </w:r>
    </w:p>
    <w:p>
      <w:pPr>
        <w:pStyle w:val="ListParagraph"/>
        <w:numPr>
          <w:ilvl w:val="0"/>
          <w:numId w:val="2"/>
        </w:numPr>
        <w:spacing w:before="50" w:after="50"/>
        <w:ind w:left="0" w:hanging="3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Howey and doctrinal questions remain central but contested — most participants accept Howey's centrality while urging technology-aware operational tests (control/decentralization, rebuttable presumptions, exit criteria).</w:t>
      </w:r>
    </w:p>
    <w:p>
      <w:pPr>
        <w:pStyle w:val="ListParagraph"/>
        <w:numPr>
          <w:ilvl w:val="0"/>
          <w:numId w:val="2"/>
        </w:numPr>
        <w:spacing w:before="50" w:after="50"/>
        <w:ind w:left="0" w:hanging="3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Market-structure and surveillance modernization (data, consolidated tape analogue, ATS/SPBD models) are elevated priorities to enable onshore trading and manage systemic risks for tokenized securities.</w:t>
      </w:r>
    </w:p>
    <w:p>
      <w:pPr>
        <w:pStyle w:val="ListParagraph"/>
        <w:numPr>
          <w:ilvl w:val="0"/>
          <w:numId w:val="2"/>
        </w:numPr>
        <w:spacing w:before="50" w:after="50"/>
        <w:ind w:left="0" w:hanging="3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DeFi poses unique boundary problems (code vs. conduct, admin keys, non-custodial flows); SEC signaled staff work on conditional exemptive relief / 'innovation exemption' to permit controlled experiments.</w:t>
      </w:r>
    </w:p>
    <w:p>
      <w:pPr>
        <w:pStyle w:val="ListParagraph"/>
        <w:numPr>
          <w:ilvl w:val="0"/>
          <w:numId w:val="2"/>
        </w:numPr>
        <w:spacing w:before="50" w:after="50"/>
        <w:ind w:left="0" w:hanging="3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Enforcement remains a parallel lever: participants expect enforcement and litigation to continue shaping the status quo even as staff pursue guidance and pilots.</w:t>
      </w:r>
    </w:p>
    <w:p>
      <w:pPr>
        <w:spacing w:before="200" w:after="10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19376D"/>
          <w:sz w:val="24"/>
          <w:szCs w:val="24"/>
        </w:rPr>
        <w:t xml:space="preserve">Top 3 Regulatory Trajectories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4200"/>
        <w:gridCol w:w="1360"/>
        <w:gridCol w:w="3500"/>
      </w:tblGrid>
      <w:tr>
        <w:trPr>
          <w:tblHeader/>
        </w:trPr>
        <w:tc>
          <w:tcPr>
            <w:tcW w:type="dxa" w:w="3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0B24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0B24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Trajectory</w:t>
            </w:r>
          </w:p>
        </w:tc>
        <w:tc>
          <w:tcPr>
            <w:tcW w:type="dxa" w:w="136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0B24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  <w:tc>
          <w:tcPr>
            <w:tcW w:type="dxa" w:w="35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0B24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Basis</w:t>
            </w:r>
          </w:p>
        </w:tc>
      </w:tr>
      <w:tr>
        <w:tc>
          <w:tcPr>
            <w:tcW w:type="dxa" w:w="3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Conditional exemptive relief / sandbox pilots for tokenization and certain on-chain products</w:t>
            </w:r>
          </w:p>
        </w:tc>
        <w:tc>
          <w:tcPr>
            <w:tcW w:type="dxa" w:w="136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E8F5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5C2A"/>
                <w:sz w:val="18"/>
                <w:szCs w:val="18"/>
              </w:rPr>
              <w:t xml:space="preserve">● High</w:t>
            </w:r>
          </w:p>
        </w:tc>
        <w:tc>
          <w:tcPr>
            <w:tcW w:type="dxa" w:w="35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Chair directed staff in Tokenization &amp; DeFi meetings; repeated participant requests for pilots</w:t>
            </w:r>
          </w:p>
        </w:tc>
      </w:tr>
      <w:tr>
        <w:tc>
          <w:tcPr>
            <w:tcW w:type="dxa" w:w="3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Principles-based custody guidance and clarifications of 'qualified custodian' plus supervisory expectations</w:t>
            </w:r>
          </w:p>
        </w:tc>
        <w:tc>
          <w:tcPr>
            <w:tcW w:type="dxa" w:w="136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E8F5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5C2A"/>
                <w:sz w:val="18"/>
                <w:szCs w:val="18"/>
              </w:rPr>
              <w:t xml:space="preserve">● High</w:t>
            </w:r>
          </w:p>
        </w:tc>
        <w:tc>
          <w:tcPr>
            <w:tcW w:type="dxa" w:w="35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Strong, cross-meeting consensus calling for technology-neutral audit/control evidence (custody meeting)</w:t>
            </w:r>
          </w:p>
        </w:tc>
      </w:tr>
      <w:tr>
        <w:tc>
          <w:tcPr>
            <w:tcW w:type="dxa" w:w="3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Incremental interpretive relief + targeted rulemaking (e.g., transfer-agent modernization, ATS adaptations) rather than wholesale statutory reinterpretation of Howey</w:t>
            </w:r>
          </w:p>
        </w:tc>
        <w:tc>
          <w:tcPr>
            <w:tcW w:type="dxa" w:w="136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5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A4F00"/>
                <w:sz w:val="18"/>
                <w:szCs w:val="18"/>
              </w:rPr>
              <w:t xml:space="preserve">◑ Medium</w:t>
            </w:r>
          </w:p>
        </w:tc>
        <w:tc>
          <w:tcPr>
            <w:tcW w:type="dxa" w:w="35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Repeated calls for 'same security, same treatment'; doctrinal disputes make large-scale statutory reform uncertain absent Congress</w:t>
            </w:r>
          </w:p>
        </w:tc>
      </w:tr>
    </w:tbl>
    <w:p>
      <w:pPr>
        <w:spacing w:before="200" w:after="10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19376D"/>
          <w:sz w:val="24"/>
          <w:szCs w:val="24"/>
        </w:rPr>
        <w:t xml:space="preserve">Most Influential Stakeholders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0B24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Stakeholder</w:t>
            </w:r>
          </w:p>
        </w:tc>
        <w:tc>
          <w:tcPr>
            <w:tcW w:type="dxa" w:w="2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0B24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476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0B24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Evidence Summary</w:t>
            </w:r>
          </w:p>
        </w:tc>
      </w:tr>
      <w:tr>
        <w:tc>
          <w:tcPr>
            <w:tcW w:type="dxa" w:w="24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Chairman Atkins</w:t>
            </w:r>
          </w:p>
        </w:tc>
        <w:tc>
          <w:tcPr>
            <w:tcW w:type="dxa" w:w="2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SEC Chair</w:t>
            </w:r>
          </w:p>
        </w:tc>
        <w:tc>
          <w:tcPr>
            <w:tcW w:type="dxa" w:w="476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Set priorities across tokenization and DeFi roundtables; issued explicit staff directives on conditional exemptive relief.</w:t>
            </w:r>
          </w:p>
        </w:tc>
      </w:tr>
      <w:tr>
        <w:tc>
          <w:tcPr>
            <w:tcW w:type="dxa" w:w="24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Acting Chair Mark Uyeda</w:t>
            </w:r>
          </w:p>
        </w:tc>
        <w:tc>
          <w:tcPr>
            <w:tcW w:type="dxa" w:w="2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SEC Acting Chair</w:t>
            </w:r>
          </w:p>
        </w:tc>
        <w:tc>
          <w:tcPr>
            <w:tcW w:type="dxa" w:w="476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Framed trading/tokenization policy levers; suggested time-limited conditional exemptive relief in trading roundtable.</w:t>
            </w:r>
          </w:p>
        </w:tc>
      </w:tr>
      <w:tr>
        <w:tc>
          <w:tcPr>
            <w:tcW w:type="dxa" w:w="24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Nicholas Losurdo</w:t>
            </w:r>
          </w:p>
        </w:tc>
        <w:tc>
          <w:tcPr>
            <w:tcW w:type="dxa" w:w="2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SEC Moderator / Counsel</w:t>
            </w:r>
          </w:p>
        </w:tc>
        <w:tc>
          <w:tcPr>
            <w:tcW w:type="dxa" w:w="476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Operationally influential — shaped trading roundtable outcomes by eliciting implementable ideas; drove agenda to actionable staff work.</w:t>
            </w:r>
          </w:p>
        </w:tc>
      </w:tr>
      <w:tr>
        <w:tc>
          <w:tcPr>
            <w:tcW w:type="dxa" w:w="24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Jason Allegrante / Rachel Anderica / DTCC (Christian Sabella)</w:t>
            </w:r>
          </w:p>
        </w:tc>
        <w:tc>
          <w:tcPr>
            <w:tcW w:type="dxa" w:w="2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Industry Custody &amp; Post-Trade</w:t>
            </w:r>
          </w:p>
        </w:tc>
        <w:tc>
          <w:tcPr>
            <w:tcW w:type="dxa" w:w="476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Repeatedly advanced operational custody and post-trade infrastructure proposals that staff referenced as practical templates.</w:t>
            </w:r>
          </w:p>
        </w:tc>
      </w:tr>
    </w:tbl>
    <w:p>
      <w:pPr>
        <w:spacing w:before="2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0B244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★  ACTIONABLE EXECUTIVE NOTE</w:t>
            </w:r>
          </w:p>
        </w:tc>
      </w:tr>
      <w:tr>
        <w:tc>
          <w:tcPr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8E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Prioritize engagement on custody/qualified-custodian public comments.</w:t>
            </w:r>
          </w:p>
        </w:tc>
      </w:tr>
      <w:tr>
        <w:tc>
          <w:tcPr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8E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Participate in or propose pilots aligned to SEC staff criteria.</w:t>
            </w:r>
          </w:p>
        </w:tc>
      </w:tr>
      <w:tr>
        <w:tc>
          <w:tcPr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8E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Document operational controls (audits, contracts, key ceremonies) in public submissions.</w:t>
            </w:r>
          </w:p>
        </w:tc>
      </w:tr>
    </w:tbl>
    <w:p>
      <w:pPr>
        <w:pBdr>
          <w:bottom w:val="single" w:color="0B2447" w:sz="8" w:space="1"/>
        </w:pBdr>
        <w:spacing w:before="300" w:after="240"/>
      </w:pPr>
    </w:p>
    <w:p>
      <w:pPr>
        <w:pStyle w:val="Heading1"/>
        <w:spacing w:before="360" w:after="180"/>
      </w:pPr>
      <w:r>
        <w:rPr>
          <w:rFonts w:ascii="Calibri" w:cs="Calibri" w:eastAsia="Calibri" w:hAnsi="Calibri"/>
          <w:b/>
          <w:bCs/>
          <w:color w:val="0A6EBD"/>
          <w:sz w:val="32"/>
          <w:szCs w:val="32"/>
        </w:rPr>
        <w:t xml:space="preserve">02  </w:t>
      </w:r>
      <w:r>
        <w:rPr>
          <w:rFonts w:ascii="Calibri" w:cs="Calibri" w:eastAsia="Calibri" w:hAnsi="Calibri"/>
          <w:b/>
          <w:bCs/>
          <w:color w:val="0B2447"/>
          <w:sz w:val="32"/>
          <w:szCs w:val="32"/>
        </w:rPr>
        <w:t xml:space="preserve">METHODOLOGY</w:t>
      </w: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19376D"/>
          <w:sz w:val="24"/>
          <w:szCs w:val="24"/>
        </w:rPr>
        <w:t xml:space="preserve">Data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000"/>
        <w:gridCol w:w="2160"/>
      </w:tblGrid>
      <w:tr>
        <w:trPr>
          <w:tblHeader/>
        </w:trPr>
        <w:tc>
          <w:tcPr>
            <w:tcW w:type="dxa" w:w="3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0B24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Meeting</w:t>
            </w:r>
          </w:p>
        </w:tc>
        <w:tc>
          <w:tcPr>
            <w:tcW w:type="dxa" w:w="40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0B24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File / Transcript</w:t>
            </w:r>
          </w:p>
        </w:tc>
        <w:tc>
          <w:tcPr>
            <w:tcW w:type="dxa" w:w="216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0B24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How We Got Here — Defining Securities</w:t>
            </w:r>
          </w:p>
        </w:tc>
        <w:tc>
          <w:tcPr>
            <w:tcW w:type="dxa" w:w="40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SEC_Meeting_Report_how-we-got-here…</w:t>
            </w:r>
          </w:p>
        </w:tc>
        <w:tc>
          <w:tcPr>
            <w:tcW w:type="dxa" w:w="216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March 21, 2025</w:t>
            </w:r>
          </w:p>
        </w:tc>
      </w:tr>
      <w:tr>
        <w:tc>
          <w:tcPr>
            <w:tcW w:type="dxa" w:w="3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Between a Block and a Hard Place — Trading Regulation</w:t>
            </w:r>
          </w:p>
        </w:tc>
        <w:tc>
          <w:tcPr>
            <w:tcW w:type="dxa" w:w="40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SEC_Meeting_Report_between-block…</w:t>
            </w:r>
          </w:p>
        </w:tc>
        <w:tc>
          <w:tcPr>
            <w:tcW w:type="dxa" w:w="216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April 11, 2025</w:t>
            </w:r>
          </w:p>
        </w:tc>
      </w:tr>
      <w:tr>
        <w:tc>
          <w:tcPr>
            <w:tcW w:type="dxa" w:w="3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Know Your Custodian — Crypto Custody</w:t>
            </w:r>
          </w:p>
        </w:tc>
        <w:tc>
          <w:tcPr>
            <w:tcW w:type="dxa" w:w="40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SEC_Meeting_Report_know-your-custodian…</w:t>
            </w:r>
          </w:p>
        </w:tc>
        <w:tc>
          <w:tcPr>
            <w:tcW w:type="dxa" w:w="216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April 28, 2025</w:t>
            </w:r>
          </w:p>
        </w:tc>
      </w:tr>
      <w:tr>
        <w:tc>
          <w:tcPr>
            <w:tcW w:type="dxa" w:w="3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Tokenization — Moving Assets On-Chain</w:t>
            </w:r>
          </w:p>
        </w:tc>
        <w:tc>
          <w:tcPr>
            <w:tcW w:type="dxa" w:w="40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SEC_Meeting_Report_tokenization…</w:t>
            </w:r>
          </w:p>
        </w:tc>
        <w:tc>
          <w:tcPr>
            <w:tcW w:type="dxa" w:w="216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May 12, 2025</w:t>
            </w:r>
          </w:p>
        </w:tc>
      </w:tr>
      <w:tr>
        <w:tc>
          <w:tcPr>
            <w:tcW w:type="dxa" w:w="3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DeFi and the American Spirit</w:t>
            </w:r>
          </w:p>
        </w:tc>
        <w:tc>
          <w:tcPr>
            <w:tcW w:type="dxa" w:w="40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SEC_Meeting_Report_defi-american-spirit…</w:t>
            </w:r>
          </w:p>
        </w:tc>
        <w:tc>
          <w:tcPr>
            <w:tcW w:type="dxa" w:w="216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June 9, 2025</w:t>
            </w:r>
          </w:p>
        </w:tc>
      </w:tr>
    </w:tbl>
    <w:p>
      <w:pPr>
        <w:spacing w:before="120" w:after="80"/>
      </w:pPr>
    </w:p>
    <w:p>
      <w:pPr>
        <w:pStyle w:val="ListParagraph"/>
        <w:numPr>
          <w:ilvl w:val="0"/>
          <w:numId w:val="2"/>
        </w:numPr>
        <w:spacing w:before="50" w:after="50"/>
        <w:ind w:left="720" w:hanging="3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Additional context source: SAB 122 (rescinding SAB 121) — confirmed via RAG search.</w:t>
      </w:r>
    </w:p>
    <w:p>
      <w:pPr>
        <w:spacing w:before="180" w:after="8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19376D"/>
          <w:sz w:val="24"/>
          <w:szCs w:val="24"/>
        </w:rPr>
        <w:t xml:space="preserve">Analytical Approach</w:t>
      </w:r>
    </w:p>
    <w:p>
      <w:pPr>
        <w:pStyle w:val="ListParagraph"/>
        <w:numPr>
          <w:ilvl w:val="0"/>
          <w:numId w:val="2"/>
        </w:numPr>
        <w:spacing w:before="50" w:after="50"/>
        <w:ind w:left="720" w:hanging="3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Mixed qualitative aggregation: extracted topics, speaker roles, repeated signals (repetition, alignment with staff/commission statements, explicit staff directives), and cross-meeting pattern detection.</w:t>
      </w:r>
    </w:p>
    <w:p>
      <w:pPr>
        <w:pStyle w:val="ListParagraph"/>
        <w:numPr>
          <w:ilvl w:val="0"/>
          <w:numId w:val="2"/>
        </w:numPr>
        <w:spacing w:before="50" w:after="50"/>
        <w:ind w:left="720" w:hanging="3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Speaker canonicalization: unified transcript variants; matched roles by meeting metadata.</w:t>
      </w:r>
    </w:p>
    <w:p>
      <w:pPr>
        <w:pStyle w:val="ListParagraph"/>
        <w:numPr>
          <w:ilvl w:val="0"/>
          <w:numId w:val="2"/>
        </w:numPr>
        <w:spacing w:before="50" w:after="50"/>
        <w:ind w:left="720" w:hanging="3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Topic tagging: controlled taxonomy (Section 5) applied to all speaker turns; created binary and depth engagement matrices.</w:t>
      </w:r>
    </w:p>
    <w:p>
      <w:pPr>
        <w:spacing w:before="180" w:after="8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19376D"/>
          <w:sz w:val="24"/>
          <w:szCs w:val="24"/>
        </w:rPr>
        <w:t xml:space="preserve">Confidence Scoring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0B24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656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0B24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28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E8F5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C2A"/>
                <w:sz w:val="18"/>
                <w:szCs w:val="18"/>
              </w:rPr>
              <w:t xml:space="preserve">FACT</w:t>
            </w:r>
          </w:p>
        </w:tc>
        <w:tc>
          <w:tcPr>
            <w:tcW w:type="dxa" w:w="656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Direct quote or explicit meeting statement (documented transcript)</w:t>
            </w:r>
          </w:p>
        </w:tc>
      </w:tr>
      <w:tr>
        <w:tc>
          <w:tcPr>
            <w:tcW w:type="dxa" w:w="28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5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A4F00"/>
                <w:sz w:val="18"/>
                <w:szCs w:val="18"/>
              </w:rPr>
              <w:t xml:space="preserve">HIGH CONFIDENCE ANALYSIS</w:t>
            </w:r>
          </w:p>
        </w:tc>
        <w:tc>
          <w:tcPr>
            <w:tcW w:type="dxa" w:w="656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Repeated items appearing in ≥3 meetings or tied to explicit staff/Chair directives</w:t>
            </w:r>
          </w:p>
        </w:tc>
      </w:tr>
      <w:tr>
        <w:tc>
          <w:tcPr>
            <w:tcW w:type="dxa" w:w="28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C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1515"/>
                <w:sz w:val="18"/>
                <w:szCs w:val="18"/>
              </w:rPr>
              <w:t xml:space="preserve">INFERENCE</w:t>
            </w:r>
          </w:p>
        </w:tc>
        <w:tc>
          <w:tcPr>
            <w:tcW w:type="dxa" w:w="656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Reasoned predictions where direct evidence is lacking</w:t>
            </w:r>
          </w:p>
        </w:tc>
      </w:tr>
      <w:tr>
        <w:tc>
          <w:tcPr>
            <w:tcW w:type="dxa" w:w="28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E8F5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C2A"/>
                <w:sz w:val="18"/>
                <w:szCs w:val="18"/>
              </w:rPr>
              <w:t xml:space="preserve">● High Prediction</w:t>
            </w:r>
          </w:p>
        </w:tc>
        <w:tc>
          <w:tcPr>
            <w:tcW w:type="dxa" w:w="656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Multiple direct statements + staff/Chair action</w:t>
            </w:r>
          </w:p>
        </w:tc>
      </w:tr>
      <w:tr>
        <w:tc>
          <w:tcPr>
            <w:tcW w:type="dxa" w:w="28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5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A4F00"/>
                <w:sz w:val="18"/>
                <w:szCs w:val="18"/>
              </w:rPr>
              <w:t xml:space="preserve">◑ Medium Prediction</w:t>
            </w:r>
          </w:p>
        </w:tc>
        <w:tc>
          <w:tcPr>
            <w:tcW w:type="dxa" w:w="656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Cross-meeting convergence but absence of explicit commitments</w:t>
            </w:r>
          </w:p>
        </w:tc>
      </w:tr>
      <w:tr>
        <w:tc>
          <w:tcPr>
            <w:tcW w:type="dxa" w:w="28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C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1515"/>
                <w:sz w:val="18"/>
                <w:szCs w:val="18"/>
              </w:rPr>
              <w:t xml:space="preserve">○ Low Prediction</w:t>
            </w:r>
          </w:p>
        </w:tc>
        <w:tc>
          <w:tcPr>
            <w:tcW w:type="dxa" w:w="656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Single meeting mention or single stakeholder advocacy</w:t>
            </w:r>
          </w:p>
        </w:tc>
      </w:tr>
    </w:tbl>
    <w:p>
      <w:pPr>
        <w:pBdr>
          <w:bottom w:val="single" w:color="0B2447" w:sz="8" w:space="1"/>
        </w:pBdr>
        <w:spacing w:before="300" w:after="240"/>
      </w:pPr>
    </w:p>
    <w:p>
      <w:pPr>
        <w:pStyle w:val="Heading1"/>
        <w:spacing w:before="360" w:after="180"/>
      </w:pPr>
      <w:r>
        <w:rPr>
          <w:rFonts w:ascii="Calibri" w:cs="Calibri" w:eastAsia="Calibri" w:hAnsi="Calibri"/>
          <w:b/>
          <w:bCs/>
          <w:color w:val="0A6EBD"/>
          <w:sz w:val="32"/>
          <w:szCs w:val="32"/>
        </w:rPr>
        <w:t xml:space="preserve">03  </w:t>
      </w:r>
      <w:r>
        <w:rPr>
          <w:rFonts w:ascii="Calibri" w:cs="Calibri" w:eastAsia="Calibri" w:hAnsi="Calibri"/>
          <w:b/>
          <w:bCs/>
          <w:color w:val="0B2447"/>
          <w:sz w:val="32"/>
          <w:szCs w:val="32"/>
        </w:rPr>
        <w:t xml:space="preserve">CROSS-MEETING EVIDENCE SUMMARY</w:t>
      </w: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19376D"/>
          <w:sz w:val="24"/>
          <w:szCs w:val="24"/>
        </w:rPr>
        <w:t xml:space="preserve">Topic × Meeting Frequency Matrix</w:t>
      </w:r>
    </w:p>
    <w:p>
      <w:pPr>
        <w:spacing w:before="40" w:after="60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Presence = topic explicitly discussed in that meeting report. (FACTS)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100"/>
        <w:gridCol w:w="1100"/>
        <w:gridCol w:w="1200"/>
        <w:gridCol w:w="1100"/>
        <w:gridCol w:w="1080"/>
        <w:gridCol w:w="1080"/>
      </w:tblGrid>
      <w:tr>
        <w:trPr>
          <w:tblHeader/>
        </w:trPr>
        <w:tc>
          <w:tcPr>
            <w:tcW w:type="dxa" w:w="27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0B24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11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0B24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How We Got Here</w:t>
            </w:r>
          </w:p>
        </w:tc>
        <w:tc>
          <w:tcPr>
            <w:tcW w:type="dxa" w:w="11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0B24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Between Block</w:t>
            </w:r>
          </w:p>
        </w:tc>
        <w:tc>
          <w:tcPr>
            <w:tcW w:type="dxa" w:w="1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0B24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Know Your Custodian</w:t>
            </w:r>
          </w:p>
        </w:tc>
        <w:tc>
          <w:tcPr>
            <w:tcW w:type="dxa" w:w="11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0B24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Tokenization</w:t>
            </w:r>
          </w:p>
        </w:tc>
        <w:tc>
          <w:tcPr>
            <w:tcW w:type="dxa" w:w="108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0B24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DeFi</w:t>
            </w:r>
          </w:p>
        </w:tc>
        <w:tc>
          <w:tcPr>
            <w:tcW w:type="dxa" w:w="108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0B24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Total Meetings</w:t>
            </w:r>
          </w:p>
        </w:tc>
      </w:tr>
      <w:tr>
        <w:tc>
          <w:tcPr>
            <w:tcW w:type="dxa" w:w="27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Howey / Securities Classification</w:t>
            </w:r>
          </w:p>
        </w:tc>
        <w:tc>
          <w:tcPr>
            <w:tcW w:type="dxa" w:w="11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E8F5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5C2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E8F5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5C2A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E8F5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5C2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E8F5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5C2A"/>
                <w:sz w:val="18"/>
                <w:szCs w:val="18"/>
              </w:rPr>
              <w:t xml:space="preserve">✓</w:t>
            </w:r>
          </w:p>
        </w:tc>
        <w:tc>
          <w:tcPr>
            <w:tcW w:type="dxa" w:w="108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E8F5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5C2A"/>
                <w:sz w:val="18"/>
                <w:szCs w:val="18"/>
              </w:rPr>
              <w:t xml:space="preserve">✓</w:t>
            </w:r>
          </w:p>
        </w:tc>
        <w:tc>
          <w:tcPr>
            <w:tcW w:type="dxa" w:w="108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0B24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5 / 5</w:t>
            </w:r>
          </w:p>
        </w:tc>
      </w:tr>
      <w:tr>
        <w:tc>
          <w:tcPr>
            <w:tcW w:type="dxa" w:w="27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Control / Decentralization Tests</w:t>
            </w:r>
          </w:p>
        </w:tc>
        <w:tc>
          <w:tcPr>
            <w:tcW w:type="dxa" w:w="11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E8F5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5C2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999999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E8F5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5C2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E8F5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5C2A"/>
                <w:sz w:val="18"/>
                <w:szCs w:val="18"/>
              </w:rPr>
              <w:t xml:space="preserve">✓</w:t>
            </w:r>
          </w:p>
        </w:tc>
        <w:tc>
          <w:tcPr>
            <w:tcW w:type="dxa" w:w="108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E8F5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5C2A"/>
                <w:sz w:val="18"/>
                <w:szCs w:val="18"/>
              </w:rPr>
              <w:t xml:space="preserve">✓</w:t>
            </w:r>
          </w:p>
        </w:tc>
        <w:tc>
          <w:tcPr>
            <w:tcW w:type="dxa" w:w="108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19376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4 / 5</w:t>
            </w:r>
          </w:p>
        </w:tc>
      </w:tr>
      <w:tr>
        <w:tc>
          <w:tcPr>
            <w:tcW w:type="dxa" w:w="27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Custody / Qualified Custodian</w:t>
            </w:r>
          </w:p>
        </w:tc>
        <w:tc>
          <w:tcPr>
            <w:tcW w:type="dxa" w:w="11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E8F5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5C2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E8F5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5C2A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E8F5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5C2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E8F5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5C2A"/>
                <w:sz w:val="18"/>
                <w:szCs w:val="18"/>
              </w:rPr>
              <w:t xml:space="preserve">✓</w:t>
            </w:r>
          </w:p>
        </w:tc>
        <w:tc>
          <w:tcPr>
            <w:tcW w:type="dxa" w:w="108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E8F5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5C2A"/>
                <w:sz w:val="18"/>
                <w:szCs w:val="18"/>
              </w:rPr>
              <w:t xml:space="preserve">✓</w:t>
            </w:r>
          </w:p>
        </w:tc>
        <w:tc>
          <w:tcPr>
            <w:tcW w:type="dxa" w:w="108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0B24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5 / 5</w:t>
            </w:r>
          </w:p>
        </w:tc>
      </w:tr>
      <w:tr>
        <w:tc>
          <w:tcPr>
            <w:tcW w:type="dxa" w:w="27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Tokenization / Transfer Agent</w:t>
            </w:r>
          </w:p>
        </w:tc>
        <w:tc>
          <w:tcPr>
            <w:tcW w:type="dxa" w:w="11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999999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E8F5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5C2A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E8F5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5C2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E8F5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5C2A"/>
                <w:sz w:val="18"/>
                <w:szCs w:val="18"/>
              </w:rPr>
              <w:t xml:space="preserve">✓</w:t>
            </w:r>
          </w:p>
        </w:tc>
        <w:tc>
          <w:tcPr>
            <w:tcW w:type="dxa" w:w="108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E8F5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5C2A"/>
                <w:sz w:val="18"/>
                <w:szCs w:val="18"/>
              </w:rPr>
              <w:t xml:space="preserve">✓</w:t>
            </w:r>
          </w:p>
        </w:tc>
        <w:tc>
          <w:tcPr>
            <w:tcW w:type="dxa" w:w="108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19376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4 / 5</w:t>
            </w:r>
          </w:p>
        </w:tc>
      </w:tr>
      <w:tr>
        <w:tc>
          <w:tcPr>
            <w:tcW w:type="dxa" w:w="27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Market Structure / ATS / SPBD</w:t>
            </w:r>
          </w:p>
        </w:tc>
        <w:tc>
          <w:tcPr>
            <w:tcW w:type="dxa" w:w="11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999999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E8F5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5C2A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E8F5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5C2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E8F5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5C2A"/>
                <w:sz w:val="18"/>
                <w:szCs w:val="18"/>
              </w:rPr>
              <w:t xml:space="preserve">✓</w:t>
            </w:r>
          </w:p>
        </w:tc>
        <w:tc>
          <w:tcPr>
            <w:tcW w:type="dxa" w:w="108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999999"/>
                <w:sz w:val="18"/>
                <w:szCs w:val="18"/>
              </w:rPr>
              <w:t xml:space="preserve">—</w:t>
            </w:r>
          </w:p>
        </w:tc>
        <w:tc>
          <w:tcPr>
            <w:tcW w:type="dxa" w:w="108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0A6EB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3 / 5</w:t>
            </w:r>
          </w:p>
        </w:tc>
      </w:tr>
      <w:tr>
        <w:tc>
          <w:tcPr>
            <w:tcW w:type="dxa" w:w="27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Settlement / Netting / Clearing</w:t>
            </w:r>
          </w:p>
        </w:tc>
        <w:tc>
          <w:tcPr>
            <w:tcW w:type="dxa" w:w="11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999999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E8F5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5C2A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E8F5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5C2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E8F5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5C2A"/>
                <w:sz w:val="18"/>
                <w:szCs w:val="18"/>
              </w:rPr>
              <w:t xml:space="preserve">✓</w:t>
            </w:r>
          </w:p>
        </w:tc>
        <w:tc>
          <w:tcPr>
            <w:tcW w:type="dxa" w:w="108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999999"/>
                <w:sz w:val="18"/>
                <w:szCs w:val="18"/>
              </w:rPr>
              <w:t xml:space="preserve">—</w:t>
            </w:r>
          </w:p>
        </w:tc>
        <w:tc>
          <w:tcPr>
            <w:tcW w:type="dxa" w:w="108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0A6EB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3 / 5</w:t>
            </w:r>
          </w:p>
        </w:tc>
      </w:tr>
      <w:tr>
        <w:tc>
          <w:tcPr>
            <w:tcW w:type="dxa" w:w="27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Disclosure / Investor Protection</w:t>
            </w:r>
          </w:p>
        </w:tc>
        <w:tc>
          <w:tcPr>
            <w:tcW w:type="dxa" w:w="11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E8F5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5C2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E8F5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5C2A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E8F5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5C2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E8F5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5C2A"/>
                <w:sz w:val="18"/>
                <w:szCs w:val="18"/>
              </w:rPr>
              <w:t xml:space="preserve">✓</w:t>
            </w:r>
          </w:p>
        </w:tc>
        <w:tc>
          <w:tcPr>
            <w:tcW w:type="dxa" w:w="108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E8F5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5C2A"/>
                <w:sz w:val="18"/>
                <w:szCs w:val="18"/>
              </w:rPr>
              <w:t xml:space="preserve">✓</w:t>
            </w:r>
          </w:p>
        </w:tc>
        <w:tc>
          <w:tcPr>
            <w:tcW w:type="dxa" w:w="108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0B24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5 / 5</w:t>
            </w:r>
          </w:p>
        </w:tc>
      </w:tr>
      <w:tr>
        <w:tc>
          <w:tcPr>
            <w:tcW w:type="dxa" w:w="27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Enforcement / Litigation</w:t>
            </w:r>
          </w:p>
        </w:tc>
        <w:tc>
          <w:tcPr>
            <w:tcW w:type="dxa" w:w="11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E8F5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5C2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E8F5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5C2A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E8F5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5C2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E8F5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5C2A"/>
                <w:sz w:val="18"/>
                <w:szCs w:val="18"/>
              </w:rPr>
              <w:t xml:space="preserve">✓</w:t>
            </w:r>
          </w:p>
        </w:tc>
        <w:tc>
          <w:tcPr>
            <w:tcW w:type="dxa" w:w="108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E8F5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5C2A"/>
                <w:sz w:val="18"/>
                <w:szCs w:val="18"/>
              </w:rPr>
              <w:t xml:space="preserve">✓</w:t>
            </w:r>
          </w:p>
        </w:tc>
        <w:tc>
          <w:tcPr>
            <w:tcW w:type="dxa" w:w="108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0B24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5 / 5</w:t>
            </w:r>
          </w:p>
        </w:tc>
      </w:tr>
      <w:tr>
        <w:tc>
          <w:tcPr>
            <w:tcW w:type="dxa" w:w="27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DeFi / Non-custodial Activity</w:t>
            </w:r>
          </w:p>
        </w:tc>
        <w:tc>
          <w:tcPr>
            <w:tcW w:type="dxa" w:w="11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E8F5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5C2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E8F5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5C2A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E8F5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5C2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E8F5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5C2A"/>
                <w:sz w:val="18"/>
                <w:szCs w:val="18"/>
              </w:rPr>
              <w:t xml:space="preserve">✓</w:t>
            </w:r>
          </w:p>
        </w:tc>
        <w:tc>
          <w:tcPr>
            <w:tcW w:type="dxa" w:w="108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E8F5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5C2A"/>
                <w:sz w:val="18"/>
                <w:szCs w:val="18"/>
              </w:rPr>
              <w:t xml:space="preserve">✓</w:t>
            </w:r>
          </w:p>
        </w:tc>
        <w:tc>
          <w:tcPr>
            <w:tcW w:type="dxa" w:w="108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0B24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5 / 5</w:t>
            </w:r>
          </w:p>
        </w:tc>
      </w:tr>
      <w:tr>
        <w:tc>
          <w:tcPr>
            <w:tcW w:type="dxa" w:w="27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AML / KYC / Sanctions</w:t>
            </w:r>
          </w:p>
        </w:tc>
        <w:tc>
          <w:tcPr>
            <w:tcW w:type="dxa" w:w="11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999999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E8F5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5C2A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E8F5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5C2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E8F5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5C2A"/>
                <w:sz w:val="18"/>
                <w:szCs w:val="18"/>
              </w:rPr>
              <w:t xml:space="preserve">✓</w:t>
            </w:r>
          </w:p>
        </w:tc>
        <w:tc>
          <w:tcPr>
            <w:tcW w:type="dxa" w:w="108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E8F5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5C2A"/>
                <w:sz w:val="18"/>
                <w:szCs w:val="18"/>
              </w:rPr>
              <w:t xml:space="preserve">✓</w:t>
            </w:r>
          </w:p>
        </w:tc>
        <w:tc>
          <w:tcPr>
            <w:tcW w:type="dxa" w:w="108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19376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4 / 5</w:t>
            </w:r>
          </w:p>
        </w:tc>
      </w:tr>
      <w:tr>
        <w:tc>
          <w:tcPr>
            <w:tcW w:type="dxa" w:w="27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Staking / Liquid Staking</w:t>
            </w:r>
          </w:p>
        </w:tc>
        <w:tc>
          <w:tcPr>
            <w:tcW w:type="dxa" w:w="11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999999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999999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E8F5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5C2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E8F5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5C2A"/>
                <w:sz w:val="18"/>
                <w:szCs w:val="18"/>
              </w:rPr>
              <w:t xml:space="preserve">✓</w:t>
            </w:r>
          </w:p>
        </w:tc>
        <w:tc>
          <w:tcPr>
            <w:tcW w:type="dxa" w:w="108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E8F5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5C2A"/>
                <w:sz w:val="18"/>
                <w:szCs w:val="18"/>
              </w:rPr>
              <w:t xml:space="preserve">✓</w:t>
            </w:r>
          </w:p>
        </w:tc>
        <w:tc>
          <w:tcPr>
            <w:tcW w:type="dxa" w:w="108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0A6EB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3 / 5</w:t>
            </w:r>
          </w:p>
        </w:tc>
      </w:tr>
      <w:tr>
        <w:tc>
          <w:tcPr>
            <w:tcW w:type="dxa" w:w="27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Data / Surveillance</w:t>
            </w:r>
          </w:p>
        </w:tc>
        <w:tc>
          <w:tcPr>
            <w:tcW w:type="dxa" w:w="11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999999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E8F5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5C2A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E8F5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5C2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E8F5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5C2A"/>
                <w:sz w:val="18"/>
                <w:szCs w:val="18"/>
              </w:rPr>
              <w:t xml:space="preserve">✓</w:t>
            </w:r>
          </w:p>
        </w:tc>
        <w:tc>
          <w:tcPr>
            <w:tcW w:type="dxa" w:w="108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999999"/>
                <w:sz w:val="18"/>
                <w:szCs w:val="18"/>
              </w:rPr>
              <w:t xml:space="preserve">—</w:t>
            </w:r>
          </w:p>
        </w:tc>
        <w:tc>
          <w:tcPr>
            <w:tcW w:type="dxa" w:w="108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0A6EB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3 / 5</w:t>
            </w:r>
          </w:p>
        </w:tc>
      </w:tr>
      <w:tr>
        <w:tc>
          <w:tcPr>
            <w:tcW w:type="dxa" w:w="27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Sandboxes / Conditional Exemptive Relief</w:t>
            </w:r>
          </w:p>
        </w:tc>
        <w:tc>
          <w:tcPr>
            <w:tcW w:type="dxa" w:w="11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E8F5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5C2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E8F5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5C2A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E8F5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5C2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E8F5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5C2A"/>
                <w:sz w:val="18"/>
                <w:szCs w:val="18"/>
              </w:rPr>
              <w:t xml:space="preserve">✓</w:t>
            </w:r>
          </w:p>
        </w:tc>
        <w:tc>
          <w:tcPr>
            <w:tcW w:type="dxa" w:w="108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E8F5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5C2A"/>
                <w:sz w:val="18"/>
                <w:szCs w:val="18"/>
              </w:rPr>
              <w:t xml:space="preserve">✓</w:t>
            </w:r>
          </w:p>
        </w:tc>
        <w:tc>
          <w:tcPr>
            <w:tcW w:type="dxa" w:w="108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0B24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5 / 5</w:t>
            </w:r>
          </w:p>
        </w:tc>
      </w:tr>
      <w:tr>
        <w:tc>
          <w:tcPr>
            <w:tcW w:type="dxa" w:w="27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Inter-agency / Legislative Gaps</w:t>
            </w:r>
          </w:p>
        </w:tc>
        <w:tc>
          <w:tcPr>
            <w:tcW w:type="dxa" w:w="11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E8F5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5C2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E8F5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5C2A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E8F5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5C2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E8F5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5C2A"/>
                <w:sz w:val="18"/>
                <w:szCs w:val="18"/>
              </w:rPr>
              <w:t xml:space="preserve">✓</w:t>
            </w:r>
          </w:p>
        </w:tc>
        <w:tc>
          <w:tcPr>
            <w:tcW w:type="dxa" w:w="108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E8F5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5C2A"/>
                <w:sz w:val="18"/>
                <w:szCs w:val="18"/>
              </w:rPr>
              <w:t xml:space="preserve">✓</w:t>
            </w:r>
          </w:p>
        </w:tc>
        <w:tc>
          <w:tcPr>
            <w:tcW w:type="dxa" w:w="108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0B24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5 / 5</w:t>
            </w:r>
          </w:p>
        </w:tc>
      </w:tr>
      <w:tr>
        <w:tc>
          <w:tcPr>
            <w:tcW w:type="dxa" w:w="27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NFTs &amp; Special Asset Classes</w:t>
            </w:r>
          </w:p>
        </w:tc>
        <w:tc>
          <w:tcPr>
            <w:tcW w:type="dxa" w:w="11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E8F5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5C2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999999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E8F5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5C2A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E8F5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5C2A"/>
                <w:sz w:val="18"/>
                <w:szCs w:val="18"/>
              </w:rPr>
              <w:t xml:space="preserve">✓</w:t>
            </w:r>
          </w:p>
        </w:tc>
        <w:tc>
          <w:tcPr>
            <w:tcW w:type="dxa" w:w="108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E8F5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5C2A"/>
                <w:sz w:val="18"/>
                <w:szCs w:val="18"/>
              </w:rPr>
              <w:t xml:space="preserve">✓</w:t>
            </w:r>
          </w:p>
        </w:tc>
        <w:tc>
          <w:tcPr>
            <w:tcW w:type="dxa" w:w="108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19376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4 / 5</w:t>
            </w:r>
          </w:p>
        </w:tc>
      </w:tr>
    </w:tbl>
    <w:p>
      <w:pPr>
        <w:spacing w:before="200" w:after="10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19376D"/>
          <w:sz w:val="24"/>
          <w:szCs w:val="24"/>
        </w:rPr>
        <w:t xml:space="preserve">Recurring Themes (≥ 3 Meetings)</w:t>
      </w:r>
    </w:p>
    <w:p>
      <w:pPr>
        <w:pStyle w:val="ListParagraph"/>
        <w:numPr>
          <w:ilvl w:val="0"/>
          <w:numId w:val="2"/>
        </w:numPr>
        <w:spacing w:before="50" w:after="50"/>
        <w:ind w:left="720" w:hanging="3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Need for clarity on custody/qualified-custodian standards and auditable evidence (custody, tokenization, trading, DeFi, Howey). FACTS</w:t>
      </w:r>
    </w:p>
    <w:p>
      <w:pPr>
        <w:pStyle w:val="ListParagraph"/>
        <w:numPr>
          <w:ilvl w:val="0"/>
          <w:numId w:val="2"/>
        </w:numPr>
        <w:spacing w:before="50" w:after="50"/>
        <w:ind w:left="720" w:hanging="3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Staff-led pilots/sandboxes/conditional exemptive relief as intermediate policy instruments (all five meetings). FACTS</w:t>
      </w:r>
    </w:p>
    <w:p>
      <w:pPr>
        <w:pStyle w:val="ListParagraph"/>
        <w:numPr>
          <w:ilvl w:val="0"/>
          <w:numId w:val="2"/>
        </w:numPr>
        <w:spacing w:before="50" w:after="50"/>
        <w:ind w:left="720" w:hanging="3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Importance of technology-neutral, principles-based approach (custody, tokenization, DeFi). FACTS</w:t>
      </w:r>
    </w:p>
    <w:p>
      <w:pPr>
        <w:pStyle w:val="ListParagraph"/>
        <w:numPr>
          <w:ilvl w:val="0"/>
          <w:numId w:val="2"/>
        </w:numPr>
        <w:spacing w:before="50" w:after="50"/>
        <w:ind w:left="720" w:hanging="3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Control/decentralization as a practical analytic axis to de-risk tokens (Howey, DeFi, tokenization). FACTS</w:t>
      </w:r>
    </w:p>
    <w:p>
      <w:pPr>
        <w:pStyle w:val="ListParagraph"/>
        <w:numPr>
          <w:ilvl w:val="0"/>
          <w:numId w:val="2"/>
        </w:numPr>
        <w:spacing w:before="50" w:after="50"/>
        <w:ind w:left="720" w:hanging="3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Market structure modernization (ATS/SPBD, consolidated tape analogue, settlement innovation) needed to support onshore tokenized trading. FACTS</w:t>
      </w:r>
    </w:p>
    <w:p>
      <w:pPr>
        <w:spacing w:before="200" w:after="10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19376D"/>
          <w:sz w:val="24"/>
          <w:szCs w:val="24"/>
        </w:rPr>
        <w:t xml:space="preserve">Single-Meeting Highlights</w:t>
      </w:r>
    </w:p>
    <w:p>
      <w:pPr>
        <w:pStyle w:val="ListParagraph"/>
        <w:numPr>
          <w:ilvl w:val="0"/>
          <w:numId w:val="2"/>
        </w:numPr>
        <w:spacing w:before="50" w:after="50"/>
        <w:ind w:left="720" w:hanging="3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Howey risk-mapping phrasing was strongest in 'How We Got Here' (Chris Brummer's framing). FACTS</w:t>
      </w:r>
    </w:p>
    <w:p>
      <w:pPr>
        <w:pStyle w:val="ListParagraph"/>
        <w:numPr>
          <w:ilvl w:val="0"/>
          <w:numId w:val="2"/>
        </w:numPr>
        <w:spacing w:before="50" w:after="50"/>
        <w:ind w:left="720" w:hanging="3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DTCC 'Project Ion' experiments were principally described in the Tokenization meeting (Christian Sabella). FACTS</w:t>
      </w:r>
    </w:p>
    <w:p>
      <w:pPr>
        <w:pStyle w:val="ListParagraph"/>
        <w:numPr>
          <w:ilvl w:val="0"/>
          <w:numId w:val="2"/>
        </w:numPr>
        <w:spacing w:before="50" w:after="50"/>
        <w:ind w:left="720" w:hanging="3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EtherDelta / Coburn case and code-as-speech legal framing had strongest presence in DeFi meeting (Commissioner Pur &amp; panelists). FACTS</w:t>
      </w:r>
    </w:p>
    <w:p>
      <w:pPr>
        <w:pBdr>
          <w:bottom w:val="single" w:color="0B2447" w:sz="8" w:space="1"/>
        </w:pBdr>
        <w:spacing w:before="300" w:after="240"/>
      </w:pPr>
    </w:p>
    <w:p>
      <w:pPr>
        <w:pStyle w:val="Heading1"/>
        <w:spacing w:before="360" w:after="180"/>
      </w:pPr>
      <w:r>
        <w:rPr>
          <w:rFonts w:ascii="Calibri" w:cs="Calibri" w:eastAsia="Calibri" w:hAnsi="Calibri"/>
          <w:b/>
          <w:bCs/>
          <w:color w:val="0A6EBD"/>
          <w:sz w:val="32"/>
          <w:szCs w:val="32"/>
        </w:rPr>
        <w:t xml:space="preserve">04  </w:t>
      </w:r>
      <w:r>
        <w:rPr>
          <w:rFonts w:ascii="Calibri" w:cs="Calibri" w:eastAsia="Calibri" w:hAnsi="Calibri"/>
          <w:b/>
          <w:bCs/>
          <w:color w:val="0B2447"/>
          <w:sz w:val="32"/>
          <w:szCs w:val="32"/>
        </w:rPr>
        <w:t xml:space="preserve">SPEAKER ANALYSIS &amp; INFLUENCE MAPPING</w:t>
      </w: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19376D"/>
          <w:sz w:val="24"/>
          <w:szCs w:val="24"/>
        </w:rPr>
        <w:t xml:space="preserve">Influence Tier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0B24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28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0B24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Individuals</w:t>
            </w:r>
          </w:p>
        </w:tc>
        <w:tc>
          <w:tcPr>
            <w:tcW w:type="dxa" w:w="436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0B24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Evidence Indicators</w:t>
            </w:r>
          </w:p>
        </w:tc>
      </w:tr>
      <w:tr>
        <w:tc>
          <w:tcPr>
            <w:tcW w:type="dxa" w:w="2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0B24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Tier 1 — High Influence</w:t>
            </w:r>
          </w:p>
        </w:tc>
        <w:tc>
          <w:tcPr>
            <w:tcW w:type="dxa" w:w="28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Chairman Atkins; Acting Chair Mark Uyeda</w:t>
            </w:r>
          </w:p>
        </w:tc>
        <w:tc>
          <w:tcPr>
            <w:tcW w:type="dxa" w:w="436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Formal authority + staff directives (Atkins); framing speeches + policy suggestions (Uyeda); appeared in multiple meetings; linked to explicit staff tasks.</w:t>
            </w:r>
          </w:p>
        </w:tc>
      </w:tr>
      <w:tr>
        <w:tc>
          <w:tcPr>
            <w:tcW w:type="dxa" w:w="2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19376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Tier 2 — Medium Influence</w:t>
            </w:r>
          </w:p>
        </w:tc>
        <w:tc>
          <w:tcPr>
            <w:tcW w:type="dxa" w:w="28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Nicholas Losurdo; Christian Sabella (DTCC); Jason Allegrante; Rachel Anderica</w:t>
            </w:r>
          </w:p>
        </w:tc>
        <w:tc>
          <w:tcPr>
            <w:tcW w:type="dxa" w:w="436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Agenda-setting, repeated cross-meeting engagement, operational proposals referenced by staff.</w:t>
            </w:r>
          </w:p>
        </w:tc>
      </w:tr>
      <w:tr>
        <w:tc>
          <w:tcPr>
            <w:tcW w:type="dxa" w:w="2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0A6EB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Tier 3 — Persuasive Influence</w:t>
            </w:r>
          </w:p>
        </w:tc>
        <w:tc>
          <w:tcPr>
            <w:tcW w:type="dxa" w:w="28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Chris Brummer, Miles (a16z), John Reed Stark, Katherine Minarik, Teresa, Rodrigo</w:t>
            </w:r>
          </w:p>
        </w:tc>
        <w:tc>
          <w:tcPr>
            <w:tcW w:type="dxa" w:w="436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Strong subject-matter influence; primarily persuasive rather than formal decision authority.</w:t>
            </w:r>
          </w:p>
        </w:tc>
      </w:tr>
    </w:tbl>
    <w:p>
      <w:pPr>
        <w:spacing w:before="240" w:after="12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19376D"/>
          <w:sz w:val="24"/>
          <w:szCs w:val="24"/>
        </w:rPr>
        <w:t xml:space="preserve">Key Speaker Profiles</w:t>
      </w:r>
    </w:p>
    <w:p>
      <w:pPr>
        <w:spacing w:before="16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19376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  Chairman Atkins</w:t>
            </w:r>
          </w:p>
        </w:tc>
      </w:tr>
      <w:tr>
        <w:tc>
          <w:tcPr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0B2447"/>
                <w:sz w:val="20"/>
                <w:szCs w:val="20"/>
              </w:rPr>
              <w:t xml:space="preserve">Authority: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 Chair (formal rulemaking/institutional authority)</w:t>
            </w:r>
          </w:p>
        </w:tc>
      </w:tr>
      <w:tr>
        <w:tc>
          <w:tcPr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2F5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0B2447"/>
                <w:sz w:val="20"/>
                <w:szCs w:val="20"/>
              </w:rPr>
              <w:t xml:space="preserve">Influence evidence: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Directed staff to consider conditional exemptive relief (Tokenization &amp; DeFi reports); repeated priority-setting on issuance, custody, trading across meetings.</w:t>
            </w:r>
          </w:p>
        </w:tc>
      </w:tr>
      <w:tr>
        <w:tc>
          <w:tcPr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0B2447"/>
                <w:sz w:val="20"/>
                <w:szCs w:val="20"/>
              </w:rPr>
              <w:t xml:space="preserve">Policy impact likelihood: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 — Chair's staff directives and repeated public framing are likely to shape staff work and near-term policy options.</w:t>
            </w:r>
          </w:p>
        </w:tc>
      </w:tr>
      <w:tr>
        <w:tc>
          <w:tcPr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2F5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0B2447"/>
                <w:sz w:val="20"/>
                <w:szCs w:val="20"/>
              </w:rPr>
              <w:t xml:space="preserve">Meetings: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Tokenization (May 12), DeFi (June 9), Custody (April 28)</w:t>
            </w:r>
          </w:p>
        </w:tc>
      </w:tr>
      <w:tr>
        <w:tc>
          <w:tcPr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0B2447"/>
                <w:sz w:val="20"/>
                <w:szCs w:val="20"/>
              </w:rPr>
              <w:t xml:space="preserve">Combined view: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Favors technology-neutral frameworks, pilots/exemptive relief, and preserving investor protection.</w:t>
            </w:r>
          </w:p>
        </w:tc>
      </w:tr>
      <w:tr>
        <w:tc>
          <w:tcPr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2F5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0B2447"/>
                <w:sz w:val="20"/>
                <w:szCs w:val="20"/>
              </w:rPr>
              <w:t xml:space="preserve">Evolution: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Consistently emphasized pilots, staff work, and rulemaking where necessary.</w:t>
            </w:r>
          </w:p>
        </w:tc>
      </w:tr>
    </w:tbl>
    <w:p>
      <w:pPr>
        <w:spacing w:before="16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19376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2  Acting Chair Mark Uyeda</w:t>
            </w:r>
          </w:p>
        </w:tc>
      </w:tr>
      <w:tr>
        <w:tc>
          <w:tcPr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0B2447"/>
                <w:sz w:val="20"/>
                <w:szCs w:val="20"/>
              </w:rPr>
              <w:t xml:space="preserve">Authority: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Acting Chair (formal office during trading roundtable)</w:t>
            </w:r>
          </w:p>
        </w:tc>
      </w:tr>
      <w:tr>
        <w:tc>
          <w:tcPr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2F5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0B2447"/>
                <w:sz w:val="20"/>
                <w:szCs w:val="20"/>
              </w:rPr>
              <w:t xml:space="preserve">Influence evidence: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Advocated time-limited conditional exemptive relief in trading roundtable; framed need to balance innovation and investor protection.</w:t>
            </w:r>
          </w:p>
        </w:tc>
      </w:tr>
      <w:tr>
        <w:tc>
          <w:tcPr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0B2447"/>
                <w:sz w:val="20"/>
                <w:szCs w:val="20"/>
              </w:rPr>
              <w:t xml:space="preserve">Policy impact likelihood: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MEDIUM-HIGH — formal role; influence moderated by Chair Atkins' later directives.</w:t>
            </w:r>
          </w:p>
        </w:tc>
      </w:tr>
      <w:tr>
        <w:tc>
          <w:tcPr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2F5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0B2447"/>
                <w:sz w:val="20"/>
                <w:szCs w:val="20"/>
              </w:rPr>
              <w:t xml:space="preserve">Meetings: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Trading (April 11), Howey (earlier roundtable presence)</w:t>
            </w:r>
          </w:p>
        </w:tc>
      </w:tr>
      <w:tr>
        <w:tc>
          <w:tcPr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0B2447"/>
                <w:sz w:val="20"/>
                <w:szCs w:val="20"/>
              </w:rPr>
              <w:t xml:space="preserve">Combined view: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 to experimental relief while emphasizing investor protection.</w:t>
            </w:r>
          </w:p>
        </w:tc>
      </w:tr>
    </w:tbl>
    <w:p>
      <w:pPr>
        <w:spacing w:before="16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19376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3  Nicholas Losurdo (Moderator / SEC Counsel)</w:t>
            </w:r>
          </w:p>
        </w:tc>
      </w:tr>
      <w:tr>
        <w:tc>
          <w:tcPr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0B2447"/>
                <w:sz w:val="20"/>
                <w:szCs w:val="20"/>
              </w:rPr>
              <w:t xml:space="preserve">Authority: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 counsel / moderator (agenda power)</w:t>
            </w:r>
          </w:p>
        </w:tc>
      </w:tr>
      <w:tr>
        <w:tc>
          <w:tcPr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2F5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0B2447"/>
                <w:sz w:val="20"/>
                <w:szCs w:val="20"/>
              </w:rPr>
              <w:t xml:space="preserve">Influence evidence: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Set 'who/what/how' taxonomy that produced actionable items in trading roundtable; repeatedly elicited implementable solutions leading to staff homework.</w:t>
            </w:r>
          </w:p>
        </w:tc>
      </w:tr>
      <w:tr>
        <w:tc>
          <w:tcPr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0B2447"/>
                <w:sz w:val="20"/>
                <w:szCs w:val="20"/>
              </w:rPr>
              <w:t xml:space="preserve">Policy impact likelihood: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 — no formal vote but high agenda power and internal influence on staff outputs.</w:t>
            </w:r>
          </w:p>
        </w:tc>
      </w:tr>
      <w:tr>
        <w:tc>
          <w:tcPr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2F5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0B2447"/>
                <w:sz w:val="20"/>
                <w:szCs w:val="20"/>
              </w:rPr>
              <w:t xml:space="preserve">Combined view: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Function-first regulation; emphasis on implementable steps.</w:t>
            </w:r>
          </w:p>
        </w:tc>
      </w:tr>
    </w:tbl>
    <w:p>
      <w:pPr>
        <w:spacing w:before="16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19376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4  Chris Brummer (Academic / Bluprynt)</w:t>
            </w:r>
          </w:p>
        </w:tc>
      </w:tr>
      <w:tr>
        <w:tc>
          <w:tcPr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0B2447"/>
                <w:sz w:val="20"/>
                <w:szCs w:val="20"/>
              </w:rPr>
              <w:t xml:space="preserve">Authority: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Academic / industry expert (no formal SEC authority)</w:t>
            </w:r>
          </w:p>
        </w:tc>
      </w:tr>
      <w:tr>
        <w:tc>
          <w:tcPr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2F5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0B2447"/>
                <w:sz w:val="20"/>
                <w:szCs w:val="20"/>
              </w:rPr>
              <w:t xml:space="preserve">Influence evidence: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 subject-matter influence on doctrinal adaptation (Howey risk-mapping); frequently provided framing used by others.</w:t>
            </w:r>
          </w:p>
        </w:tc>
      </w:tr>
      <w:tr>
        <w:tc>
          <w:tcPr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0B2447"/>
                <w:sz w:val="20"/>
                <w:szCs w:val="20"/>
              </w:rPr>
              <w:t xml:space="preserve">Policy impact likelihood: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 — strong influence on doctrinal framing and disclosure design; less direct impact on rule adoption.</w:t>
            </w:r>
          </w:p>
        </w:tc>
      </w:tr>
      <w:tr>
        <w:tc>
          <w:tcPr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2F5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0B2447"/>
                <w:sz w:val="20"/>
                <w:szCs w:val="20"/>
              </w:rPr>
              <w:t xml:space="preserve">Meetings: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How We Got Here (March 21)</w:t>
            </w:r>
          </w:p>
        </w:tc>
      </w:tr>
      <w:tr>
        <w:tc>
          <w:tcPr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0B2447"/>
                <w:sz w:val="20"/>
                <w:szCs w:val="20"/>
              </w:rPr>
              <w:t xml:space="preserve">Combined view: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Adapt Howey prongs as risk categories; design disclosure for digital assets.</w:t>
            </w:r>
          </w:p>
        </w:tc>
      </w:tr>
      <w:tr>
        <w:tc>
          <w:tcPr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2F5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0B2447"/>
                <w:sz w:val="20"/>
                <w:szCs w:val="20"/>
              </w:rPr>
              <w:t xml:space="preserve">Evolution: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Moving from doctrinal critique to practical disclosure solutions.</w:t>
            </w:r>
          </w:p>
        </w:tc>
      </w:tr>
    </w:tbl>
    <w:p>
      <w:pPr>
        <w:spacing w:before="16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19376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5  Jason Allegrante (Fireblocks)</w:t>
            </w:r>
          </w:p>
        </w:tc>
      </w:tr>
      <w:tr>
        <w:tc>
          <w:tcPr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0B2447"/>
                <w:sz w:val="20"/>
                <w:szCs w:val="20"/>
              </w:rPr>
              <w:t xml:space="preserve">Authority: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Industry custody infrastructure leader</w:t>
            </w:r>
          </w:p>
        </w:tc>
      </w:tr>
      <w:tr>
        <w:tc>
          <w:tcPr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2F5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0B2447"/>
                <w:sz w:val="20"/>
                <w:szCs w:val="20"/>
              </w:rPr>
              <w:t xml:space="preserve">Influence evidence: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Repeatedly advocated for principles-based custody standards and objective evidence (contracts, audits). Often cited by staff-level summaries as a workable approach.</w:t>
            </w:r>
          </w:p>
        </w:tc>
      </w:tr>
      <w:tr>
        <w:tc>
          <w:tcPr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0B2447"/>
                <w:sz w:val="20"/>
                <w:szCs w:val="20"/>
              </w:rPr>
              <w:t xml:space="preserve">Policy impact likelihood: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 — practical recommendations likely to be reflected in supervisory guidance/exam standards.</w:t>
            </w:r>
          </w:p>
        </w:tc>
      </w:tr>
      <w:tr>
        <w:tc>
          <w:tcPr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2F5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0B2447"/>
                <w:sz w:val="20"/>
                <w:szCs w:val="20"/>
              </w:rPr>
              <w:t xml:space="preserve">Combined view: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Technology-neutral standards, audits, contract evidence for control.</w:t>
            </w:r>
          </w:p>
        </w:tc>
      </w:tr>
    </w:tbl>
    <w:p>
      <w:pPr>
        <w:spacing w:before="16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19376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6  Christian Sabella (DTCC)</w:t>
            </w:r>
          </w:p>
        </w:tc>
      </w:tr>
      <w:tr>
        <w:tc>
          <w:tcPr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0B2447"/>
                <w:sz w:val="20"/>
                <w:szCs w:val="20"/>
              </w:rPr>
              <w:t xml:space="preserve">Authority: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Senior post-trade infrastructure executive</w:t>
            </w:r>
          </w:p>
        </w:tc>
      </w:tr>
      <w:tr>
        <w:tc>
          <w:tcPr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2F5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0B2447"/>
                <w:sz w:val="20"/>
                <w:szCs w:val="20"/>
              </w:rPr>
              <w:t xml:space="preserve">Influence evidence: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Brought DTCC experiments (Project Ion) and interoperability proposals into the tokenization conversation.</w:t>
            </w:r>
          </w:p>
        </w:tc>
      </w:tr>
      <w:tr>
        <w:tc>
          <w:tcPr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0B2447"/>
                <w:sz w:val="20"/>
                <w:szCs w:val="20"/>
              </w:rPr>
              <w:t xml:space="preserve">Policy impact likelihood: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 — operational proposals will inform staff thinking on settlement/netting.</w:t>
            </w:r>
          </w:p>
        </w:tc>
      </w:tr>
      <w:tr>
        <w:tc>
          <w:tcPr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2F5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0B2447"/>
                <w:sz w:val="20"/>
                <w:szCs w:val="20"/>
              </w:rPr>
              <w:t xml:space="preserve">Combined view: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Support for interoperability standards and measured incorporation of ledger tech into post-trade infrastructure.</w:t>
            </w:r>
          </w:p>
        </w:tc>
      </w:tr>
    </w:tbl>
    <w:p>
      <w:pPr>
        <w:spacing w:before="16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19376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7  John Reed Stark (Former SEC Staff)</w:t>
            </w:r>
          </w:p>
        </w:tc>
      </w:tr>
      <w:tr>
        <w:tc>
          <w:tcPr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0B2447"/>
                <w:sz w:val="20"/>
                <w:szCs w:val="20"/>
              </w:rPr>
              <w:t xml:space="preserve">Authority: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Former SEC staff (public commentator)</w:t>
            </w:r>
          </w:p>
        </w:tc>
      </w:tr>
      <w:tr>
        <w:tc>
          <w:tcPr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2F5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0B2447"/>
                <w:sz w:val="20"/>
                <w:szCs w:val="20"/>
              </w:rPr>
              <w:t xml:space="preserve">Influence evidence: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Strong enforcement-oriented framing in Howey roundtable (protect investors via enforcement).</w:t>
            </w:r>
          </w:p>
        </w:tc>
      </w:tr>
      <w:tr>
        <w:tc>
          <w:tcPr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0B2447"/>
                <w:sz w:val="20"/>
                <w:szCs w:val="20"/>
              </w:rPr>
              <w:t xml:space="preserve">Policy impact likelihood: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LOW-MEDIUM — influences enforcement culture but limited in rulemaking.</w:t>
            </w:r>
          </w:p>
        </w:tc>
      </w:tr>
      <w:tr>
        <w:tc>
          <w:tcPr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2F5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0B2447"/>
                <w:sz w:val="20"/>
                <w:szCs w:val="20"/>
              </w:rPr>
              <w:t xml:space="preserve">Combined view: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Favors applying existing securities law vigorously.</w:t>
            </w:r>
          </w:p>
        </w:tc>
      </w:tr>
    </w:tbl>
    <w:p>
      <w:pPr>
        <w:spacing w:before="16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19376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8  Miles (a16z) &amp; Industry Counsel (Teresa, Rodrigo)</w:t>
            </w:r>
          </w:p>
        </w:tc>
      </w:tr>
      <w:tr>
        <w:tc>
          <w:tcPr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0B2447"/>
                <w:sz w:val="20"/>
                <w:szCs w:val="20"/>
              </w:rPr>
              <w:t xml:space="preserve">Authority: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Industry counsel/VCs (no formal SEC role)</w:t>
            </w:r>
          </w:p>
        </w:tc>
      </w:tr>
      <w:tr>
        <w:tc>
          <w:tcPr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2F5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0B2447"/>
                <w:sz w:val="20"/>
                <w:szCs w:val="20"/>
              </w:rPr>
              <w:t xml:space="preserve">Influence evidence: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Advanced control/decentralization tests and practical policy proposals (safe harbors).</w:t>
            </w:r>
          </w:p>
        </w:tc>
      </w:tr>
      <w:tr>
        <w:tc>
          <w:tcPr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0B2447"/>
                <w:sz w:val="20"/>
                <w:szCs w:val="20"/>
              </w:rPr>
              <w:t xml:space="preserve">Policy impact likelihood: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 — proposals influential among industry and some Commissioners; however, doctrinal dispute remains.</w:t>
            </w:r>
          </w:p>
        </w:tc>
      </w:tr>
      <w:tr>
        <w:tc>
          <w:tcPr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2F5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color w:val="0B2447"/>
                <w:sz w:val="20"/>
                <w:szCs w:val="20"/>
              </w:rPr>
              <w:t xml:space="preserve">Combined view: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Favor operational tests, sandboxes, and conditional relief.</w:t>
            </w:r>
          </w:p>
        </w:tc>
      </w:tr>
    </w:tbl>
    <w:p>
      <w:pPr>
        <w:pBdr>
          <w:bottom w:val="single" w:color="0B2447" w:sz="8" w:space="1"/>
        </w:pBdr>
        <w:spacing w:before="300" w:after="240"/>
      </w:pPr>
    </w:p>
    <w:p>
      <w:pPr>
        <w:sectPr>
          <w:headerReference w:type="default" r:id="rId6"/>
          <w:footerReference w:type="default" r:id="rId7"/>
          <w:pgSz w:w="12240" w:h="15840" w:orient="portrait"/>
          <w:pgMar w:top="1200" w:right="1200" w:bottom="1200" w:left="1200" w:header="708" w:footer="708" w:gutter="0"/>
          <w:pgNumType/>
          <w:docGrid w:linePitch="360"/>
        </w:sectPr>
      </w:pPr>
    </w:p>
    <w:p>
      <w:pPr>
        <w:pStyle w:val="Heading1"/>
        <w:spacing w:before="360" w:after="180"/>
      </w:pPr>
      <w:r>
        <w:rPr>
          <w:rFonts w:ascii="Calibri" w:cs="Calibri" w:eastAsia="Calibri" w:hAnsi="Calibri"/>
          <w:b/>
          <w:bCs/>
          <w:color w:val="0A6EBD"/>
          <w:sz w:val="32"/>
          <w:szCs w:val="32"/>
        </w:rPr>
        <w:t xml:space="preserve">05  </w:t>
      </w:r>
      <w:r>
        <w:rPr>
          <w:rFonts w:ascii="Calibri" w:cs="Calibri" w:eastAsia="Calibri" w:hAnsi="Calibri"/>
          <w:b/>
          <w:bCs/>
          <w:color w:val="0B2447"/>
          <w:sz w:val="32"/>
          <w:szCs w:val="32"/>
        </w:rPr>
        <w:t xml:space="preserve">SPEAKER × TOPIC ENGAGEMENT MATRIX</w:t>
      </w:r>
    </w:p>
    <w:p>
      <w:pPr>
        <w:spacing w:before="40" w:after="60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Depth: H = High, M = Medium, L = Low.  Stance: Support / Oppose / Neutral / Mixed.  Derived from meeting transcripts. (FACTS/ANALYSIS)</w:t>
      </w:r>
    </w:p>
    <w:p>
      <w:pPr>
        <w:spacing w:before="100" w:after="80"/>
      </w:pP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20"/>
        <w:gridCol w:w="1310"/>
        <w:gridCol w:w="970"/>
        <w:gridCol w:w="1460"/>
        <w:gridCol w:w="1060"/>
        <w:gridCol w:w="1020"/>
        <w:gridCol w:w="1650"/>
        <w:gridCol w:w="970"/>
        <w:gridCol w:w="1120"/>
        <w:gridCol w:w="3060"/>
      </w:tblGrid>
      <w:tr>
        <w:trPr>
          <w:tblHeader/>
        </w:trPr>
        <w:tc>
          <w:tcPr>
            <w:tcW w:type="dxa" w:w="142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0B24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Speaker</w:t>
            </w:r>
          </w:p>
        </w:tc>
        <w:tc>
          <w:tcPr>
            <w:tcW w:type="dxa" w:w="131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0B24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Howey</w:t>
            </w:r>
          </w:p>
        </w:tc>
        <w:tc>
          <w:tcPr>
            <w:tcW w:type="dxa" w:w="97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0B24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  <w:tc>
          <w:tcPr>
            <w:tcW w:type="dxa" w:w="146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0B24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Custody</w:t>
            </w:r>
          </w:p>
        </w:tc>
        <w:tc>
          <w:tcPr>
            <w:tcW w:type="dxa" w:w="106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0B24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Tokenization</w:t>
            </w:r>
          </w:p>
        </w:tc>
        <w:tc>
          <w:tcPr>
            <w:tcW w:type="dxa" w:w="102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0B24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Mkt. Struct.</w:t>
            </w:r>
          </w:p>
        </w:tc>
        <w:tc>
          <w:tcPr>
            <w:tcW w:type="dxa" w:w="165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0B24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DeFi</w:t>
            </w:r>
          </w:p>
        </w:tc>
        <w:tc>
          <w:tcPr>
            <w:tcW w:type="dxa" w:w="97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0B24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Staking</w:t>
            </w:r>
          </w:p>
        </w:tc>
        <w:tc>
          <w:tcPr>
            <w:tcW w:type="dxa" w:w="112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0B24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Sandboxes</w:t>
            </w:r>
          </w:p>
        </w:tc>
        <w:tc>
          <w:tcPr>
            <w:tcW w:type="dxa" w:w="306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0B24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Primary Stance</w:t>
            </w:r>
          </w:p>
        </w:tc>
      </w:tr>
      <w:tr>
        <w:tc>
          <w:tcPr>
            <w:tcW w:type="dxa" w:w="142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Chairman Atkins</w:t>
            </w:r>
          </w:p>
        </w:tc>
        <w:tc>
          <w:tcPr>
            <w:tcW w:type="dxa" w:w="131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H / Neutral</w:t>
            </w:r>
          </w:p>
        </w:tc>
        <w:tc>
          <w:tcPr>
            <w:tcW w:type="dxa" w:w="97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H / Neutral</w:t>
            </w:r>
          </w:p>
        </w:tc>
        <w:tc>
          <w:tcPr>
            <w:tcW w:type="dxa" w:w="146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H / Support</w:t>
            </w:r>
          </w:p>
        </w:tc>
        <w:tc>
          <w:tcPr>
            <w:tcW w:type="dxa" w:w="106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H / Support</w:t>
            </w:r>
          </w:p>
        </w:tc>
        <w:tc>
          <w:tcPr>
            <w:tcW w:type="dxa" w:w="102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H / Support</w:t>
            </w:r>
          </w:p>
        </w:tc>
        <w:tc>
          <w:tcPr>
            <w:tcW w:type="dxa" w:w="165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H / Supp. w/guardrails</w:t>
            </w:r>
          </w:p>
        </w:tc>
        <w:tc>
          <w:tcPr>
            <w:tcW w:type="dxa" w:w="97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H / Support</w:t>
            </w:r>
          </w:p>
        </w:tc>
        <w:tc>
          <w:tcPr>
            <w:tcW w:type="dxa" w:w="112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H / Support</w:t>
            </w:r>
          </w:p>
        </w:tc>
        <w:tc>
          <w:tcPr>
            <w:tcW w:type="dxa" w:w="306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Pro-clarity, pilots, measured rulemaking</w:t>
            </w:r>
          </w:p>
        </w:tc>
      </w:tr>
      <w:tr>
        <w:tc>
          <w:tcPr>
            <w:tcW w:type="dxa" w:w="142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Mark Uyeda</w:t>
            </w:r>
          </w:p>
        </w:tc>
        <w:tc>
          <w:tcPr>
            <w:tcW w:type="dxa" w:w="131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 / Neutral</w:t>
            </w:r>
          </w:p>
        </w:tc>
        <w:tc>
          <w:tcPr>
            <w:tcW w:type="dxa" w:w="97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 / Neutral</w:t>
            </w:r>
          </w:p>
        </w:tc>
        <w:tc>
          <w:tcPr>
            <w:tcW w:type="dxa" w:w="146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 / Neutral</w:t>
            </w:r>
          </w:p>
        </w:tc>
        <w:tc>
          <w:tcPr>
            <w:tcW w:type="dxa" w:w="106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 / Support</w:t>
            </w:r>
          </w:p>
        </w:tc>
        <w:tc>
          <w:tcPr>
            <w:tcW w:type="dxa" w:w="102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H / Support</w:t>
            </w:r>
          </w:p>
        </w:tc>
        <w:tc>
          <w:tcPr>
            <w:tcW w:type="dxa" w:w="165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 / Neutral</w:t>
            </w:r>
          </w:p>
        </w:tc>
        <w:tc>
          <w:tcPr>
            <w:tcW w:type="dxa" w:w="97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 / Neutral</w:t>
            </w:r>
          </w:p>
        </w:tc>
        <w:tc>
          <w:tcPr>
            <w:tcW w:type="dxa" w:w="112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 / Support</w:t>
            </w:r>
          </w:p>
        </w:tc>
        <w:tc>
          <w:tcPr>
            <w:tcW w:type="dxa" w:w="306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Balance innovation &amp; protection</w:t>
            </w:r>
          </w:p>
        </w:tc>
      </w:tr>
      <w:tr>
        <w:tc>
          <w:tcPr>
            <w:tcW w:type="dxa" w:w="142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Chris Brummer</w:t>
            </w:r>
          </w:p>
        </w:tc>
        <w:tc>
          <w:tcPr>
            <w:tcW w:type="dxa" w:w="131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H / Supp.(adapt)</w:t>
            </w:r>
          </w:p>
        </w:tc>
        <w:tc>
          <w:tcPr>
            <w:tcW w:type="dxa" w:w="97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H / Support</w:t>
            </w:r>
          </w:p>
        </w:tc>
        <w:tc>
          <w:tcPr>
            <w:tcW w:type="dxa" w:w="146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 / Neutral</w:t>
            </w:r>
          </w:p>
        </w:tc>
        <w:tc>
          <w:tcPr>
            <w:tcW w:type="dxa" w:w="106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 / Neutral</w:t>
            </w:r>
          </w:p>
        </w:tc>
        <w:tc>
          <w:tcPr>
            <w:tcW w:type="dxa" w:w="102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 / Neutral</w:t>
            </w:r>
          </w:p>
        </w:tc>
        <w:tc>
          <w:tcPr>
            <w:tcW w:type="dxa" w:w="165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 / Neutral</w:t>
            </w:r>
          </w:p>
        </w:tc>
        <w:tc>
          <w:tcPr>
            <w:tcW w:type="dxa" w:w="97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 / Neutral</w:t>
            </w:r>
          </w:p>
        </w:tc>
        <w:tc>
          <w:tcPr>
            <w:tcW w:type="dxa" w:w="112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 / Support</w:t>
            </w:r>
          </w:p>
        </w:tc>
        <w:tc>
          <w:tcPr>
            <w:tcW w:type="dxa" w:w="306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Howey as risk map; disclosure focus</w:t>
            </w:r>
          </w:p>
        </w:tc>
      </w:tr>
      <w:tr>
        <w:tc>
          <w:tcPr>
            <w:tcW w:type="dxa" w:w="142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John Reed Stark</w:t>
            </w:r>
          </w:p>
        </w:tc>
        <w:tc>
          <w:tcPr>
            <w:tcW w:type="dxa" w:w="131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H / Supp.(apply)</w:t>
            </w:r>
          </w:p>
        </w:tc>
        <w:tc>
          <w:tcPr>
            <w:tcW w:type="dxa" w:w="97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 / Neutral</w:t>
            </w:r>
          </w:p>
        </w:tc>
        <w:tc>
          <w:tcPr>
            <w:tcW w:type="dxa" w:w="146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 / Neutral</w:t>
            </w:r>
          </w:p>
        </w:tc>
        <w:tc>
          <w:tcPr>
            <w:tcW w:type="dxa" w:w="106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 / Neutral</w:t>
            </w:r>
          </w:p>
        </w:tc>
        <w:tc>
          <w:tcPr>
            <w:tcW w:type="dxa" w:w="102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 / Neutral</w:t>
            </w:r>
          </w:p>
        </w:tc>
        <w:tc>
          <w:tcPr>
            <w:tcW w:type="dxa" w:w="165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 / Neutral</w:t>
            </w:r>
          </w:p>
        </w:tc>
        <w:tc>
          <w:tcPr>
            <w:tcW w:type="dxa" w:w="97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 / Neutral</w:t>
            </w:r>
          </w:p>
        </w:tc>
        <w:tc>
          <w:tcPr>
            <w:tcW w:type="dxa" w:w="112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 / Neutral</w:t>
            </w:r>
          </w:p>
        </w:tc>
        <w:tc>
          <w:tcPr>
            <w:tcW w:type="dxa" w:w="306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Enforcement-first; investor protection</w:t>
            </w:r>
          </w:p>
        </w:tc>
      </w:tr>
      <w:tr>
        <w:tc>
          <w:tcPr>
            <w:tcW w:type="dxa" w:w="142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Miles (a16z)</w:t>
            </w:r>
          </w:p>
        </w:tc>
        <w:tc>
          <w:tcPr>
            <w:tcW w:type="dxa" w:w="131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 / Mixed</w:t>
            </w:r>
          </w:p>
        </w:tc>
        <w:tc>
          <w:tcPr>
            <w:tcW w:type="dxa" w:w="97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H / Support</w:t>
            </w:r>
          </w:p>
        </w:tc>
        <w:tc>
          <w:tcPr>
            <w:tcW w:type="dxa" w:w="146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 / Neutral</w:t>
            </w:r>
          </w:p>
        </w:tc>
        <w:tc>
          <w:tcPr>
            <w:tcW w:type="dxa" w:w="106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 / Support</w:t>
            </w:r>
          </w:p>
        </w:tc>
        <w:tc>
          <w:tcPr>
            <w:tcW w:type="dxa" w:w="102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 / Neutral</w:t>
            </w:r>
          </w:p>
        </w:tc>
        <w:tc>
          <w:tcPr>
            <w:tcW w:type="dxa" w:w="165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 / Support</w:t>
            </w:r>
          </w:p>
        </w:tc>
        <w:tc>
          <w:tcPr>
            <w:tcW w:type="dxa" w:w="97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 / Neutral</w:t>
            </w:r>
          </w:p>
        </w:tc>
        <w:tc>
          <w:tcPr>
            <w:tcW w:type="dxa" w:w="112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H / Support</w:t>
            </w:r>
          </w:p>
        </w:tc>
        <w:tc>
          <w:tcPr>
            <w:tcW w:type="dxa" w:w="306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Control/decentralization; pro-pilots</w:t>
            </w:r>
          </w:p>
        </w:tc>
      </w:tr>
      <w:tr>
        <w:tc>
          <w:tcPr>
            <w:tcW w:type="dxa" w:w="142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Jason Allegrante</w:t>
            </w:r>
          </w:p>
        </w:tc>
        <w:tc>
          <w:tcPr>
            <w:tcW w:type="dxa" w:w="131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 / Neutral</w:t>
            </w:r>
          </w:p>
        </w:tc>
        <w:tc>
          <w:tcPr>
            <w:tcW w:type="dxa" w:w="97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 / Neutral</w:t>
            </w:r>
          </w:p>
        </w:tc>
        <w:tc>
          <w:tcPr>
            <w:tcW w:type="dxa" w:w="146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H / Support</w:t>
            </w:r>
          </w:p>
        </w:tc>
        <w:tc>
          <w:tcPr>
            <w:tcW w:type="dxa" w:w="106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 / Neutral</w:t>
            </w:r>
          </w:p>
        </w:tc>
        <w:tc>
          <w:tcPr>
            <w:tcW w:type="dxa" w:w="102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 / Neutral</w:t>
            </w:r>
          </w:p>
        </w:tc>
        <w:tc>
          <w:tcPr>
            <w:tcW w:type="dxa" w:w="165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 / Neutral</w:t>
            </w:r>
          </w:p>
        </w:tc>
        <w:tc>
          <w:tcPr>
            <w:tcW w:type="dxa" w:w="97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 / Neutral</w:t>
            </w:r>
          </w:p>
        </w:tc>
        <w:tc>
          <w:tcPr>
            <w:tcW w:type="dxa" w:w="112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 / Support</w:t>
            </w:r>
          </w:p>
        </w:tc>
        <w:tc>
          <w:tcPr>
            <w:tcW w:type="dxa" w:w="306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Custody standards, audits, contracts</w:t>
            </w:r>
          </w:p>
        </w:tc>
      </w:tr>
      <w:tr>
        <w:tc>
          <w:tcPr>
            <w:tcW w:type="dxa" w:w="142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Rachel Anderica</w:t>
            </w:r>
          </w:p>
        </w:tc>
        <w:tc>
          <w:tcPr>
            <w:tcW w:type="dxa" w:w="131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 / Neutral</w:t>
            </w:r>
          </w:p>
        </w:tc>
        <w:tc>
          <w:tcPr>
            <w:tcW w:type="dxa" w:w="97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 / Neutral</w:t>
            </w:r>
          </w:p>
        </w:tc>
        <w:tc>
          <w:tcPr>
            <w:tcW w:type="dxa" w:w="146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H / Supp.(charter)</w:t>
            </w:r>
          </w:p>
        </w:tc>
        <w:tc>
          <w:tcPr>
            <w:tcW w:type="dxa" w:w="106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 / Neutral</w:t>
            </w:r>
          </w:p>
        </w:tc>
        <w:tc>
          <w:tcPr>
            <w:tcW w:type="dxa" w:w="102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 / Neutral</w:t>
            </w:r>
          </w:p>
        </w:tc>
        <w:tc>
          <w:tcPr>
            <w:tcW w:type="dxa" w:w="165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 / Neutral</w:t>
            </w:r>
          </w:p>
        </w:tc>
        <w:tc>
          <w:tcPr>
            <w:tcW w:type="dxa" w:w="97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 / Neutral</w:t>
            </w:r>
          </w:p>
        </w:tc>
        <w:tc>
          <w:tcPr>
            <w:tcW w:type="dxa" w:w="112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 / Neutral</w:t>
            </w:r>
          </w:p>
        </w:tc>
        <w:tc>
          <w:tcPr>
            <w:tcW w:type="dxa" w:w="306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Bank/charter recognition for custody</w:t>
            </w:r>
          </w:p>
        </w:tc>
      </w:tr>
      <w:tr>
        <w:tc>
          <w:tcPr>
            <w:tcW w:type="dxa" w:w="142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Christian Sabella</w:t>
            </w:r>
          </w:p>
        </w:tc>
        <w:tc>
          <w:tcPr>
            <w:tcW w:type="dxa" w:w="131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 / Neutral</w:t>
            </w:r>
          </w:p>
        </w:tc>
        <w:tc>
          <w:tcPr>
            <w:tcW w:type="dxa" w:w="97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 / Neutral</w:t>
            </w:r>
          </w:p>
        </w:tc>
        <w:tc>
          <w:tcPr>
            <w:tcW w:type="dxa" w:w="146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 / Neutral</w:t>
            </w:r>
          </w:p>
        </w:tc>
        <w:tc>
          <w:tcPr>
            <w:tcW w:type="dxa" w:w="106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H / Support</w:t>
            </w:r>
          </w:p>
        </w:tc>
        <w:tc>
          <w:tcPr>
            <w:tcW w:type="dxa" w:w="102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H / Support</w:t>
            </w:r>
          </w:p>
        </w:tc>
        <w:tc>
          <w:tcPr>
            <w:tcW w:type="dxa" w:w="165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 / Neutral</w:t>
            </w:r>
          </w:p>
        </w:tc>
        <w:tc>
          <w:tcPr>
            <w:tcW w:type="dxa" w:w="97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 / Neutral</w:t>
            </w:r>
          </w:p>
        </w:tc>
        <w:tc>
          <w:tcPr>
            <w:tcW w:type="dxa" w:w="112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 / Support</w:t>
            </w:r>
          </w:p>
        </w:tc>
        <w:tc>
          <w:tcPr>
            <w:tcW w:type="dxa" w:w="306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Post-trade modernization &amp; interoperability</w:t>
            </w:r>
          </w:p>
        </w:tc>
      </w:tr>
      <w:tr>
        <w:tc>
          <w:tcPr>
            <w:tcW w:type="dxa" w:w="142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Katherine Minarik</w:t>
            </w:r>
          </w:p>
        </w:tc>
        <w:tc>
          <w:tcPr>
            <w:tcW w:type="dxa" w:w="131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 / Neutral</w:t>
            </w:r>
          </w:p>
        </w:tc>
        <w:tc>
          <w:tcPr>
            <w:tcW w:type="dxa" w:w="97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 / Support</w:t>
            </w:r>
          </w:p>
        </w:tc>
        <w:tc>
          <w:tcPr>
            <w:tcW w:type="dxa" w:w="146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 / Oppose</w:t>
            </w:r>
          </w:p>
        </w:tc>
        <w:tc>
          <w:tcPr>
            <w:tcW w:type="dxa" w:w="106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 / Neutral</w:t>
            </w:r>
          </w:p>
        </w:tc>
        <w:tc>
          <w:tcPr>
            <w:tcW w:type="dxa" w:w="102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 / Neutral</w:t>
            </w:r>
          </w:p>
        </w:tc>
        <w:tc>
          <w:tcPr>
            <w:tcW w:type="dxa" w:w="165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H / Supp.self-custody</w:t>
            </w:r>
          </w:p>
        </w:tc>
        <w:tc>
          <w:tcPr>
            <w:tcW w:type="dxa" w:w="97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 / Neutral</w:t>
            </w:r>
          </w:p>
        </w:tc>
        <w:tc>
          <w:tcPr>
            <w:tcW w:type="dxa" w:w="112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H / Opp.heavy</w:t>
            </w:r>
          </w:p>
        </w:tc>
        <w:tc>
          <w:tcPr>
            <w:tcW w:type="dxa" w:w="306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Preserve self-custody; oppose over-intermediation</w:t>
            </w:r>
          </w:p>
        </w:tc>
      </w:tr>
    </w:tbl>
    <w:p>
      <w:pPr>
        <w:sectPr>
          <w:headerReference w:type="default" r:id="rId8"/>
          <w:footerReference w:type="default" r:id="rId9"/>
          <w:pgSz w:w="15840" w:h="12240" w:orient="portrait"/>
          <w:pgMar w:top="900" w:right="900" w:bottom="900" w:left="900" w:header="708" w:footer="708" w:gutter="0"/>
          <w:pgNumType/>
          <w:docGrid w:linePitch="360"/>
        </w:sectPr>
      </w:pPr>
    </w:p>
    <w:p>
      <w:pPr>
        <w:pBdr>
          <w:bottom w:val="single" w:color="0B2447" w:sz="8" w:space="1"/>
        </w:pBdr>
        <w:spacing w:before="300" w:after="240"/>
      </w:pPr>
    </w:p>
    <w:p>
      <w:pPr>
        <w:pStyle w:val="Heading1"/>
        <w:spacing w:before="360" w:after="180"/>
      </w:pPr>
      <w:r>
        <w:rPr>
          <w:rFonts w:ascii="Calibri" w:cs="Calibri" w:eastAsia="Calibri" w:hAnsi="Calibri"/>
          <w:b/>
          <w:bCs/>
          <w:color w:val="0A6EBD"/>
          <w:sz w:val="32"/>
          <w:szCs w:val="32"/>
        </w:rPr>
        <w:t xml:space="preserve">06  </w:t>
      </w:r>
      <w:r>
        <w:rPr>
          <w:rFonts w:ascii="Calibri" w:cs="Calibri" w:eastAsia="Calibri" w:hAnsi="Calibri"/>
          <w:b/>
          <w:bCs/>
          <w:color w:val="0B2447"/>
          <w:sz w:val="32"/>
          <w:szCs w:val="32"/>
        </w:rPr>
        <w:t xml:space="preserve">MOST INFLUENTIAL STAKEHOLDER IDENTIFICATION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0B244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★  SINGLE MOST INFLUENTIAL STAKEHOLDER: CHAIRMAN ATKINS</w:t>
            </w:r>
          </w:p>
        </w:tc>
      </w:tr>
      <w:tr>
        <w:tc>
          <w:tcPr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8E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Formal authority: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As Chair, he directs staff priorities and public agenda; meetings record explicit staff tasking and public directives. (FACT)</w:t>
            </w:r>
          </w:p>
        </w:tc>
      </w:tr>
      <w:tr>
        <w:tc>
          <w:tcPr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8E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Concrete action: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Issued staff direction to explore conditional exemptive relief / innovation exemption (Tokenization &amp; DeFi meetings). (FACT)</w:t>
            </w:r>
          </w:p>
        </w:tc>
      </w:tr>
      <w:tr>
        <w:tc>
          <w:tcPr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8E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Agenda impact: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His framing and public statements were repeatedly cited by panels as agenda shapers. (FACT)</w:t>
            </w:r>
          </w:p>
        </w:tc>
      </w:tr>
      <w:tr>
        <w:tc>
          <w:tcPr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8E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Policy impact likelihood: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HIGH — Chair's explicit directives and repeated priority statements indicate high probability of shaping near-term staff outputs. (ANALYSIS)</w:t>
            </w:r>
          </w:p>
        </w:tc>
      </w:tr>
    </w:tbl>
    <w:p>
      <w:pPr>
        <w:spacing w:before="200" w:after="10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19376D"/>
          <w:sz w:val="24"/>
          <w:szCs w:val="24"/>
        </w:rPr>
        <w:t xml:space="preserve">Other High-Influence Actors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900"/>
        <w:gridCol w:w="2060"/>
      </w:tblGrid>
      <w:tr>
        <w:trPr>
          <w:tblHeader/>
        </w:trPr>
        <w:tc>
          <w:tcPr>
            <w:tcW w:type="dxa" w:w="24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0B24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49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0B24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Basis</w:t>
            </w:r>
          </w:p>
        </w:tc>
        <w:tc>
          <w:tcPr>
            <w:tcW w:type="dxa" w:w="206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0B24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Influence Type</w:t>
            </w:r>
          </w:p>
        </w:tc>
      </w:tr>
      <w:tr>
        <w:tc>
          <w:tcPr>
            <w:tcW w:type="dxa" w:w="24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Acting Chair Mark Uyeda</w:t>
            </w:r>
          </w:p>
        </w:tc>
        <w:tc>
          <w:tcPr>
            <w:tcW w:type="dxa" w:w="49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Formal authority in related meetings; explicit policy suggestions (time-limited conditional relief). FACT</w:t>
            </w:r>
          </w:p>
        </w:tc>
        <w:tc>
          <w:tcPr>
            <w:tcW w:type="dxa" w:w="206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Formal + Policy Framing</w:t>
            </w:r>
          </w:p>
        </w:tc>
      </w:tr>
      <w:tr>
        <w:tc>
          <w:tcPr>
            <w:tcW w:type="dxa" w:w="24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Nicholas Losurdo</w:t>
            </w:r>
          </w:p>
        </w:tc>
        <w:tc>
          <w:tcPr>
            <w:tcW w:type="dxa" w:w="49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Agenda-setting &amp; elicitation of implementable steps in trading roundtable; high operational influence on staff ideas. FACT</w:t>
            </w:r>
          </w:p>
        </w:tc>
        <w:tc>
          <w:tcPr>
            <w:tcW w:type="dxa" w:w="206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Agenda Power</w:t>
            </w:r>
          </w:p>
        </w:tc>
      </w:tr>
      <w:tr>
        <w:tc>
          <w:tcPr>
            <w:tcW w:type="dxa" w:w="24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DTCC (Christian Sabella)</w:t>
            </w:r>
          </w:p>
        </w:tc>
        <w:tc>
          <w:tcPr>
            <w:tcW w:type="dxa" w:w="49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Practical experiments and operational proposals repeatedly referenced as templates for pilots/guidance. FACT</w:t>
            </w:r>
          </w:p>
        </w:tc>
        <w:tc>
          <w:tcPr>
            <w:tcW w:type="dxa" w:w="206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Operational Template</w:t>
            </w:r>
          </w:p>
        </w:tc>
      </w:tr>
      <w:tr>
        <w:tc>
          <w:tcPr>
            <w:tcW w:type="dxa" w:w="24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Jason Allegrante &amp; Rachel Anderica</w:t>
            </w:r>
          </w:p>
        </w:tc>
        <w:tc>
          <w:tcPr>
            <w:tcW w:type="dxa" w:w="49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Custody infrastructure proposals referenced as templates for supervisory expectations. FACT/ANALYSIS</w:t>
            </w:r>
          </w:p>
        </w:tc>
        <w:tc>
          <w:tcPr>
            <w:tcW w:type="dxa" w:w="206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Supervisory Template</w:t>
            </w:r>
          </w:p>
        </w:tc>
      </w:tr>
    </w:tbl>
    <w:p>
      <w:pPr>
        <w:spacing w:before="180" w:after="8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19376D"/>
          <w:sz w:val="24"/>
          <w:szCs w:val="24"/>
        </w:rPr>
        <w:t xml:space="preserve">Influence Signals Used</w:t>
      </w:r>
    </w:p>
    <w:p>
      <w:pPr>
        <w:pStyle w:val="ListParagraph"/>
        <w:numPr>
          <w:ilvl w:val="0"/>
          <w:numId w:val="2"/>
        </w:numPr>
        <w:spacing w:before="50" w:after="50"/>
        <w:ind w:left="720" w:hanging="3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Repetition across meetings (frequency of input)</w:t>
      </w:r>
    </w:p>
    <w:p>
      <w:pPr>
        <w:pStyle w:val="ListParagraph"/>
        <w:numPr>
          <w:ilvl w:val="0"/>
          <w:numId w:val="2"/>
        </w:numPr>
        <w:spacing w:before="50" w:after="50"/>
        <w:ind w:left="720" w:hanging="3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Alignment with staff/Commission actions (e.g., rescission of SAB 121 / SAB 122 RAG confirmation)</w:t>
      </w:r>
    </w:p>
    <w:p>
      <w:pPr>
        <w:pStyle w:val="ListParagraph"/>
        <w:numPr>
          <w:ilvl w:val="0"/>
          <w:numId w:val="2"/>
        </w:numPr>
        <w:spacing w:before="50" w:after="50"/>
        <w:ind w:left="720" w:hanging="3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Explicit staff directives (Chairman's instruction)</w:t>
      </w:r>
    </w:p>
    <w:p>
      <w:pPr>
        <w:pStyle w:val="ListParagraph"/>
        <w:numPr>
          <w:ilvl w:val="0"/>
          <w:numId w:val="2"/>
        </w:numPr>
        <w:spacing w:before="50" w:after="50"/>
        <w:ind w:left="720" w:hanging="3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Agenda-setting role (moderators and counsel)</w:t>
      </w:r>
    </w:p>
    <w:p>
      <w:pPr>
        <w:pBdr>
          <w:bottom w:val="single" w:color="0B2447" w:sz="8" w:space="1"/>
        </w:pBdr>
        <w:spacing w:before="300" w:after="240"/>
      </w:pPr>
    </w:p>
    <w:p>
      <w:pPr>
        <w:pStyle w:val="Heading1"/>
        <w:spacing w:before="360" w:after="180"/>
      </w:pPr>
      <w:r>
        <w:rPr>
          <w:rFonts w:ascii="Calibri" w:cs="Calibri" w:eastAsia="Calibri" w:hAnsi="Calibri"/>
          <w:b/>
          <w:bCs/>
          <w:color w:val="0A6EBD"/>
          <w:sz w:val="32"/>
          <w:szCs w:val="32"/>
        </w:rPr>
        <w:t xml:space="preserve">07  </w:t>
      </w:r>
      <w:r>
        <w:rPr>
          <w:rFonts w:ascii="Calibri" w:cs="Calibri" w:eastAsia="Calibri" w:hAnsi="Calibri"/>
          <w:b/>
          <w:bCs/>
          <w:color w:val="0B2447"/>
          <w:sz w:val="32"/>
          <w:szCs w:val="32"/>
        </w:rPr>
        <w:t xml:space="preserve">"WHAT THIS MEANS FOR…" — STAKEHOLDER IMPLICATIONS</w:t>
      </w:r>
    </w:p>
    <w:p>
      <w:pPr>
        <w:spacing w:before="40" w:after="60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Items labeled (EVIDENCE) when supported directly by meeting reports; labeled (INFERENCE) when derived from cross-meeting patterns.</w:t>
      </w:r>
    </w:p>
    <w:p>
      <w:pPr>
        <w:spacing w:before="100" w:after="80"/>
      </w:pPr>
    </w:p>
    <w:p>
      <w:pPr>
        <w:pStyle w:val="Heading3"/>
        <w:spacing w:before="160" w:after="80"/>
      </w:pPr>
      <w:r>
        <w:rPr>
          <w:rFonts w:ascii="Calibri" w:cs="Calibri" w:eastAsia="Calibri" w:hAnsi="Calibri"/>
          <w:b/>
          <w:bCs/>
          <w:color w:val="0A6EBD"/>
          <w:sz w:val="22"/>
          <w:szCs w:val="22"/>
        </w:rPr>
        <w:t xml:space="preserve">Issuers</w:t>
      </w:r>
    </w:p>
    <w:p>
      <w:pPr>
        <w:pStyle w:val="ListParagraph"/>
        <w:numPr>
          <w:ilvl w:val="0"/>
          <w:numId w:val="2"/>
        </w:numPr>
        <w:spacing w:before="50" w:after="50"/>
        <w:ind w:left="720" w:hanging="3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Prepare to treat tokenized instruments as securities when they economically mirror existing securities; plan disclosure packages equivalent to traditional filings. (EVIDENCE: Tokenization, Howey meetings)</w:t>
      </w:r>
    </w:p>
    <w:p>
      <w:pPr>
        <w:pStyle w:val="ListParagraph"/>
        <w:numPr>
          <w:ilvl w:val="0"/>
          <w:numId w:val="2"/>
        </w:numPr>
        <w:spacing w:before="50" w:after="50"/>
        <w:ind w:left="720" w:hanging="3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Document token governance, rights, and upgrade pathways; include explicit legal terms tying on-chain tokens to off-chain legal entitlements. (EVIDENCE: Tokenization)</w:t>
      </w:r>
    </w:p>
    <w:p>
      <w:pPr>
        <w:pStyle w:val="ListParagraph"/>
        <w:numPr>
          <w:ilvl w:val="0"/>
          <w:numId w:val="2"/>
        </w:numPr>
        <w:spacing w:before="50" w:after="50"/>
        <w:ind w:left="720" w:hanging="3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Participate in pilots / propose sandbox designs with operational metrics (resiliency, settlement, audit trails) to influence staff frameworks. (EVIDENCE: Tokenization &amp; DeFi)</w:t>
      </w:r>
    </w:p>
    <w:p>
      <w:pPr>
        <w:spacing w:before="40"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Action items:</w:t>
      </w:r>
    </w:p>
    <w:p>
      <w:pPr>
        <w:pStyle w:val="ListParagraph"/>
        <w:numPr>
          <w:ilvl w:val="0"/>
          <w:numId w:val="3"/>
        </w:numPr>
        <w:spacing w:before="40" w:after="40"/>
        <w:ind w:left="1080" w:hanging="3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Inventory token designs and map Howey risk factors to features.</w:t>
      </w:r>
    </w:p>
    <w:p>
      <w:pPr>
        <w:pStyle w:val="ListParagraph"/>
        <w:numPr>
          <w:ilvl w:val="0"/>
          <w:numId w:val="3"/>
        </w:numPr>
        <w:spacing w:before="40" w:after="40"/>
        <w:ind w:left="1080" w:hanging="3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Draft disclosure templates that translate smart contract functions into material risk disclosures.</w:t>
      </w:r>
    </w:p>
    <w:p>
      <w:pPr>
        <w:pBdr>
          <w:bottom w:val="single" w:color="B0C8DC" w:sz="2" w:space="1"/>
        </w:pBdr>
        <w:spacing w:before="120" w:after="100"/>
      </w:pPr>
    </w:p>
    <w:p>
      <w:pPr>
        <w:pStyle w:val="Heading3"/>
        <w:spacing w:before="160" w:after="80"/>
      </w:pPr>
      <w:r>
        <w:rPr>
          <w:rFonts w:ascii="Calibri" w:cs="Calibri" w:eastAsia="Calibri" w:hAnsi="Calibri"/>
          <w:b/>
          <w:bCs/>
          <w:color w:val="0A6EBD"/>
          <w:sz w:val="22"/>
          <w:szCs w:val="22"/>
        </w:rPr>
        <w:t xml:space="preserve">DeFi Protocols</w:t>
      </w:r>
    </w:p>
    <w:p>
      <w:pPr>
        <w:pStyle w:val="ListParagraph"/>
        <w:numPr>
          <w:ilvl w:val="0"/>
          <w:numId w:val="2"/>
        </w:numPr>
        <w:spacing w:before="50" w:after="50"/>
        <w:ind w:left="720" w:hanging="3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Expect activity-based scrutiny: self-custodial code publication alone is less likely to be regulated, but admin keys, fee-setting, or developer control invite regulatory exposure. (EVIDENCE: DeFi meeting, EtherDelta discussion)</w:t>
      </w:r>
    </w:p>
    <w:p>
      <w:pPr>
        <w:pStyle w:val="ListParagraph"/>
        <w:numPr>
          <w:ilvl w:val="0"/>
          <w:numId w:val="2"/>
        </w:numPr>
        <w:spacing w:before="50" w:after="50"/>
        <w:ind w:left="720" w:hanging="3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Adopt governance transparency (admin keys, upgrade processes) and publish clear role descriptions for developers/operators. (EVIDENCE)</w:t>
      </w:r>
    </w:p>
    <w:p>
      <w:pPr>
        <w:pStyle w:val="ListParagraph"/>
        <w:numPr>
          <w:ilvl w:val="0"/>
          <w:numId w:val="2"/>
        </w:numPr>
        <w:spacing w:before="50" w:after="50"/>
        <w:ind w:left="720" w:hanging="3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Invest in privacy-preserving on-chain attestation techniques (ZK proofs) and scenario playbooks for AML/OFAC interactions. (ANALYSIS)</w:t>
      </w:r>
    </w:p>
    <w:p>
      <w:pPr>
        <w:spacing w:before="40"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Action items:</w:t>
      </w:r>
    </w:p>
    <w:p>
      <w:pPr>
        <w:pStyle w:val="ListParagraph"/>
        <w:numPr>
          <w:ilvl w:val="0"/>
          <w:numId w:val="3"/>
        </w:numPr>
        <w:spacing w:before="40" w:after="40"/>
        <w:ind w:left="1080" w:hanging="3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Publish a public 'roles &amp; responsibilities' governance charter.</w:t>
      </w:r>
    </w:p>
    <w:p>
      <w:pPr>
        <w:pStyle w:val="ListParagraph"/>
        <w:numPr>
          <w:ilvl w:val="0"/>
          <w:numId w:val="3"/>
        </w:numPr>
        <w:spacing w:before="40" w:after="40"/>
        <w:ind w:left="1080" w:hanging="3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Implement and document technical mitigants (timelocks, multisig, emergency governance).</w:t>
      </w:r>
    </w:p>
    <w:p>
      <w:pPr>
        <w:pBdr>
          <w:bottom w:val="single" w:color="B0C8DC" w:sz="2" w:space="1"/>
        </w:pBdr>
        <w:spacing w:before="120" w:after="100"/>
      </w:pPr>
    </w:p>
    <w:p>
      <w:pPr>
        <w:pStyle w:val="Heading3"/>
        <w:spacing w:before="160" w:after="80"/>
      </w:pPr>
      <w:r>
        <w:rPr>
          <w:rFonts w:ascii="Calibri" w:cs="Calibri" w:eastAsia="Calibri" w:hAnsi="Calibri"/>
          <w:b/>
          <w:bCs/>
          <w:color w:val="0A6EBD"/>
          <w:sz w:val="22"/>
          <w:szCs w:val="22"/>
        </w:rPr>
        <w:t xml:space="preserve">Exchanges / ATSs</w:t>
      </w:r>
    </w:p>
    <w:p>
      <w:pPr>
        <w:pStyle w:val="ListParagraph"/>
        <w:numPr>
          <w:ilvl w:val="0"/>
          <w:numId w:val="2"/>
        </w:numPr>
        <w:spacing w:before="50" w:after="50"/>
        <w:ind w:left="720" w:hanging="3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Expect pressure to adapt regulatorily (ATS/SPBD models) for tokenized securities and for additional surveillance/data reporting; plan technical and compliance roadmaps. (EVIDENCE: Trading and Tokenization meetings)</w:t>
      </w:r>
    </w:p>
    <w:p>
      <w:pPr>
        <w:pStyle w:val="ListParagraph"/>
        <w:numPr>
          <w:ilvl w:val="0"/>
          <w:numId w:val="2"/>
        </w:numPr>
        <w:spacing w:before="50" w:after="50"/>
        <w:ind w:left="720" w:hanging="3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Prepare for potential special-purpose broker-dealer or ATS adaptations; engage with staff on pilot criteria. (EVIDENCE)</w:t>
      </w:r>
    </w:p>
    <w:p>
      <w:pPr>
        <w:spacing w:before="40"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Action items:</w:t>
      </w:r>
    </w:p>
    <w:p>
      <w:pPr>
        <w:pStyle w:val="ListParagraph"/>
        <w:numPr>
          <w:ilvl w:val="0"/>
          <w:numId w:val="3"/>
        </w:numPr>
        <w:spacing w:before="40" w:after="40"/>
        <w:ind w:left="1080" w:hanging="3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Map existing matching/settlement engines to tokenized on-chain models; prepare evidence on surveillance capability (on- and off-chain).</w:t>
      </w:r>
    </w:p>
    <w:p>
      <w:pPr>
        <w:pStyle w:val="ListParagraph"/>
        <w:numPr>
          <w:ilvl w:val="0"/>
          <w:numId w:val="3"/>
        </w:numPr>
        <w:spacing w:before="40" w:after="40"/>
        <w:ind w:left="1080" w:hanging="3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Build or partner for consolidated tape / data feeds for auditable price discovery.</w:t>
      </w:r>
    </w:p>
    <w:p>
      <w:pPr>
        <w:pBdr>
          <w:bottom w:val="single" w:color="B0C8DC" w:sz="2" w:space="1"/>
        </w:pBdr>
        <w:spacing w:before="120" w:after="100"/>
      </w:pPr>
    </w:p>
    <w:p>
      <w:pPr>
        <w:pStyle w:val="Heading3"/>
        <w:spacing w:before="160" w:after="80"/>
      </w:pPr>
      <w:r>
        <w:rPr>
          <w:rFonts w:ascii="Calibri" w:cs="Calibri" w:eastAsia="Calibri" w:hAnsi="Calibri"/>
          <w:b/>
          <w:bCs/>
          <w:color w:val="0A6EBD"/>
          <w:sz w:val="22"/>
          <w:szCs w:val="22"/>
        </w:rPr>
        <w:t xml:space="preserve">Custodians / Compliance Teams</w:t>
      </w:r>
    </w:p>
    <w:p>
      <w:pPr>
        <w:pStyle w:val="ListParagraph"/>
        <w:numPr>
          <w:ilvl w:val="0"/>
          <w:numId w:val="2"/>
        </w:numPr>
        <w:spacing w:before="50" w:after="50"/>
        <w:ind w:left="720" w:hanging="3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The SEC is likely to demand auditable evidence of control (audited key-ceremonies, SOC/crypto audits, contracts) and principles-based controls; prepare documentation and third-party attestations. (EVIDENCE: Custody roundtable)</w:t>
      </w:r>
    </w:p>
    <w:p>
      <w:pPr>
        <w:pStyle w:val="ListParagraph"/>
        <w:numPr>
          <w:ilvl w:val="0"/>
          <w:numId w:val="2"/>
        </w:numPr>
        <w:spacing w:before="50" w:after="50"/>
        <w:ind w:left="720" w:hanging="3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Plan for exam-readiness: segregation practices, proof-of-reserves approaches, dispute resolution and insolvency playbooks. (EVIDENCE)</w:t>
      </w:r>
    </w:p>
    <w:p>
      <w:pPr>
        <w:spacing w:before="40"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Action items:</w:t>
      </w:r>
    </w:p>
    <w:p>
      <w:pPr>
        <w:pStyle w:val="ListParagraph"/>
        <w:numPr>
          <w:ilvl w:val="0"/>
          <w:numId w:val="3"/>
        </w:numPr>
        <w:spacing w:before="40" w:after="40"/>
        <w:ind w:left="1080" w:hanging="3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Harden operational controls and prepare standardized evidence packages (contracts, SOC reports, key-ceremony logs).</w:t>
      </w:r>
    </w:p>
    <w:p>
      <w:pPr>
        <w:pStyle w:val="ListParagraph"/>
        <w:numPr>
          <w:ilvl w:val="0"/>
          <w:numId w:val="3"/>
        </w:numPr>
        <w:spacing w:before="40" w:after="40"/>
        <w:ind w:left="1080" w:hanging="3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Engage with legal teams on SIPA/UCC implications and interagency coordination.</w:t>
      </w:r>
    </w:p>
    <w:p>
      <w:pPr>
        <w:pBdr>
          <w:bottom w:val="single" w:color="B0C8DC" w:sz="2" w:space="1"/>
        </w:pBdr>
        <w:spacing w:before="12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0B244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General Compliance Actions — All Groups</w:t>
            </w:r>
          </w:p>
        </w:tc>
      </w:tr>
      <w:tr>
        <w:tc>
          <w:tcPr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D6E8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Submit detailed, evidence-based comments to the Crypto Task Force highlighting pilot proposals and operational metrics. (EVIDENCE)</w:t>
            </w:r>
          </w:p>
        </w:tc>
      </w:tr>
      <w:tr>
        <w:tc>
          <w:tcPr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D6E8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Prioritize demonstrable investor protections (clear disclosures, custody safeguards, emergency governance) in product design. (ANALYSIS)</w:t>
            </w:r>
          </w:p>
        </w:tc>
      </w:tr>
    </w:tbl>
    <w:p>
      <w:pPr>
        <w:pBdr>
          <w:bottom w:val="single" w:color="0B2447" w:sz="8" w:space="1"/>
        </w:pBdr>
        <w:spacing w:before="300" w:after="240"/>
      </w:pPr>
    </w:p>
    <w:p>
      <w:pPr>
        <w:pStyle w:val="Heading1"/>
        <w:spacing w:before="360" w:after="180"/>
      </w:pPr>
      <w:r>
        <w:rPr>
          <w:rFonts w:ascii="Calibri" w:cs="Calibri" w:eastAsia="Calibri" w:hAnsi="Calibri"/>
          <w:b/>
          <w:bCs/>
          <w:color w:val="0A6EBD"/>
          <w:sz w:val="32"/>
          <w:szCs w:val="32"/>
        </w:rPr>
        <w:t xml:space="preserve">08  </w:t>
      </w:r>
      <w:r>
        <w:rPr>
          <w:rFonts w:ascii="Calibri" w:cs="Calibri" w:eastAsia="Calibri" w:hAnsi="Calibri"/>
          <w:b/>
          <w:bCs/>
          <w:color w:val="0B2447"/>
          <w:sz w:val="32"/>
          <w:szCs w:val="32"/>
        </w:rPr>
        <w:t xml:space="preserve">UNRESOLVED QUESTIONS &amp; REGULATORY GAPS</w:t>
      </w:r>
    </w:p>
    <w:p>
      <w:pPr>
        <w:spacing w:before="40" w:after="60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Each gap lists why it matters, the meeting(s) where raised, who raised it, and potential resolution paths. INFERENCE entries are explicitly labeled. (FACTS/ANALYSIS)</w:t>
      </w:r>
    </w:p>
    <w:p>
      <w:pPr>
        <w:spacing w:before="100" w:after="80"/>
      </w:pPr>
    </w:p>
    <w:p>
      <w:pPr>
        <w:pStyle w:val="Heading3"/>
        <w:spacing w:before="160" w:after="80"/>
      </w:pPr>
      <w:r>
        <w:rPr>
          <w:rFonts w:ascii="Calibri" w:cs="Calibri" w:eastAsia="Calibri" w:hAnsi="Calibri"/>
          <w:b/>
          <w:bCs/>
          <w:color w:val="0A6EBD"/>
          <w:sz w:val="22"/>
          <w:szCs w:val="22"/>
        </w:rPr>
        <w:t xml:space="preserve">A. Doctrinal / Legal Uncertainty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500"/>
        <w:gridCol w:w="1600"/>
        <w:gridCol w:w="2260"/>
      </w:tblGrid>
      <w:tr>
        <w:trPr>
          <w:tblHeader/>
        </w:trPr>
        <w:tc>
          <w:tcPr>
            <w:tcW w:type="dxa" w:w="20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0B24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Gap</w:t>
            </w:r>
          </w:p>
        </w:tc>
        <w:tc>
          <w:tcPr>
            <w:tcW w:type="dxa" w:w="20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0B24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Why It Matters</w:t>
            </w:r>
          </w:p>
        </w:tc>
        <w:tc>
          <w:tcPr>
            <w:tcW w:type="dxa" w:w="15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0B24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Meetings Raised</w:t>
            </w:r>
          </w:p>
        </w:tc>
        <w:tc>
          <w:tcPr>
            <w:tcW w:type="dxa" w:w="16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0B24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Who Raised</w:t>
            </w:r>
          </w:p>
        </w:tc>
        <w:tc>
          <w:tcPr>
            <w:tcW w:type="dxa" w:w="226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0B24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Potential Paths</w:t>
            </w:r>
          </w:p>
        </w:tc>
      </w:tr>
      <w:tr>
        <w:tc>
          <w:tcPr>
            <w:tcW w:type="dxa" w:w="20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Applicability of Howey to new token forms (governance tokens, DeFi primitives)</w:t>
            </w:r>
          </w:p>
        </w:tc>
        <w:tc>
          <w:tcPr>
            <w:tcW w:type="dxa" w:w="20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Determines securities law coverage; affects registration, disclosure, enforcement risk</w:t>
            </w:r>
          </w:p>
        </w:tc>
        <w:tc>
          <w:tcPr>
            <w:tcW w:type="dxa" w:w="15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Howey (3/21), Tokenization (5/12), DeFi (6/9)</w:t>
            </w:r>
          </w:p>
        </w:tc>
        <w:tc>
          <w:tcPr>
            <w:tcW w:type="dxa" w:w="16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Brummer, Reiners, Miles, Commissioners</w:t>
            </w:r>
          </w:p>
        </w:tc>
        <w:tc>
          <w:tcPr>
            <w:tcW w:type="dxa" w:w="226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Staff interpretive guidance; tailored bright-line safe harbors; court litigation; Congress codifying tests</w:t>
            </w:r>
          </w:p>
        </w:tc>
      </w:tr>
      <w:tr>
        <w:tc>
          <w:tcPr>
            <w:tcW w:type="dxa" w:w="20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When secondary trading or protocol evolution changes legal status (exit criteria)</w:t>
            </w:r>
          </w:p>
        </w:tc>
        <w:tc>
          <w:tcPr>
            <w:tcW w:type="dxa" w:w="20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Impacts exchanges, broker-dealers, and secondary market obligations</w:t>
            </w:r>
          </w:p>
        </w:tc>
        <w:tc>
          <w:tcPr>
            <w:tcW w:type="dxa" w:w="15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Howey, Trading, Tokenization</w:t>
            </w:r>
          </w:p>
        </w:tc>
        <w:tc>
          <w:tcPr>
            <w:tcW w:type="dxa" w:w="16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Collins, Chelsea, practitioners</w:t>
            </w:r>
          </w:p>
        </w:tc>
        <w:tc>
          <w:tcPr>
            <w:tcW w:type="dxa" w:w="226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Staff guidance on exit tests; safe harbor transition rules; targeted rulemaking</w:t>
            </w:r>
          </w:p>
        </w:tc>
      </w:tr>
      <w:tr>
        <w:tc>
          <w:tcPr>
            <w:tcW w:type="dxa" w:w="20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Treatment of code publication vs. operative conduct (speech vs. conduct boundary)</w:t>
            </w:r>
          </w:p>
        </w:tc>
        <w:tc>
          <w:tcPr>
            <w:tcW w:type="dxa" w:w="20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Implicates First Amendment and enforcement reach</w:t>
            </w:r>
          </w:p>
        </w:tc>
        <w:tc>
          <w:tcPr>
            <w:tcW w:type="dxa" w:w="15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DeFi</w:t>
            </w:r>
          </w:p>
        </w:tc>
        <w:tc>
          <w:tcPr>
            <w:tcW w:type="dxa" w:w="16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Commissioner Pur, Peter (panelist)</w:t>
            </w:r>
          </w:p>
        </w:tc>
        <w:tc>
          <w:tcPr>
            <w:tcW w:type="dxa" w:w="226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Legal clarifications via rulemaking; enforcement test articulation; targeted litigation to define boundaries</w:t>
            </w:r>
          </w:p>
        </w:tc>
      </w:tr>
    </w:tbl>
    <w:p>
      <w:pPr>
        <w:spacing w:before="180" w:after="80"/>
      </w:pPr>
    </w:p>
    <w:p>
      <w:pPr>
        <w:pStyle w:val="Heading3"/>
        <w:spacing w:before="160" w:after="80"/>
      </w:pPr>
      <w:r>
        <w:rPr>
          <w:rFonts w:ascii="Calibri" w:cs="Calibri" w:eastAsia="Calibri" w:hAnsi="Calibri"/>
          <w:b/>
          <w:bCs/>
          <w:color w:val="0A6EBD"/>
          <w:sz w:val="22"/>
          <w:szCs w:val="22"/>
        </w:rPr>
        <w:t xml:space="preserve">B. Operational / Compliance Ambiguity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500"/>
        <w:gridCol w:w="1600"/>
        <w:gridCol w:w="2260"/>
      </w:tblGrid>
      <w:tr>
        <w:trPr>
          <w:tblHeader/>
        </w:trPr>
        <w:tc>
          <w:tcPr>
            <w:tcW w:type="dxa" w:w="2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0B24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Gap</w:t>
            </w:r>
          </w:p>
        </w:tc>
        <w:tc>
          <w:tcPr>
            <w:tcW w:type="dxa" w:w="18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0B24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Why It Matters</w:t>
            </w:r>
          </w:p>
        </w:tc>
        <w:tc>
          <w:tcPr>
            <w:tcW w:type="dxa" w:w="15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0B24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Meetings Raised</w:t>
            </w:r>
          </w:p>
        </w:tc>
        <w:tc>
          <w:tcPr>
            <w:tcW w:type="dxa" w:w="16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0B24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Who Raised</w:t>
            </w:r>
          </w:p>
        </w:tc>
        <w:tc>
          <w:tcPr>
            <w:tcW w:type="dxa" w:w="226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0B24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Potential Paths</w:t>
            </w:r>
          </w:p>
        </w:tc>
      </w:tr>
      <w:tr>
        <w:tc>
          <w:tcPr>
            <w:tcW w:type="dxa" w:w="2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Objective standards for 'qualified custodian' and acceptable proof of exclusive control</w:t>
            </w:r>
          </w:p>
        </w:tc>
        <w:tc>
          <w:tcPr>
            <w:tcW w:type="dxa" w:w="18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Determines who can custody customer assets and how advisers comply</w:t>
            </w:r>
          </w:p>
        </w:tc>
        <w:tc>
          <w:tcPr>
            <w:tcW w:type="dxa" w:w="15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Custody (4/25), Tokenization (5/12), Trading (4/11)</w:t>
            </w:r>
          </w:p>
        </w:tc>
        <w:tc>
          <w:tcPr>
            <w:tcW w:type="dxa" w:w="16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Custodians (Fireblocks, Anchorage), Chair, Chuck Mooney</w:t>
            </w:r>
          </w:p>
        </w:tc>
        <w:tc>
          <w:tcPr>
            <w:tcW w:type="dxa" w:w="226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Staff guidance; acceptable attestation frameworks (SOC, cryptographic proofs); notice &amp; comment rulemaking to update custody rule</w:t>
            </w:r>
          </w:p>
        </w:tc>
      </w:tr>
      <w:tr>
        <w:tc>
          <w:tcPr>
            <w:tcW w:type="dxa" w:w="2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How to reconcile staking / productive on-chain uses with custody rules</w:t>
            </w:r>
          </w:p>
        </w:tc>
        <w:tc>
          <w:tcPr>
            <w:tcW w:type="dxa" w:w="18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Adviser fiduciary duties vs. on-chain movement conflicts</w:t>
            </w:r>
          </w:p>
        </w:tc>
        <w:tc>
          <w:tcPr>
            <w:tcW w:type="dxa" w:w="15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Custody, Tokenization, DeFi</w:t>
            </w:r>
          </w:p>
        </w:tc>
        <w:tc>
          <w:tcPr>
            <w:tcW w:type="dxa" w:w="16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Fund managers, Justin Browder, Larry Florio</w:t>
            </w:r>
          </w:p>
        </w:tc>
        <w:tc>
          <w:tcPr>
            <w:tcW w:type="dxa" w:w="226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Staff safe harbors for staking; custody guidance defining permitted practices; rule adjustments</w:t>
            </w:r>
          </w:p>
        </w:tc>
      </w:tr>
      <w:tr>
        <w:tc>
          <w:tcPr>
            <w:tcW w:type="dxa" w:w="2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Proof-of-reserves and Merkle tree attestations — sufficiency and auditability</w:t>
            </w:r>
          </w:p>
        </w:tc>
        <w:tc>
          <w:tcPr>
            <w:tcW w:type="dxa" w:w="18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Affects transparency claims and market trust</w:t>
            </w:r>
          </w:p>
        </w:tc>
        <w:tc>
          <w:tcPr>
            <w:tcW w:type="dxa" w:w="15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Custody</w:t>
            </w:r>
          </w:p>
        </w:tc>
        <w:tc>
          <w:tcPr>
            <w:tcW w:type="dxa" w:w="16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Kraken, BitGo</w:t>
            </w:r>
          </w:p>
        </w:tc>
        <w:tc>
          <w:tcPr>
            <w:tcW w:type="dxa" w:w="226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Staff supervisory expectations + audit standards + sample reporting templates</w:t>
            </w:r>
          </w:p>
        </w:tc>
      </w:tr>
    </w:tbl>
    <w:p>
      <w:pPr>
        <w:spacing w:before="180" w:after="80"/>
      </w:pPr>
    </w:p>
    <w:p>
      <w:pPr>
        <w:pStyle w:val="Heading3"/>
        <w:spacing w:before="160" w:after="80"/>
      </w:pPr>
      <w:r>
        <w:rPr>
          <w:rFonts w:ascii="Calibri" w:cs="Calibri" w:eastAsia="Calibri" w:hAnsi="Calibri"/>
          <w:b/>
          <w:bCs/>
          <w:color w:val="0A6EBD"/>
          <w:sz w:val="22"/>
          <w:szCs w:val="22"/>
        </w:rPr>
        <w:t xml:space="preserve">C. Market Structure &amp; Infrastructure Gaps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500"/>
        <w:gridCol w:w="1600"/>
        <w:gridCol w:w="2260"/>
      </w:tblGrid>
      <w:tr>
        <w:trPr>
          <w:tblHeader/>
        </w:trPr>
        <w:tc>
          <w:tcPr>
            <w:tcW w:type="dxa" w:w="2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0B24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Gap</w:t>
            </w:r>
          </w:p>
        </w:tc>
        <w:tc>
          <w:tcPr>
            <w:tcW w:type="dxa" w:w="18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0B24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Why It Matters</w:t>
            </w:r>
          </w:p>
        </w:tc>
        <w:tc>
          <w:tcPr>
            <w:tcW w:type="dxa" w:w="15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0B24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Meetings Raised</w:t>
            </w:r>
          </w:p>
        </w:tc>
        <w:tc>
          <w:tcPr>
            <w:tcW w:type="dxa" w:w="16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0B24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Who Raised</w:t>
            </w:r>
          </w:p>
        </w:tc>
        <w:tc>
          <w:tcPr>
            <w:tcW w:type="dxa" w:w="226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0B24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Potential Paths</w:t>
            </w:r>
          </w:p>
        </w:tc>
      </w:tr>
      <w:tr>
        <w:tc>
          <w:tcPr>
            <w:tcW w:type="dxa" w:w="2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How NMS/OPR/Reg ATS concepts translate to tokenized, atomic settlement markets</w:t>
            </w:r>
          </w:p>
        </w:tc>
        <w:tc>
          <w:tcPr>
            <w:tcW w:type="dxa" w:w="18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Affects best execution, fair access, competition, and surveillance</w:t>
            </w:r>
          </w:p>
        </w:tc>
        <w:tc>
          <w:tcPr>
            <w:tcW w:type="dxa" w:w="15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Trading, Tokenization</w:t>
            </w:r>
          </w:p>
        </w:tc>
        <w:tc>
          <w:tcPr>
            <w:tcW w:type="dxa" w:w="16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Tyler, Greg, DTCC</w:t>
            </w:r>
          </w:p>
        </w:tc>
        <w:tc>
          <w:tcPr>
            <w:tcW w:type="dxa" w:w="226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Functional rule adaptation; ATS/SPBD model adaptation; pilot programs with reporting obligations</w:t>
            </w:r>
          </w:p>
        </w:tc>
      </w:tr>
      <w:tr>
        <w:tc>
          <w:tcPr>
            <w:tcW w:type="dxa" w:w="2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Lack of consolidated tape / integrated on-chain/off-chain surveillance capability</w:t>
            </w:r>
          </w:p>
        </w:tc>
        <w:tc>
          <w:tcPr>
            <w:tcW w:type="dxa" w:w="18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Hampers regulator monitoring and market integrity</w:t>
            </w:r>
          </w:p>
        </w:tc>
        <w:tc>
          <w:tcPr>
            <w:tcW w:type="dxa" w:w="15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Trading, Tokenization, Custody</w:t>
            </w:r>
          </w:p>
        </w:tc>
        <w:tc>
          <w:tcPr>
            <w:tcW w:type="dxa" w:w="16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Tyler Gellasch, DTCC, SEC staff</w:t>
            </w:r>
          </w:p>
        </w:tc>
        <w:tc>
          <w:tcPr>
            <w:tcW w:type="dxa" w:w="226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Build on-chain/off-chain analytic capabilities; create a consolidated tape analogue; data reporting mandates</w:t>
            </w:r>
          </w:p>
        </w:tc>
      </w:tr>
      <w:tr>
        <w:tc>
          <w:tcPr>
            <w:tcW w:type="dxa" w:w="2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Cross-chain interoperability &amp; legal perfection of security interests</w:t>
            </w:r>
          </w:p>
        </w:tc>
        <w:tc>
          <w:tcPr>
            <w:tcW w:type="dxa" w:w="18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Affects collateral reuse, cross-border recognition</w:t>
            </w:r>
          </w:p>
        </w:tc>
        <w:tc>
          <w:tcPr>
            <w:tcW w:type="dxa" w:w="15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Tokenization, DeFi</w:t>
            </w:r>
          </w:p>
        </w:tc>
        <w:tc>
          <w:tcPr>
            <w:tcW w:type="dxa" w:w="16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DTCC, tokenization practitioners</w:t>
            </w:r>
          </w:p>
        </w:tc>
        <w:tc>
          <w:tcPr>
            <w:tcW w:type="dxa" w:w="226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Industry standards + UCC Article updates or Article 12 adoption; interagency legal harmonization</w:t>
            </w:r>
          </w:p>
        </w:tc>
      </w:tr>
    </w:tbl>
    <w:p>
      <w:pPr>
        <w:spacing w:before="180" w:after="80"/>
      </w:pPr>
    </w:p>
    <w:p>
      <w:pPr>
        <w:pStyle w:val="Heading3"/>
        <w:spacing w:before="160" w:after="80"/>
      </w:pPr>
      <w:r>
        <w:rPr>
          <w:rFonts w:ascii="Calibri" w:cs="Calibri" w:eastAsia="Calibri" w:hAnsi="Calibri"/>
          <w:b/>
          <w:bCs/>
          <w:color w:val="0A6EBD"/>
          <w:sz w:val="22"/>
          <w:szCs w:val="22"/>
        </w:rPr>
        <w:t xml:space="preserve">D. Inter-agency / Legislative Gaps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500"/>
        <w:gridCol w:w="1600"/>
        <w:gridCol w:w="2260"/>
      </w:tblGrid>
      <w:tr>
        <w:trPr>
          <w:tblHeader/>
        </w:trPr>
        <w:tc>
          <w:tcPr>
            <w:tcW w:type="dxa" w:w="2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0B24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Gap</w:t>
            </w:r>
          </w:p>
        </w:tc>
        <w:tc>
          <w:tcPr>
            <w:tcW w:type="dxa" w:w="18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0B24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Why It Matters</w:t>
            </w:r>
          </w:p>
        </w:tc>
        <w:tc>
          <w:tcPr>
            <w:tcW w:type="dxa" w:w="15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0B24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Meetings Raised</w:t>
            </w:r>
          </w:p>
        </w:tc>
        <w:tc>
          <w:tcPr>
            <w:tcW w:type="dxa" w:w="16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0B24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Who Raised</w:t>
            </w:r>
          </w:p>
        </w:tc>
        <w:tc>
          <w:tcPr>
            <w:tcW w:type="dxa" w:w="226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0B24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Potential Paths</w:t>
            </w:r>
          </w:p>
        </w:tc>
      </w:tr>
      <w:tr>
        <w:tc>
          <w:tcPr>
            <w:tcW w:type="dxa" w:w="2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SIPA coverage ambiguity for non-security crypto assets / resolution regime</w:t>
            </w:r>
          </w:p>
        </w:tc>
        <w:tc>
          <w:tcPr>
            <w:tcW w:type="dxa" w:w="18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Customer protection in failures is unclear; impacts bankruptcy outcomes</w:t>
            </w:r>
          </w:p>
        </w:tc>
        <w:tc>
          <w:tcPr>
            <w:tcW w:type="dxa" w:w="15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Custody, Tokenization</w:t>
            </w:r>
          </w:p>
        </w:tc>
        <w:tc>
          <w:tcPr>
            <w:tcW w:type="dxa" w:w="16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Chair, Chuck Mooney, industry</w:t>
            </w:r>
          </w:p>
        </w:tc>
        <w:tc>
          <w:tcPr>
            <w:tcW w:type="dxa" w:w="226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Legislative action (SIPA expansion) or interagency protocol coordinated by Treasury/SEC/FDIC</w:t>
            </w:r>
          </w:p>
        </w:tc>
      </w:tr>
      <w:tr>
        <w:tc>
          <w:tcPr>
            <w:tcW w:type="dxa" w:w="2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Overlap SEC vs. CFTC jurisdiction for tokens with commodity characteristics</w:t>
            </w:r>
          </w:p>
        </w:tc>
        <w:tc>
          <w:tcPr>
            <w:tcW w:type="dxa" w:w="18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Regulatory uncertainty, enforcement conflict</w:t>
            </w:r>
          </w:p>
        </w:tc>
        <w:tc>
          <w:tcPr>
            <w:tcW w:type="dxa" w:w="15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Trading, Howey, DeFi</w:t>
            </w:r>
          </w:p>
        </w:tc>
        <w:tc>
          <w:tcPr>
            <w:tcW w:type="dxa" w:w="16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Practitioners, commissioners</w:t>
            </w:r>
          </w:p>
        </w:tc>
        <w:tc>
          <w:tcPr>
            <w:tcW w:type="dxa" w:w="226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MoUs, joint guidance, or Congressional statute clarifying jurisdiction</w:t>
            </w:r>
          </w:p>
        </w:tc>
      </w:tr>
      <w:tr>
        <w:tc>
          <w:tcPr>
            <w:tcW w:type="dxa" w:w="2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International reciprocity / global regulatory fragmentation</w:t>
            </w:r>
          </w:p>
        </w:tc>
        <w:tc>
          <w:tcPr>
            <w:tcW w:type="dxa" w:w="18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Onshoring of activity depends on harmonized rules</w:t>
            </w:r>
          </w:p>
        </w:tc>
        <w:tc>
          <w:tcPr>
            <w:tcW w:type="dxa" w:w="15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Trading, Tokenization</w:t>
            </w:r>
          </w:p>
        </w:tc>
        <w:tc>
          <w:tcPr>
            <w:tcW w:type="dxa" w:w="16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Austin Reid (industry)</w:t>
            </w:r>
          </w:p>
        </w:tc>
        <w:tc>
          <w:tcPr>
            <w:tcW w:type="dxa" w:w="226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Bilateral/regulatory coordination; international standards via IOSCO/FSB</w:t>
            </w:r>
          </w:p>
        </w:tc>
      </w:tr>
    </w:tbl>
    <w:p>
      <w:pPr>
        <w:spacing w:before="240" w:after="100"/>
      </w:pPr>
    </w:p>
    <w:p>
      <w:pPr>
        <w:pStyle w:val="Heading2"/>
        <w:spacing w:before="240" w:after="100"/>
      </w:pPr>
      <w:r>
        <w:rPr>
          <w:rFonts w:ascii="Calibri" w:cs="Calibri" w:eastAsia="Calibri" w:hAnsi="Calibri"/>
          <w:b/>
          <w:bCs/>
          <w:color w:val="19376D"/>
          <w:sz w:val="24"/>
          <w:szCs w:val="24"/>
        </w:rPr>
        <w:t xml:space="preserve">Key Quotes from the Record</w:t>
      </w:r>
    </w:p>
    <w:p>
      <w:pPr>
        <w:pBdr>
          <w:left w:val="single" w:color="0A6EBD" w:sz="12" w:space="10"/>
        </w:pBdr>
        <w:spacing w:before="120" w:after="120"/>
        <w:ind w:left="720" w:right="360"/>
      </w:pPr>
      <w:r>
        <w:rPr>
          <w:rFonts w:ascii="Calibri" w:cs="Calibri" w:eastAsia="Calibri" w:hAnsi="Calibri"/>
          <w:i/>
          <w:iCs/>
          <w:color w:val="2E4057"/>
          <w:sz w:val="20"/>
          <w:szCs w:val="20"/>
        </w:rPr>
        <w:t xml:space="preserve">"A key priority of my chairmanship will be to develop a rational regulatory framework for crypto asset markets that establishes clear rules of the road for issuance, custody and trading." — Chairman Atkins (Tokenization meeting)</w:t>
      </w:r>
    </w:p>
    <w:p>
      <w:pPr>
        <w:pBdr>
          <w:left w:val="single" w:color="0A6EBD" w:sz="12" w:space="10"/>
        </w:pBdr>
        <w:spacing w:before="120" w:after="120"/>
        <w:ind w:left="720" w:right="360"/>
      </w:pPr>
      <w:r>
        <w:rPr>
          <w:rFonts w:ascii="Calibri" w:cs="Calibri" w:eastAsia="Calibri" w:hAnsi="Calibri"/>
          <w:i/>
          <w:iCs/>
          <w:color w:val="2E4057"/>
          <w:sz w:val="20"/>
          <w:szCs w:val="20"/>
        </w:rPr>
        <w:t xml:space="preserve">"Existing SEC custody rules are a gold standard of investor protection." — Chairman Atkins (Custody meeting)</w:t>
      </w:r>
    </w:p>
    <w:p>
      <w:pPr>
        <w:pBdr>
          <w:left w:val="single" w:color="0A6EBD" w:sz="12" w:space="10"/>
        </w:pBdr>
        <w:spacing w:before="120" w:after="120"/>
        <w:ind w:left="720" w:right="360"/>
      </w:pPr>
      <w:r>
        <w:rPr>
          <w:rFonts w:ascii="Calibri" w:cs="Calibri" w:eastAsia="Calibri" w:hAnsi="Calibri"/>
          <w:i/>
          <w:iCs/>
          <w:color w:val="2E4057"/>
          <w:sz w:val="20"/>
          <w:szCs w:val="20"/>
        </w:rPr>
        <w:t xml:space="preserve">"When I think about the Howey test … each of those prongs represents a kind of a risk …" — Chris Brummer (Howey meeting)</w:t>
      </w:r>
    </w:p>
    <w:p>
      <w:pPr>
        <w:pBdr>
          <w:left w:val="single" w:color="0A6EBD" w:sz="12" w:space="10"/>
        </w:pBdr>
        <w:spacing w:before="120" w:after="120"/>
        <w:ind w:left="720" w:right="360"/>
      </w:pPr>
      <w:r>
        <w:rPr>
          <w:rFonts w:ascii="Calibri" w:cs="Calibri" w:eastAsia="Calibri" w:hAnsi="Calibri"/>
          <w:i/>
          <w:iCs/>
          <w:color w:val="2E4057"/>
          <w:sz w:val="20"/>
          <w:szCs w:val="20"/>
        </w:rPr>
        <w:t xml:space="preserve">"I've directed the staff to consider a conditional exemptive relief framework or… an innovation exemption." — Chairman Atkins (DeFi meeting)</w:t>
      </w:r>
    </w:p>
    <w:p>
      <w:pPr>
        <w:pBdr>
          <w:bottom w:val="single" w:color="0B2447" w:sz="8" w:space="1"/>
        </w:pBdr>
        <w:spacing w:before="300" w:after="240"/>
      </w:pPr>
    </w:p>
    <w:p>
      <w:pPr>
        <w:pStyle w:val="Heading1"/>
        <w:spacing w:before="360" w:after="180"/>
      </w:pPr>
      <w:r>
        <w:rPr>
          <w:rFonts w:ascii="Calibri" w:cs="Calibri" w:eastAsia="Calibri" w:hAnsi="Calibri"/>
          <w:b/>
          <w:bCs/>
          <w:color w:val="0A6EBD"/>
          <w:sz w:val="32"/>
          <w:szCs w:val="32"/>
        </w:rPr>
        <w:t xml:space="preserve">09  </w:t>
      </w:r>
      <w:r>
        <w:rPr>
          <w:rFonts w:ascii="Calibri" w:cs="Calibri" w:eastAsia="Calibri" w:hAnsi="Calibri"/>
          <w:b/>
          <w:bCs/>
          <w:color w:val="0B2447"/>
          <w:sz w:val="32"/>
          <w:szCs w:val="32"/>
        </w:rPr>
        <w:t xml:space="preserve">FUTURE PREDICTIONS</w:t>
      </w:r>
    </w:p>
    <w:p>
      <w:pPr>
        <w:spacing w:before="40" w:after="60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All predictions carry explicit labeling: EXPLICITLY STATED (from meeting record) | STRONGLY INFERRED (high confidence analysis) | SPECULATIVE (inference). Probability ranges accompany quantified predictions.</w:t>
      </w:r>
    </w:p>
    <w:p>
      <w:pPr>
        <w:spacing w:before="100" w:after="80"/>
      </w:pPr>
    </w:p>
    <w:p>
      <w:pPr>
        <w:pStyle w:val="Heading3"/>
        <w:spacing w:before="160" w:after="80"/>
      </w:pPr>
      <w:r>
        <w:rPr>
          <w:rFonts w:ascii="Calibri" w:cs="Calibri" w:eastAsia="Calibri" w:hAnsi="Calibri"/>
          <w:b/>
          <w:bCs/>
          <w:color w:val="0A6EBD"/>
          <w:sz w:val="22"/>
          <w:szCs w:val="22"/>
        </w:rPr>
        <w:t xml:space="preserve">A. Decisions On Hold or Planned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600"/>
        <w:gridCol w:w="1200"/>
        <w:gridCol w:w="2960"/>
      </w:tblGrid>
      <w:tr>
        <w:trPr>
          <w:tblHeader/>
        </w:trPr>
        <w:tc>
          <w:tcPr>
            <w:tcW w:type="dxa" w:w="36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0B24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Decision / Action</w:t>
            </w:r>
          </w:p>
        </w:tc>
        <w:tc>
          <w:tcPr>
            <w:tcW w:type="dxa" w:w="16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0B24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0B24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  <w:tc>
          <w:tcPr>
            <w:tcW w:type="dxa" w:w="296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0B24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Basis</w:t>
            </w:r>
          </w:p>
        </w:tc>
      </w:tr>
      <w:tr>
        <w:tc>
          <w:tcPr>
            <w:tcW w:type="dxa" w:w="36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Staff to consider conditional exemptive relief / 'innovation exemption' for on-chain products</w:t>
            </w:r>
          </w:p>
        </w:tc>
        <w:tc>
          <w:tcPr>
            <w:tcW w:type="dxa" w:w="16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E8F5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C2A"/>
                <w:sz w:val="18"/>
                <w:szCs w:val="18"/>
              </w:rPr>
              <w:t xml:space="preserve">EXPLICITLY STATED</w:t>
            </w:r>
          </w:p>
        </w:tc>
        <w:tc>
          <w:tcPr>
            <w:tcW w:type="dxa" w:w="1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E8F5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5C2A"/>
                <w:sz w:val="18"/>
                <w:szCs w:val="18"/>
              </w:rPr>
              <w:t xml:space="preserve">● High</w:t>
            </w:r>
          </w:p>
        </w:tc>
        <w:tc>
          <w:tcPr>
            <w:tcW w:type="dxa" w:w="296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Chair Atkins explicit staff directive in Tokenization &amp; DeFi meetings. FACT</w:t>
            </w:r>
          </w:p>
        </w:tc>
      </w:tr>
      <w:tr>
        <w:tc>
          <w:tcPr>
            <w:tcW w:type="dxa" w:w="36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Rescission of SAB 121 (SAB 122 issued — confirmed)</w:t>
            </w:r>
          </w:p>
        </w:tc>
        <w:tc>
          <w:tcPr>
            <w:tcW w:type="dxa" w:w="16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E8F5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5C2A"/>
                <w:sz w:val="18"/>
                <w:szCs w:val="18"/>
              </w:rPr>
              <w:t xml:space="preserve">EXPLICITLY STATED</w:t>
            </w:r>
          </w:p>
        </w:tc>
        <w:tc>
          <w:tcPr>
            <w:tcW w:type="dxa" w:w="1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E8F5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5C2A"/>
                <w:sz w:val="18"/>
                <w:szCs w:val="18"/>
              </w:rPr>
              <w:t xml:space="preserve">● High</w:t>
            </w:r>
          </w:p>
        </w:tc>
        <w:tc>
          <w:tcPr>
            <w:tcW w:type="dxa" w:w="296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Completed step; confirmed via RAG search and meeting record. FACT</w:t>
            </w:r>
          </w:p>
        </w:tc>
      </w:tr>
      <w:tr>
        <w:tc>
          <w:tcPr>
            <w:tcW w:type="dxa" w:w="36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SEC staff to publish targeted custody supervisory expectations (acceptable evidence of control: audits, SOC, key-ceremony attestations)</w:t>
            </w:r>
          </w:p>
        </w:tc>
        <w:tc>
          <w:tcPr>
            <w:tcW w:type="dxa" w:w="16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5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A4F00"/>
                <w:sz w:val="18"/>
                <w:szCs w:val="18"/>
              </w:rPr>
              <w:t xml:space="preserve">STRONGLY INFERRED</w:t>
            </w:r>
          </w:p>
        </w:tc>
        <w:tc>
          <w:tcPr>
            <w:tcW w:type="dxa" w:w="1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E8F5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5C2A"/>
                <w:sz w:val="18"/>
                <w:szCs w:val="18"/>
              </w:rPr>
              <w:t xml:space="preserve">● High</w:t>
            </w:r>
          </w:p>
        </w:tc>
        <w:tc>
          <w:tcPr>
            <w:tcW w:type="dxa" w:w="296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Custody roundtable consensus and industry asks; staff repeatedly asked for evidence. ANALYSIS</w:t>
            </w:r>
          </w:p>
        </w:tc>
      </w:tr>
      <w:tr>
        <w:tc>
          <w:tcPr>
            <w:tcW w:type="dxa" w:w="36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SEC staff to solicit pilot proposals and run time-limited experiments with conditional exemptive relief</w:t>
            </w:r>
          </w:p>
        </w:tc>
        <w:tc>
          <w:tcPr>
            <w:tcW w:type="dxa" w:w="16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5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A4F00"/>
                <w:sz w:val="18"/>
                <w:szCs w:val="18"/>
              </w:rPr>
              <w:t xml:space="preserve">STRONGLY INFERRED</w:t>
            </w:r>
          </w:p>
        </w:tc>
        <w:tc>
          <w:tcPr>
            <w:tcW w:type="dxa" w:w="1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E8F5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5C2A"/>
                <w:sz w:val="18"/>
                <w:szCs w:val="18"/>
              </w:rPr>
              <w:t xml:space="preserve">● High</w:t>
            </w:r>
          </w:p>
        </w:tc>
        <w:tc>
          <w:tcPr>
            <w:tcW w:type="dxa" w:w="296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Chair's directive + repeated panel calls for pilots. ANALYSIS</w:t>
            </w:r>
          </w:p>
        </w:tc>
      </w:tr>
      <w:tr>
        <w:tc>
          <w:tcPr>
            <w:tcW w:type="dxa" w:w="36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SEC to propose rulemaking codifying a technology-neutral 'qualified custodian' definition expanding QC recognition to state trust charters under conditions</w:t>
            </w:r>
          </w:p>
        </w:tc>
        <w:tc>
          <w:tcPr>
            <w:tcW w:type="dxa" w:w="16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C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1515"/>
                <w:sz w:val="18"/>
                <w:szCs w:val="18"/>
              </w:rPr>
              <w:t xml:space="preserve">SPECULATIVE</w:t>
            </w:r>
          </w:p>
        </w:tc>
        <w:tc>
          <w:tcPr>
            <w:tcW w:type="dxa" w:w="1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5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A4F00"/>
                <w:sz w:val="18"/>
                <w:szCs w:val="18"/>
              </w:rPr>
              <w:t xml:space="preserve">◑ Medium</w:t>
            </w:r>
          </w:p>
        </w:tc>
        <w:tc>
          <w:tcPr>
            <w:tcW w:type="dxa" w:w="296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Custody meeting advocacy and Chair's willingness to explore rule changes; legislative / interagency constraints could alter path. INFERENCE</w:t>
            </w:r>
          </w:p>
        </w:tc>
      </w:tr>
    </w:tbl>
    <w:p>
      <w:pPr>
        <w:spacing w:before="200" w:after="100"/>
      </w:pPr>
    </w:p>
    <w:p>
      <w:pPr>
        <w:pStyle w:val="Heading3"/>
        <w:spacing w:before="160" w:after="80"/>
      </w:pPr>
      <w:r>
        <w:rPr>
          <w:rFonts w:ascii="Calibri" w:cs="Calibri" w:eastAsia="Calibri" w:hAnsi="Calibri"/>
          <w:b/>
          <w:bCs/>
          <w:color w:val="0A6EBD"/>
          <w:sz w:val="22"/>
          <w:szCs w:val="22"/>
        </w:rPr>
        <w:t xml:space="preserve">B. Probability Forecasts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1000"/>
        <w:gridCol w:w="1200"/>
        <w:gridCol w:w="2560"/>
      </w:tblGrid>
      <w:tr>
        <w:trPr>
          <w:tblHeader/>
        </w:trPr>
        <w:tc>
          <w:tcPr>
            <w:tcW w:type="dxa" w:w="30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0B24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Prediction</w:t>
            </w:r>
          </w:p>
        </w:tc>
        <w:tc>
          <w:tcPr>
            <w:tcW w:type="dxa" w:w="16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0B24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0B24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Probability</w:t>
            </w:r>
          </w:p>
        </w:tc>
        <w:tc>
          <w:tcPr>
            <w:tcW w:type="dxa" w:w="1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0B24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  <w:tc>
          <w:tcPr>
            <w:tcW w:type="dxa" w:w="256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0B24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Basis</w:t>
            </w:r>
          </w:p>
        </w:tc>
      </w:tr>
      <w:tr>
        <w:tc>
          <w:tcPr>
            <w:tcW w:type="dxa" w:w="30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Near-term staff guidance on custody evidence and supervisory priorities released within 6–12 months</w:t>
            </w:r>
          </w:p>
        </w:tc>
        <w:tc>
          <w:tcPr>
            <w:tcW w:type="dxa" w:w="16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5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A4F00"/>
                <w:sz w:val="18"/>
                <w:szCs w:val="18"/>
              </w:rPr>
              <w:t xml:space="preserve">STRONGLY INFERRED</w:t>
            </w:r>
          </w:p>
        </w:tc>
        <w:tc>
          <w:tcPr>
            <w:tcW w:type="dxa" w:w="10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70–85%</w:t>
            </w:r>
          </w:p>
        </w:tc>
        <w:tc>
          <w:tcPr>
            <w:tcW w:type="dxa" w:w="1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E8F5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5C2A"/>
                <w:sz w:val="18"/>
                <w:szCs w:val="18"/>
              </w:rPr>
              <w:t xml:space="preserve">● High</w:t>
            </w:r>
          </w:p>
        </w:tc>
        <w:tc>
          <w:tcPr>
            <w:tcW w:type="dxa" w:w="256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Repeated custody meeting emphasis and industry readiness.</w:t>
            </w:r>
          </w:p>
        </w:tc>
      </w:tr>
      <w:tr>
        <w:tc>
          <w:tcPr>
            <w:tcW w:type="dxa" w:w="30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SEC authorizes at least one time-limited, conditional exemptive pilot (on-chain tokenized security or transfer agent pilot)</w:t>
            </w:r>
          </w:p>
        </w:tc>
        <w:tc>
          <w:tcPr>
            <w:tcW w:type="dxa" w:w="16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5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A4F00"/>
                <w:sz w:val="18"/>
                <w:szCs w:val="18"/>
              </w:rPr>
              <w:t xml:space="preserve">STRONGLY INFERRED</w:t>
            </w:r>
          </w:p>
        </w:tc>
        <w:tc>
          <w:tcPr>
            <w:tcW w:type="dxa" w:w="10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60–80%</w:t>
            </w:r>
          </w:p>
        </w:tc>
        <w:tc>
          <w:tcPr>
            <w:tcW w:type="dxa" w:w="1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5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A4F00"/>
                <w:sz w:val="18"/>
                <w:szCs w:val="18"/>
              </w:rPr>
              <w:t xml:space="preserve">◑ Medium</w:t>
            </w:r>
          </w:p>
        </w:tc>
        <w:tc>
          <w:tcPr>
            <w:tcW w:type="dxa" w:w="256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Chair's directive + industry requests.</w:t>
            </w:r>
          </w:p>
        </w:tc>
      </w:tr>
      <w:tr>
        <w:tc>
          <w:tcPr>
            <w:tcW w:type="dxa" w:w="30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Regulators publish a consolidated data reporting request / pilot to improve on-chain/off-chain surveillance</w:t>
            </w:r>
          </w:p>
        </w:tc>
        <w:tc>
          <w:tcPr>
            <w:tcW w:type="dxa" w:w="16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5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7A4F00"/>
                <w:sz w:val="18"/>
                <w:szCs w:val="18"/>
              </w:rPr>
              <w:t xml:space="preserve">STRONGLY INFERRED</w:t>
            </w:r>
          </w:p>
        </w:tc>
        <w:tc>
          <w:tcPr>
            <w:tcW w:type="dxa" w:w="10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50–70%</w:t>
            </w:r>
          </w:p>
        </w:tc>
        <w:tc>
          <w:tcPr>
            <w:tcW w:type="dxa" w:w="1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5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A4F00"/>
                <w:sz w:val="18"/>
                <w:szCs w:val="18"/>
              </w:rPr>
              <w:t xml:space="preserve">◑ Medium</w:t>
            </w:r>
          </w:p>
        </w:tc>
        <w:tc>
          <w:tcPr>
            <w:tcW w:type="dxa" w:w="256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Trading &amp; Tokenization calls for surveillance.</w:t>
            </w:r>
          </w:p>
        </w:tc>
      </w:tr>
      <w:tr>
        <w:tc>
          <w:tcPr>
            <w:tcW w:type="dxa" w:w="30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SEC issues a new doctrinal test supplanting Howey (e.g., statutory reinterpretation or bright-line control threshold)</w:t>
            </w:r>
          </w:p>
        </w:tc>
        <w:tc>
          <w:tcPr>
            <w:tcW w:type="dxa" w:w="16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C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1515"/>
                <w:sz w:val="18"/>
                <w:szCs w:val="18"/>
              </w:rPr>
              <w:t xml:space="preserve">SPECULATIVE</w:t>
            </w:r>
          </w:p>
        </w:tc>
        <w:tc>
          <w:tcPr>
            <w:tcW w:type="dxa" w:w="10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20–40%</w:t>
            </w:r>
          </w:p>
        </w:tc>
        <w:tc>
          <w:tcPr>
            <w:tcW w:type="dxa" w:w="1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C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A31515"/>
                <w:sz w:val="18"/>
                <w:szCs w:val="18"/>
              </w:rPr>
              <w:t xml:space="preserve">○ Low</w:t>
            </w:r>
          </w:p>
        </w:tc>
        <w:tc>
          <w:tcPr>
            <w:tcW w:type="dxa" w:w="256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Doctrinal debates strong but statutory change or definitive courts required.</w:t>
            </w:r>
          </w:p>
        </w:tc>
      </w:tr>
      <w:tr>
        <w:tc>
          <w:tcPr>
            <w:tcW w:type="dxa" w:w="30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Congress enacts SIPA-style insolvency protections extended to certain token classes within 1–3 years</w:t>
            </w:r>
          </w:p>
        </w:tc>
        <w:tc>
          <w:tcPr>
            <w:tcW w:type="dxa" w:w="16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C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1515"/>
                <w:sz w:val="18"/>
                <w:szCs w:val="18"/>
              </w:rPr>
              <w:t xml:space="preserve">SPECULATIVE</w:t>
            </w:r>
          </w:p>
        </w:tc>
        <w:tc>
          <w:tcPr>
            <w:tcW w:type="dxa" w:w="10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10–30%</w:t>
            </w:r>
          </w:p>
        </w:tc>
        <w:tc>
          <w:tcPr>
            <w:tcW w:type="dxa" w:w="1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CE8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A31515"/>
                <w:sz w:val="18"/>
                <w:szCs w:val="18"/>
              </w:rPr>
              <w:t xml:space="preserve">○ Low</w:t>
            </w:r>
          </w:p>
        </w:tc>
        <w:tc>
          <w:tcPr>
            <w:tcW w:type="dxa" w:w="256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Legislative inertia and interagency trade-offs.</w:t>
            </w:r>
          </w:p>
        </w:tc>
      </w:tr>
    </w:tbl>
    <w:p>
      <w:pPr>
        <w:spacing w:before="200" w:after="100"/>
      </w:pPr>
    </w:p>
    <w:p>
      <w:pPr>
        <w:pStyle w:val="Heading3"/>
        <w:spacing w:before="160" w:after="80"/>
      </w:pPr>
      <w:r>
        <w:rPr>
          <w:rFonts w:ascii="Calibri" w:cs="Calibri" w:eastAsia="Calibri" w:hAnsi="Calibri"/>
          <w:b/>
          <w:bCs/>
          <w:color w:val="0A6EBD"/>
          <w:sz w:val="22"/>
          <w:szCs w:val="22"/>
        </w:rPr>
        <w:t xml:space="preserve">C. Future Steps Based on Key Influencers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2260"/>
        <w:gridCol w:w="1600"/>
      </w:tblGrid>
      <w:tr>
        <w:trPr>
          <w:tblHeader/>
        </w:trPr>
        <w:tc>
          <w:tcPr>
            <w:tcW w:type="dxa" w:w="2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0B24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Influencer</w:t>
            </w:r>
          </w:p>
        </w:tc>
        <w:tc>
          <w:tcPr>
            <w:tcW w:type="dxa" w:w="33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0B24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Action</w:t>
            </w:r>
          </w:p>
        </w:tc>
        <w:tc>
          <w:tcPr>
            <w:tcW w:type="dxa" w:w="226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0B24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Likely Outcome</w:t>
            </w:r>
          </w:p>
        </w:tc>
        <w:tc>
          <w:tcPr>
            <w:tcW w:type="dxa" w:w="16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0B24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  <w:tr>
        <w:tc>
          <w:tcPr>
            <w:tcW w:type="dxa" w:w="2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Chair Atkins</w:t>
            </w:r>
          </w:p>
        </w:tc>
        <w:tc>
          <w:tcPr>
            <w:tcW w:type="dxa" w:w="33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Staff directive to explore innovation exemption/pilots (Tokenization &amp; DeFi). FACT</w:t>
            </w:r>
          </w:p>
        </w:tc>
        <w:tc>
          <w:tcPr>
            <w:tcW w:type="dxa" w:w="226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Staff RFI or pilot program design</w:t>
            </w:r>
          </w:p>
        </w:tc>
        <w:tc>
          <w:tcPr>
            <w:tcW w:type="dxa" w:w="16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E8F5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5C2A"/>
                <w:sz w:val="18"/>
                <w:szCs w:val="18"/>
              </w:rPr>
              <w:t xml:space="preserve">● High</w:t>
            </w:r>
          </w:p>
        </w:tc>
      </w:tr>
      <w:tr>
        <w:tc>
          <w:tcPr>
            <w:tcW w:type="dxa" w:w="2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DTCC / Post-trade incumbents (Sabella) + large asset managers</w:t>
            </w:r>
          </w:p>
        </w:tc>
        <w:tc>
          <w:tcPr>
            <w:tcW w:type="dxa" w:w="33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Accelerate operational pilots demonstrating settlement/netting models acceptable to regulators. ANALYSIS</w:t>
            </w:r>
          </w:p>
        </w:tc>
        <w:tc>
          <w:tcPr>
            <w:tcW w:type="dxa" w:w="226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Operational pilot designs submitted to staff</w:t>
            </w:r>
          </w:p>
        </w:tc>
        <w:tc>
          <w:tcPr>
            <w:tcW w:type="dxa" w:w="16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5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A4F00"/>
                <w:sz w:val="18"/>
                <w:szCs w:val="18"/>
              </w:rPr>
              <w:t xml:space="preserve">◑ Medium</w:t>
            </w:r>
          </w:p>
        </w:tc>
      </w:tr>
      <w:tr>
        <w:tc>
          <w:tcPr>
            <w:tcW w:type="dxa" w:w="2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Custody infrastructure leaders (Fireblocks, Anchorage)</w:t>
            </w:r>
          </w:p>
        </w:tc>
        <w:tc>
          <w:tcPr>
            <w:tcW w:type="dxa" w:w="33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Provide audit templates and exam-readiness packages; their proposals will heavily influence supervisory expectations. ANALYSIS</w:t>
            </w:r>
          </w:p>
        </w:tc>
        <w:tc>
          <w:tcPr>
            <w:tcW w:type="dxa" w:w="226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Supervisory guidance adopts their frameworks</w:t>
            </w:r>
          </w:p>
        </w:tc>
        <w:tc>
          <w:tcPr>
            <w:tcW w:type="dxa" w:w="16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E8F5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5C2A"/>
                <w:sz w:val="18"/>
                <w:szCs w:val="18"/>
              </w:rPr>
              <w:t xml:space="preserve">● High</w:t>
            </w:r>
          </w:p>
        </w:tc>
      </w:tr>
      <w:tr>
        <w:tc>
          <w:tcPr>
            <w:tcW w:type="dxa" w:w="2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Commissioners favoring tech-neutral sandboxes (Peirce, Uyeda)</w:t>
            </w:r>
          </w:p>
        </w:tc>
        <w:tc>
          <w:tcPr>
            <w:tcW w:type="dxa" w:w="33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Push for less restrictive pilot parameters, increasing industry participation. INFERENCE</w:t>
            </w:r>
          </w:p>
        </w:tc>
        <w:tc>
          <w:tcPr>
            <w:tcW w:type="dxa" w:w="226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Expanded pilot scope</w:t>
            </w:r>
          </w:p>
        </w:tc>
        <w:tc>
          <w:tcPr>
            <w:tcW w:type="dxa" w:w="16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5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A4F00"/>
                <w:sz w:val="18"/>
                <w:szCs w:val="18"/>
              </w:rPr>
              <w:t xml:space="preserve">◑ Medium</w:t>
            </w:r>
          </w:p>
        </w:tc>
      </w:tr>
    </w:tbl>
    <w:p>
      <w:pPr>
        <w:spacing w:before="200" w:after="100"/>
      </w:pPr>
    </w:p>
    <w:p>
      <w:pPr>
        <w:pStyle w:val="Heading3"/>
        <w:spacing w:before="160" w:after="80"/>
      </w:pPr>
      <w:r>
        <w:rPr>
          <w:rFonts w:ascii="Calibri" w:cs="Calibri" w:eastAsia="Calibri" w:hAnsi="Calibri"/>
          <w:b/>
          <w:bCs/>
          <w:color w:val="0A6EBD"/>
          <w:sz w:val="22"/>
          <w:szCs w:val="22"/>
        </w:rPr>
        <w:t xml:space="preserve">D. What Could Change These Predictions</w:t>
      </w:r>
    </w:p>
    <w:p>
      <w:pPr>
        <w:pStyle w:val="ListParagraph"/>
        <w:numPr>
          <w:ilvl w:val="0"/>
          <w:numId w:val="2"/>
        </w:numPr>
        <w:spacing w:before="50" w:after="50"/>
        <w:ind w:left="720" w:hanging="3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Litigation outcomes altering Howey jurisprudence or a major appellate court reversal/clarification. (FACT/INFERENCE)</w:t>
      </w:r>
    </w:p>
    <w:p>
      <w:pPr>
        <w:pStyle w:val="ListParagraph"/>
        <w:numPr>
          <w:ilvl w:val="0"/>
          <w:numId w:val="2"/>
        </w:numPr>
        <w:spacing w:before="50" w:after="50"/>
        <w:ind w:left="720" w:hanging="3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Congressional action (statutory fixes around custody/SIPA, jurisdictional allocation) that supersedes staff actions. (FACT/INFERENCE)</w:t>
      </w:r>
    </w:p>
    <w:p>
      <w:pPr>
        <w:pStyle w:val="ListParagraph"/>
        <w:numPr>
          <w:ilvl w:val="0"/>
          <w:numId w:val="2"/>
        </w:numPr>
        <w:spacing w:before="50" w:after="50"/>
        <w:ind w:left="720" w:hanging="3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Inter-agency conflict or cooperation outcomes (CFTC/Treasury/FinCEN positions) affecting regulatory assignment. (FACT)</w:t>
      </w:r>
    </w:p>
    <w:p>
      <w:pPr>
        <w:pStyle w:val="ListParagraph"/>
        <w:numPr>
          <w:ilvl w:val="0"/>
          <w:numId w:val="2"/>
        </w:numPr>
        <w:spacing w:before="50" w:after="50"/>
        <w:ind w:left="720" w:hanging="3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Geopolitical or market shocks (major protocol failure, new systemic stablecoin collapse) that force accelerated rulemaking. (INFERENCE)</w:t>
      </w:r>
    </w:p>
    <w:p>
      <w:pPr>
        <w:pBdr>
          <w:bottom w:val="single" w:color="0B2447" w:sz="8" w:space="1"/>
        </w:pBdr>
        <w:spacing w:before="300" w:after="240"/>
      </w:pPr>
    </w:p>
    <w:p>
      <w:pPr>
        <w:pStyle w:val="Heading1"/>
        <w:spacing w:before="360" w:after="180"/>
      </w:pPr>
      <w:r>
        <w:rPr>
          <w:rFonts w:ascii="Calibri" w:cs="Calibri" w:eastAsia="Calibri" w:hAnsi="Calibri"/>
          <w:b/>
          <w:bCs/>
          <w:color w:val="0A6EBD"/>
          <w:sz w:val="32"/>
          <w:szCs w:val="32"/>
        </w:rPr>
        <w:t xml:space="preserve">10  </w:t>
      </w:r>
      <w:r>
        <w:rPr>
          <w:rFonts w:ascii="Calibri" w:cs="Calibri" w:eastAsia="Calibri" w:hAnsi="Calibri"/>
          <w:b/>
          <w:bCs/>
          <w:color w:val="0B2447"/>
          <w:sz w:val="32"/>
          <w:szCs w:val="32"/>
        </w:rPr>
        <w:t xml:space="preserve">SOURCES</w:t>
      </w:r>
    </w:p>
    <w:p>
      <w:pPr>
        <w:pStyle w:val="Heading3"/>
        <w:spacing w:before="160" w:after="80"/>
      </w:pPr>
      <w:r>
        <w:rPr>
          <w:rFonts w:ascii="Calibri" w:cs="Calibri" w:eastAsia="Calibri" w:hAnsi="Calibri"/>
          <w:b/>
          <w:bCs/>
          <w:color w:val="0A6EBD"/>
          <w:sz w:val="22"/>
          <w:szCs w:val="22"/>
        </w:rPr>
        <w:t xml:space="preserve">Primary Meeting Reports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000"/>
        <w:gridCol w:w="2160"/>
      </w:tblGrid>
      <w:tr>
        <w:trPr>
          <w:tblHeader/>
        </w:trPr>
        <w:tc>
          <w:tcPr>
            <w:tcW w:type="dxa" w:w="3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0B24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Meeting</w:t>
            </w:r>
          </w:p>
        </w:tc>
        <w:tc>
          <w:tcPr>
            <w:tcW w:type="dxa" w:w="40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0B24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Transcript File</w:t>
            </w:r>
          </w:p>
        </w:tc>
        <w:tc>
          <w:tcPr>
            <w:tcW w:type="dxa" w:w="216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0B24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How We Got Here — Defining Securities</w:t>
            </w:r>
          </w:p>
        </w:tc>
        <w:tc>
          <w:tcPr>
            <w:tcW w:type="dxa" w:w="40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SEC_Meeting_Report_how-we-got-here-…</w:t>
            </w:r>
          </w:p>
        </w:tc>
        <w:tc>
          <w:tcPr>
            <w:tcW w:type="dxa" w:w="216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March 21, 2025</w:t>
            </w:r>
          </w:p>
        </w:tc>
      </w:tr>
      <w:tr>
        <w:tc>
          <w:tcPr>
            <w:tcW w:type="dxa" w:w="3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Between a Block and a Hard Place — Trading Regulation</w:t>
            </w:r>
          </w:p>
        </w:tc>
        <w:tc>
          <w:tcPr>
            <w:tcW w:type="dxa" w:w="40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SEC_Meeting_Report_between-block-hard-place-…</w:t>
            </w:r>
          </w:p>
        </w:tc>
        <w:tc>
          <w:tcPr>
            <w:tcW w:type="dxa" w:w="216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April 11, 2025</w:t>
            </w:r>
          </w:p>
        </w:tc>
      </w:tr>
      <w:tr>
        <w:tc>
          <w:tcPr>
            <w:tcW w:type="dxa" w:w="3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Know Your Custodian — Crypto Custody</w:t>
            </w:r>
          </w:p>
        </w:tc>
        <w:tc>
          <w:tcPr>
            <w:tcW w:type="dxa" w:w="40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SEC_Meeting_Report_know-your-custodian-…</w:t>
            </w:r>
          </w:p>
        </w:tc>
        <w:tc>
          <w:tcPr>
            <w:tcW w:type="dxa" w:w="216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April 28, 2025</w:t>
            </w:r>
          </w:p>
        </w:tc>
      </w:tr>
      <w:tr>
        <w:tc>
          <w:tcPr>
            <w:tcW w:type="dxa" w:w="3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Tokenization — Moving Assets On-Chain</w:t>
            </w:r>
          </w:p>
        </w:tc>
        <w:tc>
          <w:tcPr>
            <w:tcW w:type="dxa" w:w="40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SEC_Meeting_Report_tokenization-…</w:t>
            </w:r>
          </w:p>
        </w:tc>
        <w:tc>
          <w:tcPr>
            <w:tcW w:type="dxa" w:w="216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May 12, 2025</w:t>
            </w:r>
          </w:p>
        </w:tc>
      </w:tr>
      <w:tr>
        <w:tc>
          <w:tcPr>
            <w:tcW w:type="dxa" w:w="3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DeFi and the American Spirit</w:t>
            </w:r>
          </w:p>
        </w:tc>
        <w:tc>
          <w:tcPr>
            <w:tcW w:type="dxa" w:w="40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SEC_Meeting_Report_defi-american-spirit…</w:t>
            </w:r>
          </w:p>
        </w:tc>
        <w:tc>
          <w:tcPr>
            <w:tcW w:type="dxa" w:w="216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June 9, 2025</w:t>
            </w:r>
          </w:p>
        </w:tc>
      </w:tr>
    </w:tbl>
    <w:p>
      <w:pPr>
        <w:spacing w:before="160" w:after="80"/>
      </w:pPr>
    </w:p>
    <w:p>
      <w:pPr>
        <w:pStyle w:val="Heading3"/>
        <w:spacing w:before="160" w:after="80"/>
      </w:pPr>
      <w:r>
        <w:rPr>
          <w:rFonts w:ascii="Calibri" w:cs="Calibri" w:eastAsia="Calibri" w:hAnsi="Calibri"/>
          <w:b/>
          <w:bCs/>
          <w:color w:val="0A6EBD"/>
          <w:sz w:val="22"/>
          <w:szCs w:val="22"/>
        </w:rPr>
        <w:t xml:space="preserve">RAG / Web Sources</w:t>
      </w:r>
    </w:p>
    <w:p>
      <w:pPr>
        <w:pStyle w:val="ListParagraph"/>
        <w:numPr>
          <w:ilvl w:val="0"/>
          <w:numId w:val="2"/>
        </w:numPr>
        <w:spacing w:before="50" w:after="50"/>
        <w:ind w:left="720" w:hanging="3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SEC Staff Accounting Bulletin No. 122 — rescission of SAB 121: https://www.sec.gov/rules-regulations/staff-guidance/staff-accounting-bulletins/staff-accounting-bulletin-122</w:t>
      </w:r>
    </w:p>
    <w:p>
      <w:pPr>
        <w:pStyle w:val="ListParagraph"/>
        <w:numPr>
          <w:ilvl w:val="0"/>
          <w:numId w:val="2"/>
        </w:numPr>
        <w:spacing w:before="50" w:after="50"/>
        <w:ind w:left="720" w:hanging="3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EtherDelta / Coburn enforcement order — cited in DeFi meeting and enforcement discussions.</w:t>
      </w:r>
    </w:p>
    <w:p>
      <w:pPr>
        <w:pStyle w:val="ListParagraph"/>
        <w:numPr>
          <w:ilvl w:val="0"/>
          <w:numId w:val="2"/>
        </w:numPr>
        <w:spacing w:before="50" w:after="50"/>
        <w:ind w:left="720" w:hanging="3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SEC speeches/statements by Commissioners (e.g., Peirce) referenced across meetings.</w:t>
      </w:r>
    </w:p>
    <w:p>
      <w:pPr>
        <w:spacing w:before="16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0B244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SOURCING CAVEAT</w:t>
            </w:r>
          </w:p>
        </w:tc>
      </w:tr>
      <w:tr>
        <w:tc>
          <w:tcPr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2F5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direct meeting quotations and meeting-specific facts are drawn from the supplied meeting report text/transcripts listed above.</w:t>
            </w:r>
          </w:p>
        </w:tc>
      </w:tr>
      <w:tr>
        <w:tc>
          <w:tcPr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2F5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External RAG citations were used only to corroborate regulatory actions explicitly referenced in meetings (e.g., SAB 122 rescission).</w:t>
            </w:r>
          </w:p>
        </w:tc>
      </w:tr>
      <w:tr>
        <w:tc>
          <w:tcPr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2F5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Items flagged INFERENCE are analyst forecasts based on cross-meeting patterns and influence indicators.</w:t>
            </w:r>
          </w:p>
        </w:tc>
      </w:tr>
    </w:tbl>
    <w:p>
      <w:pPr>
        <w:pBdr>
          <w:bottom w:val="single" w:color="0B2447" w:sz="8" w:space="1"/>
        </w:pBdr>
        <w:spacing w:before="300" w:after="240"/>
      </w:pPr>
    </w:p>
    <w:p>
      <w:pPr>
        <w:pStyle w:val="Heading1"/>
        <w:spacing w:before="360" w:after="180"/>
      </w:pPr>
      <w:r>
        <w:rPr>
          <w:rFonts w:ascii="Calibri" w:cs="Calibri" w:eastAsia="Calibri" w:hAnsi="Calibri"/>
          <w:b/>
          <w:bCs/>
          <w:color w:val="0A6EBD"/>
          <w:sz w:val="32"/>
          <w:szCs w:val="32"/>
        </w:rPr>
        <w:t xml:space="preserve">A.  </w:t>
      </w:r>
      <w:r>
        <w:rPr>
          <w:rFonts w:ascii="Calibri" w:cs="Calibri" w:eastAsia="Calibri" w:hAnsi="Calibri"/>
          <w:b/>
          <w:bCs/>
          <w:color w:val="0B2447"/>
          <w:sz w:val="32"/>
          <w:szCs w:val="32"/>
        </w:rPr>
        <w:t xml:space="preserve">APPENDIX — INFLUENCE TIER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0B24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716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0B24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Names</w:t>
            </w:r>
          </w:p>
        </w:tc>
      </w:tr>
      <w:tr>
        <w:tc>
          <w:tcPr>
            <w:tcW w:type="dxa" w:w="2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0B244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716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Chairman Atkins; Acting Chair Mark Uyeda</w:t>
            </w:r>
          </w:p>
        </w:tc>
      </w:tr>
      <w:tr>
        <w:tc>
          <w:tcPr>
            <w:tcW w:type="dxa" w:w="2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19376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716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2F5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Nicholas Losurdo; Christian Sabella (DTCC); Jason Allegrante; Rachel Anderica</w:t>
            </w:r>
          </w:p>
        </w:tc>
      </w:tr>
      <w:tr>
        <w:tc>
          <w:tcPr>
            <w:tcW w:type="dxa" w:w="220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0A6EB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LOWER (Persuasive)</w:t>
            </w:r>
          </w:p>
        </w:tc>
        <w:tc>
          <w:tcPr>
            <w:tcW w:type="dxa" w:w="7160"/>
            <w:tcBorders>
              <w:top w:val="single" w:color="B0C8DC" w:sz="1"/>
              <w:left w:val="single" w:color="B0C8DC" w:sz="1"/>
              <w:bottom w:val="single" w:color="B0C8DC" w:sz="1"/>
              <w:right w:val="single" w:color="B0C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Chris Brummer; Miles (a16z counsel); John Reed Stark; Katherine Minarik; panel academics/practitioners</w:t>
            </w:r>
          </w:p>
        </w:tc>
      </w:tr>
    </w:tbl>
    <w:p>
      <w:pPr>
        <w:spacing w:before="200" w:after="100"/>
      </w:pPr>
    </w:p>
    <w:p>
      <w:pPr>
        <w:pStyle w:val="Heading1"/>
        <w:spacing w:before="360" w:after="180"/>
      </w:pPr>
      <w:r>
        <w:rPr>
          <w:rFonts w:ascii="Calibri" w:cs="Calibri" w:eastAsia="Calibri" w:hAnsi="Calibri"/>
          <w:b/>
          <w:bCs/>
          <w:color w:val="0A6EBD"/>
          <w:sz w:val="32"/>
          <w:szCs w:val="32"/>
        </w:rPr>
        <w:t xml:space="preserve">B.  </w:t>
      </w:r>
      <w:r>
        <w:rPr>
          <w:rFonts w:ascii="Calibri" w:cs="Calibri" w:eastAsia="Calibri" w:hAnsi="Calibri"/>
          <w:b/>
          <w:bCs/>
          <w:color w:val="0B2447"/>
          <w:sz w:val="32"/>
          <w:szCs w:val="32"/>
        </w:rPr>
        <w:t xml:space="preserve">APPENDIX — SUGGESTED NEXT STEPS</w:t>
      </w:r>
    </w:p>
    <w:p>
      <w:pPr>
        <w:pStyle w:val="ListParagraph"/>
        <w:numPr>
          <w:ilvl w:val="0"/>
          <w:numId w:val="2"/>
        </w:numPr>
        <w:spacing w:before="50" w:after="50"/>
        <w:ind w:left="720" w:hanging="3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Produce an executive one-page summary for in-house counsel and product teams — 5-point action plan based on findings.</w:t>
      </w:r>
    </w:p>
    <w:p>
      <w:pPr>
        <w:pStyle w:val="ListParagraph"/>
        <w:numPr>
          <w:ilvl w:val="0"/>
          <w:numId w:val="2"/>
        </w:numPr>
        <w:spacing w:before="50" w:after="50"/>
        <w:ind w:left="720" w:hanging="3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Generate a prioritized response checklist for Custody teams — document templates for audits, contracts, proof-of-control mapped to likely supervisory expectations.</w:t>
      </w:r>
    </w:p>
    <w:p>
      <w:pPr>
        <w:pStyle w:val="ListParagraph"/>
        <w:numPr>
          <w:ilvl w:val="0"/>
          <w:numId w:val="2"/>
        </w:numPr>
        <w:spacing w:before="50" w:after="50"/>
        <w:ind w:left="720" w:hanging="36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Extract a CSV of speaker turns and topic tags from transcripts — quantitative speaker engagement matrix.</w:t>
      </w:r>
    </w:p>
    <w:p>
      <w:pPr>
        <w:spacing w:before="400" w:after="200"/>
        <w:jc w:val="center"/>
      </w:pPr>
      <w:r>
        <w:rPr>
          <w:rFonts w:ascii="Calibri" w:cs="Calibri" w:eastAsia="Calibri" w:hAnsi="Calibri"/>
          <w:b/>
          <w:bCs/>
          <w:color w:val="0B2447"/>
          <w:sz w:val="22"/>
          <w:szCs w:val="22"/>
        </w:rPr>
        <w:t xml:space="preserve">— END OF REPORT —</w:t>
      </w:r>
    </w:p>
    <w:p>
      <w:pPr>
        <w:spacing w:before="40" w:after="0"/>
        <w:jc w:val="center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CRI – Crypto Regulatory Insight  |  Prepared 2025</w:t>
      </w:r>
    </w:p>
    <w:sectPr>
      <w:headerReference w:type="default" r:id="rId10"/>
      <w:footerReference w:type="default" r:id="rId11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0C8DC" w:sz="4" w:space="1"/>
      </w:pBdr>
      <w:spacing w:before="80" w:after="0"/>
      <w:jc w:val="center"/>
    </w:pPr>
    <w:r>
      <w:rPr>
        <w:rFonts w:ascii="Calibri" w:cs="Calibri" w:eastAsia="Calibri" w:hAnsi="Calibri"/>
        <w:color w:val="777777"/>
        <w:sz w:val="16"/>
        <w:szCs w:val="16"/>
      </w:rPr>
      <w:t xml:space="preserve">CRI – Crypto Regulatory Insight  |  For informational purposes only — not legal advice  |  Page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77777"/>
        <w:sz w:val="16"/>
        <w:szCs w:val="16"/>
      </w:rPr>
      <w:t xml:space="preserve"> of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0C8DC" w:sz="4" w:space="1"/>
      </w:pBdr>
      <w:spacing w:before="80" w:after="0"/>
      <w:jc w:val="center"/>
    </w:pPr>
    <w:r>
      <w:rPr>
        <w:rFonts w:ascii="Calibri" w:cs="Calibri" w:eastAsia="Calibri" w:hAnsi="Calibri"/>
        <w:color w:val="777777"/>
        <w:sz w:val="16"/>
        <w:szCs w:val="16"/>
      </w:rPr>
      <w:t xml:space="preserve">CRI – Crypto Regulatory Insight  |  For informational purposes only — not legal advice  |  Page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77777"/>
        <w:sz w:val="16"/>
        <w:szCs w:val="16"/>
      </w:rPr>
      <w:t xml:space="preserve"> of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0C8DC" w:sz="4" w:space="1"/>
      </w:pBdr>
      <w:spacing w:before="80" w:after="0"/>
      <w:jc w:val="center"/>
    </w:pPr>
    <w:r>
      <w:rPr>
        <w:rFonts w:ascii="Calibri" w:cs="Calibri" w:eastAsia="Calibri" w:hAnsi="Calibri"/>
        <w:color w:val="777777"/>
        <w:sz w:val="16"/>
        <w:szCs w:val="16"/>
      </w:rPr>
      <w:t xml:space="preserve">CRI – Crypto Regulatory Insight  |  For informational purposes only — not legal advice  |  Page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77777"/>
        <w:sz w:val="16"/>
        <w:szCs w:val="16"/>
      </w:rPr>
      <w:t xml:space="preserve"> of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B2447" w:sz="6" w:space="1"/>
      </w:pBdr>
      <w:spacing w:before="0" w:after="100"/>
    </w:pPr>
    <w:r>
      <w:rPr>
        <w:rFonts w:ascii="Calibri" w:cs="Calibri" w:eastAsia="Calibri" w:hAnsi="Calibri"/>
        <w:b/>
        <w:bCs/>
        <w:color w:val="0B2447"/>
        <w:sz w:val="18"/>
        <w:szCs w:val="18"/>
      </w:rPr>
      <w:t xml:space="preserve">SEC CRYPTO TASK FORCE — REGULATORY INTELLIGENCE REPORT</w:t>
    </w:r>
    <w:r>
      <w:rPr>
        <w:rFonts w:ascii="Calibri" w:cs="Calibri" w:eastAsia="Calibri" w:hAnsi="Calibri"/>
        <w:color w:val="666666"/>
        <w:sz w:val="18"/>
        <w:szCs w:val="18"/>
      </w:rPr>
      <w:t xml:space="preserve">   |   All 5 Roundtable Meetings  |  2025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B2447" w:sz="6" w:space="1"/>
      </w:pBdr>
      <w:spacing w:before="0" w:after="100"/>
    </w:pPr>
    <w:r>
      <w:rPr>
        <w:rFonts w:ascii="Calibri" w:cs="Calibri" w:eastAsia="Calibri" w:hAnsi="Calibri"/>
        <w:b/>
        <w:bCs/>
        <w:color w:val="0B2447"/>
        <w:sz w:val="18"/>
        <w:szCs w:val="18"/>
      </w:rPr>
      <w:t xml:space="preserve">SEC CRYPTO TASK FORCE — REGULATORY INTELLIGENCE REPORT</w:t>
    </w:r>
    <w:r>
      <w:rPr>
        <w:rFonts w:ascii="Calibri" w:cs="Calibri" w:eastAsia="Calibri" w:hAnsi="Calibri"/>
        <w:color w:val="666666"/>
        <w:sz w:val="18"/>
        <w:szCs w:val="18"/>
      </w:rPr>
      <w:t xml:space="preserve">   |   All 5 Roundtable Meetings  |  2025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B2447" w:sz="6" w:space="1"/>
      </w:pBdr>
      <w:spacing w:before="0" w:after="100"/>
    </w:pPr>
    <w:r>
      <w:rPr>
        <w:rFonts w:ascii="Calibri" w:cs="Calibri" w:eastAsia="Calibri" w:hAnsi="Calibri"/>
        <w:b/>
        <w:bCs/>
        <w:color w:val="0B2447"/>
        <w:sz w:val="18"/>
        <w:szCs w:val="18"/>
      </w:rPr>
      <w:t xml:space="preserve">SEC CRYPTO TASK FORCE — REGULATORY INTELLIGENCE REPORT</w:t>
    </w:r>
    <w:r>
      <w:rPr>
        <w:rFonts w:ascii="Calibri" w:cs="Calibri" w:eastAsia="Calibri" w:hAnsi="Calibri"/>
        <w:color w:val="666666"/>
        <w:sz w:val="18"/>
        <w:szCs w:val="18"/>
      </w:rPr>
      <w:t xml:space="preserve">   |   All 5 Roundtable Meetings  | 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Calibri" w:cs="Calibri" w:eastAsia="Calibri" w:hAnsi="Calibri"/>
      <w:b/>
      <w:bCs/>
      <w:color w:val="0B2447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Calibri" w:cs="Calibri" w:eastAsia="Calibri" w:hAnsi="Calibri"/>
      <w:b/>
      <w:bCs/>
      <w:color w:val="19376D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Calibri" w:cs="Calibri" w:eastAsia="Calibri" w:hAnsi="Calibri"/>
      <w:b/>
      <w:bCs/>
      <w:color w:val="0A6EB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2026-03-07T16:09:55.666Z</dcterms:created>
  <dcterms:modified xsi:type="dcterms:W3CDTF">2026-03-07T16:09:55.667Z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