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B3A6B" w:val="clear"/>
            <w:tcMar>
              <w:top w:type="dxa" w:w="200"/>
              <w:left w:type="dxa" w:w="300"/>
              <w:bottom w:type="dxa" w:w="200"/>
              <w:right w:type="dxa" w:w="300"/>
            </w:tcMar>
          </w:tcPr>
          <w:p>
            <w:pPr>
              <w:jc w:val="center"/>
            </w:pPr>
            <w:r>
              <w:rPr>
                <w:rFonts w:ascii="Arial" w:cs="Arial" w:eastAsia="Arial" w:hAnsi="Arial"/>
                <w:b/>
                <w:bCs/>
                <w:color w:val="FFFFFF"/>
                <w:sz w:val="36"/>
                <w:szCs w:val="36"/>
              </w:rPr>
              <w:t xml:space="preserve">What Can CRI Do For You?</w:t>
            </w:r>
          </w:p>
          <w:p>
            <w:pPr>
              <w:spacing w:before="80"/>
              <w:jc w:val="center"/>
            </w:pPr>
            <w:r>
              <w:rPr>
                <w:rFonts w:ascii="Arial" w:cs="Arial" w:eastAsia="Arial" w:hAnsi="Arial"/>
                <w:color w:val="D6E4F0"/>
                <w:sz w:val="20"/>
                <w:szCs w:val="20"/>
              </w:rPr>
              <w:t xml:space="preserve">A Feature Guide for Academic Reviewers &amp; Content Evaluators</w:t>
            </w:r>
          </w:p>
        </w:tc>
      </w:tr>
    </w:tbl>
    <w:p>
      <w:pPr>
        <w:spacing w:after="160"/>
      </w:pPr>
    </w:p>
    <w:p>
      <w:pPr>
        <w:spacing w:after="100"/>
      </w:pPr>
      <w:r>
        <w:rPr>
          <w:rFonts w:ascii="Arial" w:cs="Arial" w:eastAsia="Arial" w:hAnsi="Arial"/>
          <w:sz w:val="18"/>
          <w:szCs w:val="18"/>
        </w:rPr>
        <w:t xml:space="preserve">The Crypto Regulatory Insight (CRI) platform is a purpose-built intelligence tool for tracking and interpreting U.S. SEC crypto policy. This guide introduces each functional feature and explains how it serves researchers, policy analysts, and compliance practitioners working in the academic or think-tank space.</w:t>
      </w:r>
    </w:p>
    <w:p>
      <w:pPr>
        <w:spacing w:after="160"/>
      </w:pPr>
      <w:r>
        <w:rPr>
          <w:rFonts w:ascii="Arial" w:cs="Arial" w:eastAsia="Arial" w:hAnsi="Arial"/>
          <w:sz w:val="18"/>
          <w:szCs w:val="18"/>
        </w:rPr>
        <w:t xml:space="preserve">As a beta reviewer in our Academic Interest Group, your feedback on content quality, analytical depth, and practical value is essential. Below is a plain-language walkthrough of each feature.</w:t>
      </w:r>
    </w:p>
    <w:p>
      <w:pPr>
        <w:pBdr>
          <w:bottom w:val="single" w:color="1B3A6B" w:sz="8" w:space="2"/>
        </w:pBdr>
        <w:spacing w:before="240" w:after="100"/>
      </w:pPr>
      <w:r>
        <w:rPr>
          <w:rFonts w:ascii="Arial" w:cs="Arial" w:eastAsia="Arial" w:hAnsi="Arial"/>
          <w:b/>
          <w:bCs/>
          <w:color w:val="1B3A6B"/>
          <w:sz w:val="24"/>
          <w:szCs w:val="24"/>
        </w:rPr>
        <w:t xml:space="preserve">FEATURE 1 — SEC AI ASSISTANT: ASK ANYTHING, GET A SOURCED ANSWER</w:t>
      </w:r>
    </w:p>
    <w:p>
      <w:pPr>
        <w:spacing w:after="80"/>
      </w:pPr>
      <w:r>
        <w:rPr>
          <w:rFonts w:ascii="Arial" w:cs="Arial" w:eastAsia="Arial" w:hAnsi="Arial"/>
          <w:sz w:val="18"/>
          <w:szCs w:val="18"/>
        </w:rPr>
        <w:t xml:space="preserve">The AI Assistant lets you query the SEC's crypto-related regulatory output using plain English. It answers questions on rules, enforcement trends, guidance documents, roundtable positions, and policy gaps.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gridCol w:w="720"/>
      </w:tblGrid>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B3A6B"/>
                <w:sz w:val="19"/>
                <w:szCs w:val="19"/>
              </w:rPr>
              <w:t xml:space="preserve">What You Can Ask</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40"/>
            </w:pPr>
            <w:r>
              <w:rPr>
                <w:rFonts w:ascii="Arial" w:cs="Arial" w:eastAsia="Arial" w:hAnsi="Arial"/>
                <w:b/>
                <w:bCs/>
                <w:color w:val="2E6DA4"/>
                <w:sz w:val="18"/>
                <w:szCs w:val="18"/>
              </w:rPr>
              <w:t xml:space="preserve">Regulatory questions: </w:t>
            </w:r>
            <w:r>
              <w:rPr>
                <w:rFonts w:ascii="Arial" w:cs="Arial" w:eastAsia="Arial" w:hAnsi="Arial"/>
                <w:sz w:val="18"/>
                <w:szCs w:val="18"/>
              </w:rPr>
              <w:t xml:space="preserve">"What is the SEC's current stance on DeFi fee switches?"</w:t>
            </w:r>
          </w:p>
          <w:p>
            <w:pPr>
              <w:spacing w:after="40"/>
            </w:pPr>
            <w:r>
              <w:rPr>
                <w:rFonts w:ascii="Arial" w:cs="Arial" w:eastAsia="Arial" w:hAnsi="Arial"/>
                <w:b/>
                <w:bCs/>
                <w:color w:val="2E6DA4"/>
                <w:sz w:val="18"/>
                <w:szCs w:val="18"/>
              </w:rPr>
              <w:t xml:space="preserve">Comparative analysis: </w:t>
            </w:r>
            <w:r>
              <w:rPr>
                <w:rFonts w:ascii="Arial" w:cs="Arial" w:eastAsia="Arial" w:hAnsi="Arial"/>
                <w:sz w:val="18"/>
                <w:szCs w:val="18"/>
              </w:rPr>
              <w:t xml:space="preserve">"How does SEC guidance compare to UK crypto regulation?"</w:t>
            </w:r>
          </w:p>
          <w:p>
            <w:pPr>
              <w:spacing w:after="40"/>
            </w:pPr>
            <w:r>
              <w:rPr>
                <w:rFonts w:ascii="Arial" w:cs="Arial" w:eastAsia="Arial" w:hAnsi="Arial"/>
                <w:b/>
                <w:bCs/>
                <w:color w:val="2E6DA4"/>
                <w:sz w:val="18"/>
                <w:szCs w:val="18"/>
              </w:rPr>
              <w:t xml:space="preserve">Historical tracking: </w:t>
            </w:r>
            <w:r>
              <w:rPr>
                <w:rFonts w:ascii="Arial" w:cs="Arial" w:eastAsia="Arial" w:hAnsi="Arial"/>
                <w:sz w:val="18"/>
                <w:szCs w:val="18"/>
              </w:rPr>
              <w:t xml:space="preserve">"How has the SEC's enforcement posture shifted since 2023?"</w:t>
            </w:r>
          </w:p>
          <w:p>
            <w:pPr>
              <w:spacing w:after="40"/>
            </w:pPr>
            <w:r>
              <w:rPr>
                <w:rFonts w:ascii="Arial" w:cs="Arial" w:eastAsia="Arial" w:hAnsi="Arial"/>
                <w:b/>
                <w:bCs/>
                <w:color w:val="2E6DA4"/>
                <w:sz w:val="18"/>
                <w:szCs w:val="18"/>
              </w:rPr>
              <w:t xml:space="preserve">Gap identification: </w:t>
            </w:r>
            <w:r>
              <w:rPr>
                <w:rFonts w:ascii="Arial" w:cs="Arial" w:eastAsia="Arial" w:hAnsi="Arial"/>
                <w:sz w:val="18"/>
                <w:szCs w:val="18"/>
              </w:rPr>
              <w:t xml:space="preserve">"What staking guidance gaps remain unresolved?"</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B3A6B"/>
                <w:sz w:val="19"/>
                <w:szCs w:val="19"/>
              </w:rPr>
              <w:t xml:space="preserve">What You Get Back</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40"/>
            </w:pPr>
            <w:r>
              <w:rPr>
                <w:rFonts w:ascii="Arial" w:cs="Arial" w:eastAsia="Arial" w:hAnsi="Arial"/>
                <w:b w:val="false"/>
                <w:bCs w:val="false"/>
                <w:sz w:val="18"/>
                <w:szCs w:val="18"/>
              </w:rPr>
              <w:t xml:space="preserve"/>
            </w:r>
            <w:r>
              <w:rPr>
                <w:rFonts w:ascii="Arial" w:cs="Arial" w:eastAsia="Arial" w:hAnsi="Arial"/>
                <w:sz w:val="18"/>
                <w:szCs w:val="18"/>
              </w:rPr>
              <w:t xml:space="preserve">A structured answer: FACTS clearly separated from ANALYSIS and INFERENCE</w:t>
            </w:r>
          </w:p>
          <w:p>
            <w:pPr>
              <w:spacing w:after="40"/>
            </w:pPr>
            <w:r>
              <w:rPr>
                <w:rFonts w:ascii="Arial" w:cs="Arial" w:eastAsia="Arial" w:hAnsi="Arial"/>
                <w:b w:val="false"/>
                <w:bCs w:val="false"/>
                <w:sz w:val="18"/>
                <w:szCs w:val="18"/>
              </w:rPr>
              <w:t xml:space="preserve"/>
            </w:r>
            <w:r>
              <w:rPr>
                <w:rFonts w:ascii="Arial" w:cs="Arial" w:eastAsia="Arial" w:hAnsi="Arial"/>
                <w:sz w:val="18"/>
                <w:szCs w:val="18"/>
              </w:rPr>
              <w:t xml:space="preserve">Direct hyperlinks to the SEC.gov source documents behind every claim</w:t>
            </w:r>
          </w:p>
          <w:p>
            <w:pPr>
              <w:spacing w:after="40"/>
            </w:pPr>
            <w:r>
              <w:rPr>
                <w:rFonts w:ascii="Arial" w:cs="Arial" w:eastAsia="Arial" w:hAnsi="Arial"/>
                <w:b w:val="false"/>
                <w:bCs w:val="false"/>
                <w:sz w:val="18"/>
                <w:szCs w:val="18"/>
              </w:rPr>
              <w:t xml:space="preserve"/>
            </w:r>
            <w:r>
              <w:rPr>
                <w:rFonts w:ascii="Arial" w:cs="Arial" w:eastAsia="Arial" w:hAnsi="Arial"/>
                <w:sz w:val="18"/>
                <w:szCs w:val="18"/>
              </w:rPr>
              <w:t xml:space="preserve">No hallucination beyond the knowledge base — outputs are constrained to official SEC materials</w:t>
            </w:r>
          </w:p>
        </w:tc>
      </w:tr>
      <w:tr>
        <w:tc>
          <w:tcPr>
            <w:tcW w:type="dxa" w:w="2200"/>
            <w:tcBorders>
              <w:top w:val="single" w:color="CCCCCC" w:sz="1"/>
              <w:left w:val="single" w:color="CCCCCC" w:sz="1"/>
              <w:bottom w:val="single" w:color="CCCCCC" w:sz="1"/>
              <w:right w:val="single" w:color="CCCCCC" w:sz="1"/>
            </w:tcBorders>
            <w:shd w:fill="D6E4F0" w:val="clear"/>
            <w:tcMar>
              <w:top w:type="dxa" w:w="100"/>
              <w:left w:type="dxa" w:w="140"/>
              <w:bottom w:type="dxa" w:w="100"/>
              <w:right w:type="dxa" w:w="140"/>
            </w:tcMar>
            <w:vAlign w:val="center"/>
          </w:tcPr>
          <w:p>
            <w:pPr>
              <w:jc w:val="center"/>
            </w:pPr>
            <w:r>
              <w:rPr>
                <w:rFonts w:ascii="Arial" w:cs="Arial" w:eastAsia="Arial" w:hAnsi="Arial"/>
                <w:b/>
                <w:bCs/>
                <w:color w:val="1B3A6B"/>
                <w:sz w:val="19"/>
                <w:szCs w:val="19"/>
              </w:rPr>
              <w:t xml:space="preserve">Content to Evaluate</w:t>
            </w:r>
          </w:p>
        </w:tc>
        <w:tc>
          <w:tcPr>
            <w:tcW w:type="dxa" w:w="7160"/>
            <w:tcBorders>
              <w:top w:val="single" w:color="CCCCCC" w:sz="1"/>
              <w:left w:val="single" w:color="CCCCCC" w:sz="1"/>
              <w:bottom w:val="single" w:color="CCCCCC" w:sz="1"/>
              <w:right w:val="single" w:color="CCCCCC" w:sz="1"/>
            </w:tcBorders>
            <w:shd w:fill="F5F7FA" w:val="clear"/>
            <w:tcMar>
              <w:top w:type="dxa" w:w="100"/>
              <w:left w:type="dxa" w:w="140"/>
              <w:bottom w:type="dxa" w:w="100"/>
              <w:right w:type="dxa" w:w="140"/>
            </w:tcMar>
          </w:tcPr>
          <w:p>
            <w:pPr>
              <w:spacing w:after="40"/>
            </w:pPr>
            <w:r>
              <w:rPr>
                <w:rFonts w:ascii="Arial" w:cs="Arial" w:eastAsia="Arial" w:hAnsi="Arial"/>
                <w:b w:val="false"/>
                <w:bCs w:val="false"/>
                <w:sz w:val="18"/>
                <w:szCs w:val="18"/>
              </w:rPr>
              <w:t xml:space="preserve"/>
            </w:r>
            <w:r>
              <w:rPr>
                <w:rFonts w:ascii="Arial" w:cs="Arial" w:eastAsia="Arial" w:hAnsi="Arial"/>
                <w:sz w:val="18"/>
                <w:szCs w:val="18"/>
              </w:rPr>
              <w:t xml:space="preserve">Is the factual/analytical distinction maintained accurately?</w:t>
            </w:r>
          </w:p>
          <w:p>
            <w:pPr>
              <w:spacing w:after="40"/>
            </w:pPr>
            <w:r>
              <w:rPr>
                <w:rFonts w:ascii="Arial" w:cs="Arial" w:eastAsia="Arial" w:hAnsi="Arial"/>
                <w:b w:val="false"/>
                <w:bCs w:val="false"/>
                <w:sz w:val="18"/>
                <w:szCs w:val="18"/>
              </w:rPr>
              <w:t xml:space="preserve"/>
            </w:r>
            <w:r>
              <w:rPr>
                <w:rFonts w:ascii="Arial" w:cs="Arial" w:eastAsia="Arial" w:hAnsi="Arial"/>
                <w:sz w:val="18"/>
                <w:szCs w:val="18"/>
              </w:rPr>
              <w:t xml:space="preserve">Are source attributions correct and complete?</w:t>
            </w:r>
          </w:p>
          <w:p>
            <w:pPr>
              <w:spacing w:after="40"/>
            </w:pPr>
            <w:r>
              <w:rPr>
                <w:rFonts w:ascii="Arial" w:cs="Arial" w:eastAsia="Arial" w:hAnsi="Arial"/>
                <w:b w:val="false"/>
                <w:bCs w:val="false"/>
                <w:sz w:val="18"/>
                <w:szCs w:val="18"/>
              </w:rPr>
              <w:t xml:space="preserve"/>
            </w:r>
            <w:r>
              <w:rPr>
                <w:rFonts w:ascii="Arial" w:cs="Arial" w:eastAsia="Arial" w:hAnsi="Arial"/>
                <w:sz w:val="18"/>
                <w:szCs w:val="18"/>
              </w:rPr>
              <w:t xml:space="preserve">Is the interpretive depth sufficient for policy research use?</w:t>
            </w:r>
          </w:p>
        </w:tc>
      </w:tr>
    </w:tbl>
    <w:p>
      <w:pPr>
        <w:spacing w:after="160"/>
      </w:pPr>
    </w:p>
    <w:p>
      <w:pPr>
        <w:pBdr>
          <w:bottom w:val="single" w:color="1B3A6B" w:sz="8" w:space="2"/>
        </w:pBdr>
        <w:spacing w:before="240" w:after="100"/>
      </w:pPr>
      <w:r>
        <w:rPr>
          <w:rFonts w:ascii="Arial" w:cs="Arial" w:eastAsia="Arial" w:hAnsi="Arial"/>
          <w:b/>
          <w:bCs/>
          <w:color w:val="1B3A6B"/>
          <w:sz w:val="24"/>
          <w:szCs w:val="24"/>
        </w:rPr>
        <w:t xml:space="preserve">FEATURE 2 — CUSTODY INTELLIGENCE NEWSLETTER: WEEKLY REGULATORY DIGEST</w:t>
      </w:r>
    </w:p>
    <w:p>
      <w:pPr>
        <w:spacing w:after="80"/>
      </w:pPr>
      <w:r>
        <w:rPr>
          <w:rFonts w:ascii="Arial" w:cs="Arial" w:eastAsia="Arial" w:hAnsi="Arial"/>
          <w:sz w:val="18"/>
          <w:szCs w:val="18"/>
        </w:rPr>
        <w:t xml:space="preserve">Every Monday, CRI generates a structured newsletter covering the prior week's SEC activity as it relates to crypto custody. It is designed to replace manual monitoring of SEC.gov for compliance and research teams.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Newsletter Section</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What It Provides</w:t>
            </w:r>
          </w:p>
        </w:tc>
        <w:tc>
          <w:tcPr>
            <w:tcW w:type="dxa" w:w="33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Research Value</w:t>
            </w:r>
          </w:p>
        </w:tc>
      </w:tr>
      <w:tr>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This Week at a Glance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Metrics table: releases, enforcement actions, no-action letters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Rapid situational awareness; useful for tracking regulatory velocity</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Top Stories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FACTS / ANALYSIS / INFERENCE tags; implications by entity type (RIAs, broker-dealers, custodians)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Tests whether analytical framing matches your reading of the same source documents</w:t>
            </w:r>
          </w:p>
        </w:tc>
      </w:tr>
      <w:tr>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Regulatory Tracker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Two tables: rules in effect vs. pending developments with effective dates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Useful for longitudinal research; cross-reference against your own compliance tracking</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Enforcement Watch</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Open cases, status, custody-specific issues, trend analysis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Pattern identification for enforcement research or regulatory theory work</w:t>
            </w:r>
          </w:p>
        </w:tc>
      </w:tr>
      <w:tr>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bCs/>
                <w:sz w:val="18"/>
                <w:szCs w:val="18"/>
              </w:rPr>
              <w:t xml:space="preserve">Compliance Action Items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Concrete checklist derived from the week's developments</w:t>
            </w:r>
          </w:p>
        </w:tc>
        <w:tc>
          <w:tcPr>
            <w:tcW w:type="dxa" w:w="33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Evaluate whether operational implications are correctly drawn from regulatory text</w:t>
            </w:r>
          </w:p>
        </w:tc>
      </w:tr>
    </w:tbl>
    <w:p>
      <w:pPr>
        <w:spacing w:after="160"/>
      </w:pPr>
    </w:p>
    <w:p>
      <w:pPr>
        <w:pBdr>
          <w:bottom w:val="single" w:color="1B3A6B" w:sz="8" w:space="2"/>
        </w:pBdr>
        <w:spacing w:before="240" w:after="100"/>
      </w:pPr>
      <w:r>
        <w:rPr>
          <w:rFonts w:ascii="Arial" w:cs="Arial" w:eastAsia="Arial" w:hAnsi="Arial"/>
          <w:b/>
          <w:bCs/>
          <w:color w:val="1B3A6B"/>
          <w:sz w:val="24"/>
          <w:szCs w:val="24"/>
        </w:rPr>
        <w:t xml:space="preserve">FEATURE 3 — ROUNDTABLE MEETING REPORTS: SPEAKER-LEVEL ANALYSIS</w:t>
      </w:r>
    </w:p>
    <w:p>
      <w:pPr>
        <w:spacing w:after="80"/>
      </w:pPr>
      <w:r>
        <w:rPr>
          <w:rFonts w:ascii="Arial" w:cs="Arial" w:eastAsia="Arial" w:hAnsi="Arial"/>
          <w:sz w:val="18"/>
          <w:szCs w:val="18"/>
        </w:rPr>
        <w:t xml:space="preserve">The Roundtable Agent ingests SEC Crypto Task Force meeting transcripts and generates structured analytical reports, including influence ratings, topic tagging, and position mapping at the individual speaker level.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788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Report Section</w:t>
            </w:r>
          </w:p>
        </w:tc>
        <w:tc>
          <w:tcPr>
            <w:tcW w:type="dxa" w:w="78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Description &amp; Evaluation Focus for Reviewers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Key Speaker Analysis</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Influence Rating (1–10), Activity Level, and Argument Strength — each with written justification drawn from transcript evidence. Evaluate: Are ratings consistent with your reading of the discussion?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18"/>
                <w:szCs w:val="18"/>
              </w:rPr>
              <w:t xml:space="preserve">Views on Topics</w:t>
            </w:r>
          </w:p>
        </w:tc>
        <w:tc>
          <w:tcPr>
            <w:tcW w:type="dxa" w:w="78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Position mapping per topic: viewpoints, areas of consensus, areas of disagreement. Evaluate: Does the system correctly characterize nuanced or ambiguous positions?</w:t>
            </w:r>
          </w:p>
        </w:tc>
      </w:tr>
      <w:tr>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18"/>
                <w:szCs w:val="18"/>
              </w:rPr>
              <w:t xml:space="preserve">Meeting Conclusion</w:t>
            </w:r>
          </w:p>
        </w:tc>
        <w:tc>
          <w:tcPr>
            <w:tcW w:type="dxa" w:w="7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Outcome assessment, identified action items, and key signals for future rulemaking. Evaluate: Does this match what you would conclude from the same transcript?</w:t>
            </w:r>
          </w:p>
        </w:tc>
      </w:tr>
    </w:tbl>
    <w:p>
      <w:pPr>
        <w:spacing w:after="160"/>
      </w:pPr>
    </w:p>
    <w:p>
      <w:pPr>
        <w:pBdr>
          <w:bottom w:val="single" w:color="1B3A6B" w:sz="8" w:space="2"/>
        </w:pBdr>
        <w:spacing w:before="240" w:after="100"/>
      </w:pPr>
      <w:r>
        <w:rPr>
          <w:rFonts w:ascii="Arial" w:cs="Arial" w:eastAsia="Arial" w:hAnsi="Arial"/>
          <w:b/>
          <w:bCs/>
          <w:color w:val="1B3A6B"/>
          <w:sz w:val="24"/>
          <w:szCs w:val="24"/>
        </w:rPr>
        <w:t xml:space="preserve">FEATURE 4 — OVERALL REGULATORY INTELLIGENCE REPORT: CROSS-MEETING SYNTHESIS</w:t>
      </w:r>
    </w:p>
    <w:p>
      <w:pPr>
        <w:spacing w:after="80"/>
      </w:pPr>
      <w:r>
        <w:rPr>
          <w:rFonts w:ascii="Arial" w:cs="Arial" w:eastAsia="Arial" w:hAnsi="Arial"/>
          <w:sz w:val="18"/>
          <w:szCs w:val="18"/>
        </w:rPr>
        <w:t xml:space="preserve">The Overall Report Agent aggregates all available roundtable meeting reports into a single cross-meeting intelligence product — identifying recurring themes, influential stakeholders, regulatory gaps, and future predictions with explicit confidence labeling.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Synthesis Capability</w:t>
            </w:r>
          </w:p>
        </w:tc>
        <w:tc>
          <w:tcPr>
            <w:tcW w:type="dxa" w:w="50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Reviewer Focus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Topic × Meeting frequency tables and Speaker × Topic engagement matrices</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Do the cross-meeting patterns reflect your understanding of the roundtable series?</w:t>
            </w:r>
          </w:p>
        </w:tc>
      </w:tr>
      <w:tr>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Regulatory Gaps section: identifies unresolved doctrinal, operational, and market structure questions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Are the gaps correctly identified and categorized? Are any significant gaps missing?</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Future Predictions labeled [EXPLICITLY STATED] / [STRONGLY INFERRED] / [SPECULATIVE]</w:t>
            </w:r>
          </w:p>
        </w:tc>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Is the confidence labeling appropriately calibrated? Does it distinguish opinion from fact?</w:t>
            </w:r>
          </w:p>
        </w:tc>
      </w:tr>
      <w:tr>
        <w:tc>
          <w:tcPr>
            <w:tcW w:type="dxa" w:w="50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r>
              <w:rPr>
                <w:rFonts w:ascii="Arial" w:cs="Arial" w:eastAsia="Arial" w:hAnsi="Arial"/>
                <w:b w:val="false"/>
                <w:bCs w:val="false"/>
                <w:sz w:val="18"/>
                <w:szCs w:val="18"/>
              </w:rPr>
              <w:t xml:space="preserve">"What This Means For..." implications by entity type: issuers, DeFi, exchanges, custodians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18"/>
                <w:szCs w:val="18"/>
              </w:rPr>
              <w:t xml:space="preserve">Are the practical implications correctly drawn for each stakeholder category?</w:t>
            </w:r>
          </w:p>
        </w:tc>
      </w:tr>
    </w:tbl>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4A7FB5" w:sz="12"/>
              <w:left w:val="single" w:color="4A7FB5" w:sz="12"/>
              <w:bottom w:val="single" w:color="4A7FB5" w:sz="12"/>
              <w:right w:val="single" w:color="4A7FB5" w:sz="12"/>
            </w:tcBorders>
            <w:shd w:fill="EBF3FB" w:val="clear"/>
            <w:tcMar>
              <w:top w:type="dxa" w:w="160"/>
              <w:left w:type="dxa" w:w="240"/>
              <w:bottom w:type="dxa" w:w="160"/>
              <w:right w:type="dxa" w:w="240"/>
            </w:tcMar>
          </w:tcPr>
          <w:p>
            <w:pPr>
              <w:spacing w:after="80"/>
            </w:pPr>
            <w:r>
              <w:rPr>
                <w:rFonts w:ascii="Arial" w:cs="Arial" w:eastAsia="Arial" w:hAnsi="Arial"/>
                <w:b/>
                <w:bCs/>
                <w:color w:val="1B3A6B"/>
                <w:sz w:val="22"/>
                <w:szCs w:val="22"/>
              </w:rPr>
              <w:t xml:space="preserve">What We're Asking You to Evaluate</w:t>
            </w:r>
          </w:p>
          <w:p>
            <w:pPr>
              <w:pStyle w:val="ListParagraph"/>
              <w:numPr>
                <w:ilvl w:val="0"/>
                <w:numId w:val="2"/>
              </w:numPr>
              <w:spacing w:after="50"/>
            </w:pPr>
            <w:r>
              <w:rPr>
                <w:rFonts w:ascii="Arial" w:cs="Arial" w:eastAsia="Arial" w:hAnsi="Arial"/>
                <w:sz w:val="18"/>
                <w:szCs w:val="18"/>
              </w:rPr>
              <w:t xml:space="preserve">Content accuracy: Are the facts, characterizations, and source attributions correct?</w:t>
            </w:r>
          </w:p>
          <w:p>
            <w:pPr>
              <w:pStyle w:val="ListParagraph"/>
              <w:numPr>
                <w:ilvl w:val="0"/>
                <w:numId w:val="2"/>
              </w:numPr>
              <w:spacing w:after="50"/>
            </w:pPr>
            <w:r>
              <w:rPr>
                <w:rFonts w:ascii="Arial" w:cs="Arial" w:eastAsia="Arial" w:hAnsi="Arial"/>
                <w:sz w:val="18"/>
                <w:szCs w:val="18"/>
              </w:rPr>
              <w:t xml:space="preserve">Analytical depth: Does the interpretive layer reflect the nuance of regulatory positions?</w:t>
            </w:r>
          </w:p>
          <w:p>
            <w:pPr>
              <w:pStyle w:val="ListParagraph"/>
              <w:numPr>
                <w:ilvl w:val="0"/>
                <w:numId w:val="2"/>
              </w:numPr>
              <w:spacing w:after="50"/>
            </w:pPr>
            <w:r>
              <w:rPr>
                <w:rFonts w:ascii="Arial" w:cs="Arial" w:eastAsia="Arial" w:hAnsi="Arial"/>
                <w:sz w:val="18"/>
                <w:szCs w:val="18"/>
              </w:rPr>
              <w:t xml:space="preserve">Coverage gaps: Are significant regulatory developments, speakers, or themes missing?</w:t>
            </w:r>
          </w:p>
          <w:p>
            <w:pPr>
              <w:pStyle w:val="ListParagraph"/>
              <w:numPr>
                <w:ilvl w:val="0"/>
                <w:numId w:val="2"/>
              </w:numPr>
              <w:spacing w:after="50"/>
            </w:pPr>
            <w:r>
              <w:rPr>
                <w:rFonts w:ascii="Arial" w:cs="Arial" w:eastAsia="Arial" w:hAnsi="Arial"/>
                <w:sz w:val="18"/>
                <w:szCs w:val="18"/>
              </w:rPr>
              <w:t xml:space="preserve">Practical value: Would this tool meaningfully support your research or policy work?</w:t>
            </w:r>
          </w:p>
          <w:p>
            <w:pPr>
              <w:pStyle w:val="ListParagraph"/>
              <w:numPr>
                <w:ilvl w:val="0"/>
                <w:numId w:val="2"/>
              </w:numPr>
              <w:spacing w:after="0"/>
            </w:pPr>
            <w:r>
              <w:rPr>
                <w:rFonts w:ascii="Arial" w:cs="Arial" w:eastAsia="Arial" w:hAnsi="Arial"/>
                <w:sz w:val="18"/>
                <w:szCs w:val="18"/>
              </w:rPr>
              <w:t xml:space="preserve">Format &amp; usability: Is the output structured in a way that serves academic and research workflows?</w:t>
            </w:r>
          </w:p>
        </w:tc>
      </w:tr>
    </w:tbl>
    <w:sectPr>
      <w:headerReference w:type="default" r:id="rId6"/>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4"/>
      </w:pBdr>
      <w:tabs>
        <w:tab w:val="right" w:pos="10080"/>
      </w:tabs>
      <w:spacing w:before="80"/>
    </w:pPr>
    <w:r>
      <w:rPr>
        <w:rFonts w:ascii="Arial" w:cs="Arial" w:eastAsia="Arial" w:hAnsi="Arial"/>
        <w:color w:val="888888"/>
        <w:sz w:val="16"/>
        <w:szCs w:val="16"/>
      </w:rPr>
      <w:t xml:space="preserve">For internal review and feedback purposes only</w:t>
    </w:r>
    <w:r>
      <w:rPr>
        <w:rFonts w:ascii="Arial" w:cs="Arial" w:eastAsia="Arial" w:hAnsi="Arial"/>
        <w:color w:val="888888"/>
        <w:sz w:val="16"/>
        <w:szCs w:val="16"/>
      </w:rPr>
      <w:t xml:space="preserve">	Page </w:t>
    </w:r>
    <w:r>
      <w:rPr>
        <w:rFonts w:ascii="Arial" w:cs="Arial" w:eastAsia="Arial" w:hAnsi="Arial"/>
        <w:color w:val="888888"/>
        <w:sz w:val="16"/>
        <w:szCs w:val="16"/>
      </w:rPr>
      <w:t xml:space="preserve">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none" w:color="FFFFFF" w:sz="0"/>
        <w:left w:val="none" w:color="FFFFFF" w:sz="0"/>
        <w:bottom w:val="single" w:color="1B3A6B" w:sz="12"/>
        <w:right w:val="none" w:color="FFFFFF" w:sz="0"/>
        <w:insideH w:val="single" w:color="auto" w:sz="4"/>
        <w:insideV w:val="single" w:color="auto" w:sz="4"/>
      </w:tblBorders>
    </w:tblPr>
    <w:tblGrid>
      <w:gridCol w:w="7000"/>
      <w:gridCol w:w="3080"/>
    </w:tblGrid>
    <w:tr>
      <w:tc>
        <w:tcPr>
          <w:tcW w:type="dxa" w:w="7000"/>
          <w:tcBorders>
            <w:top w:val="none" w:color="FFFFFF" w:sz="0"/>
            <w:left w:val="none" w:color="FFFFFF" w:sz="0"/>
            <w:bottom w:val="none" w:color="FFFFFF" w:sz="0"/>
            <w:right w:val="none" w:color="FFFFFF" w:sz="0"/>
          </w:tcBorders>
          <w:tcMar>
            <w:top w:type="dxa" w:w="0"/>
            <w:left w:type="dxa" w:w="0"/>
            <w:bottom w:type="dxa" w:w="60"/>
            <w:right w:type="dxa" w:w="0"/>
          </w:tcMar>
        </w:tcPr>
        <w:p>
          <w:r>
            <w:rPr>
              <w:rFonts w:ascii="Arial" w:cs="Arial" w:eastAsia="Arial" w:hAnsi="Arial"/>
              <w:b/>
              <w:bCs/>
              <w:color w:val="1B3A6B"/>
              <w:sz w:val="22"/>
              <w:szCs w:val="22"/>
            </w:rPr>
            <w:t xml:space="preserve">CRYPTO REGULATORY INSIGHT</w:t>
          </w:r>
          <w:r>
            <w:rPr>
              <w:rFonts w:ascii="Arial" w:cs="Arial" w:eastAsia="Arial" w:hAnsi="Arial"/>
              <w:color w:val="555555"/>
              <w:sz w:val="20"/>
              <w:szCs w:val="20"/>
            </w:rPr>
            <w:t xml:space="preserve">   |   User Guide: Features &amp; Content</w:t>
          </w:r>
        </w:p>
      </w:tc>
      <w:tc>
        <w:tcPr>
          <w:tcW w:type="dxa" w:w="3080"/>
          <w:tcBorders>
            <w:top w:val="none" w:color="FFFFFF" w:sz="0"/>
            <w:left w:val="none" w:color="FFFFFF" w:sz="0"/>
            <w:bottom w:val="none" w:color="FFFFFF" w:sz="0"/>
            <w:right w:val="none" w:color="FFFFFF" w:sz="0"/>
          </w:tcBorders>
          <w:tcMar>
            <w:top w:type="dxa" w:w="0"/>
            <w:left w:type="dxa" w:w="0"/>
            <w:bottom w:type="dxa" w:w="60"/>
            <w:right w:type="dxa" w:w="0"/>
          </w:tcMar>
        </w:tcPr>
        <w:p>
          <w:pPr>
            <w:jc w:val="right"/>
          </w:pPr>
          <w:r>
            <w:rPr>
              <w:rFonts w:ascii="Arial" w:cs="Arial" w:eastAsia="Arial" w:hAnsi="Arial"/>
              <w:i/>
              <w:iCs/>
              <w:color w:val="4A7FB5"/>
              <w:sz w:val="18"/>
              <w:szCs w:val="18"/>
            </w:rPr>
            <w:t xml:space="preserve">Beta Review — Academic Edition</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2026-03-05T20:49:53.756Z</dcterms:created>
  <dcterms:modified xsi:type="dcterms:W3CDTF">2026-03-05T20:49:53.757Z</dcterms:modified>
</cp:coreProperties>
</file>

<file path=docProps/custom.xml><?xml version="1.0" encoding="utf-8"?>
<Properties xmlns="http://schemas.openxmlformats.org/officeDocument/2006/custom-properties" xmlns:vt="http://schemas.openxmlformats.org/officeDocument/2006/docPropsVTypes"/>
</file>