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5276"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Under the Hood: CRI Technical Architecture</w:t>
            </w:r>
          </w:p>
          <w:p>
            <w:pPr>
              <w:spacing w:before="80"/>
              <w:jc w:val="center"/>
            </w:pPr>
            <w:r>
              <w:rPr>
                <w:rFonts w:ascii="Arial" w:cs="Arial" w:eastAsia="Arial" w:hAnsi="Arial"/>
                <w:color w:val="D5F5E3"/>
                <w:sz w:val="20"/>
                <w:szCs w:val="20"/>
              </w:rPr>
              <w:t xml:space="preserve">A Technical Guide for SME Reviewers — Architecture, Pipeline, and Enhancement Opportunities</w:t>
            </w:r>
          </w:p>
        </w:tc>
      </w:tr>
    </w:tbl>
    <w:p>
      <w:pPr>
        <w:spacing w:after="160"/>
      </w:pPr>
    </w:p>
    <w:p>
      <w:pPr>
        <w:spacing w:after="100"/>
      </w:pPr>
      <w:r>
        <w:rPr>
          <w:rFonts w:ascii="Arial" w:cs="Arial" w:eastAsia="Arial" w:hAnsi="Arial"/>
          <w:sz w:val="18"/>
          <w:szCs w:val="18"/>
        </w:rPr>
        <w:t xml:space="preserve">This document provides a technical perspective on the Crypto Regulatory Insight (CRI) platform for reviewers with backgrounds in AI systems, data pipelines, software architecture, or regulatory technology. It describes how the platform is built, what architectural choices were made and why, and where meaningful opportunities for enhancement exist.</w:t>
      </w:r>
    </w:p>
    <w:p>
      <w:pPr>
        <w:spacing w:after="160"/>
      </w:pPr>
      <w:r>
        <w:rPr>
          <w:rFonts w:ascii="Arial" w:cs="Arial" w:eastAsia="Arial" w:hAnsi="Arial"/>
          <w:sz w:val="18"/>
          <w:szCs w:val="18"/>
        </w:rPr>
        <w:t xml:space="preserve">As a Tech SME beta reviewer, your feedback on architecture soundness, pipeline design, interface, data handling, and extensibility is the primary focus — separate from the content quality focus of our academic reviewers.</w:t>
      </w:r>
    </w:p>
    <w:p>
      <w:pPr>
        <w:pBdr>
          <w:bottom w:val="single" w:color="1A5276" w:sz="8" w:space="2"/>
        </w:pBdr>
        <w:spacing w:before="240" w:after="100"/>
      </w:pPr>
      <w:r>
        <w:rPr>
          <w:rFonts w:ascii="Arial" w:cs="Arial" w:eastAsia="Arial" w:hAnsi="Arial"/>
          <w:b/>
          <w:bCs/>
          <w:color w:val="1A5276"/>
          <w:sz w:val="24"/>
          <w:szCs w:val="24"/>
        </w:rPr>
        <w:t xml:space="preserve">1 — CORE ARCHITECTURE: A THREE-LAYER INTELLIGENCE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2800"/>
        <w:gridCol w:w="200"/>
        <w:gridCol w:w="4080"/>
      </w:tblGrid>
      <w:tr>
        <w:tc>
          <w:tcPr>
            <w:tcW w:type="dxa" w:w="2800"/>
            <w:tcBorders>
              <w:top w:val="single" w:color="CCCCCC" w:sz="1"/>
              <w:left w:val="single" w:color="CCCCCC" w:sz="1"/>
              <w:bottom w:val="single" w:color="CCCCCC" w:sz="1"/>
              <w:right w:val="single" w:color="CCCCCC" w:sz="1"/>
            </w:tcBorders>
            <w:shd w:fill="1A5276" w:val="clear"/>
            <w:tcMar>
              <w:top w:type="dxa" w:w="120"/>
              <w:left w:type="dxa" w:w="140"/>
              <w:bottom w:type="dxa" w:w="120"/>
              <w:right w:type="dxa" w:w="140"/>
            </w:tcMar>
          </w:tcPr>
          <w:p>
            <w:pPr>
              <w:jc w:val="center"/>
            </w:pPr>
            <w:r>
              <w:rPr>
                <w:rFonts w:ascii="Arial" w:cs="Arial" w:eastAsia="Arial" w:hAnsi="Arial"/>
                <w:b/>
                <w:bCs/>
                <w:color w:val="D5F5E3"/>
                <w:sz w:val="18"/>
                <w:szCs w:val="18"/>
              </w:rPr>
              <w:t xml:space="preserve">LAYER 1</w:t>
            </w:r>
          </w:p>
          <w:p>
            <w:pPr>
              <w:jc w:val="center"/>
            </w:pPr>
            <w:r>
              <w:rPr>
                <w:rFonts w:ascii="Arial" w:cs="Arial" w:eastAsia="Arial" w:hAnsi="Arial"/>
                <w:b/>
                <w:bCs/>
                <w:color w:val="FFFFFF"/>
                <w:sz w:val="20"/>
                <w:szCs w:val="20"/>
              </w:rPr>
              <w:t xml:space="preserve">Agentic Extraction</w:t>
            </w:r>
          </w:p>
          <w:p>
            <w:pPr>
              <w:spacing w:before="80"/>
              <w:jc w:val="center"/>
            </w:pPr>
            <w:r>
              <w:rPr>
                <w:rFonts w:ascii="Arial" w:cs="Arial" w:eastAsia="Arial" w:hAnsi="Arial"/>
                <w:color w:val="D5F5E3"/>
                <w:sz w:val="16"/>
                <w:szCs w:val="16"/>
              </w:rPr>
              <w:t xml:space="preserve">Structured retrieval from SEC.gov; document discovery, link extraction, and content ingestion</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b/>
                <w:bCs/>
                <w:color w:val="1A5276"/>
                <w:sz w:val="22"/>
                <w:szCs w:val="22"/>
              </w:rPr>
              <w:t xml:space="preserve">→</w:t>
            </w:r>
          </w:p>
        </w:tc>
        <w:tc>
          <w:tcPr>
            <w:tcW w:type="dxa" w:w="2800"/>
            <w:tcBorders>
              <w:top w:val="single" w:color="CCCCCC" w:sz="1"/>
              <w:left w:val="single" w:color="CCCCCC" w:sz="1"/>
              <w:bottom w:val="single" w:color="CCCCCC" w:sz="1"/>
              <w:right w:val="single" w:color="CCCCCC" w:sz="1"/>
            </w:tcBorders>
            <w:shd w:fill="2E86C1" w:val="clear"/>
            <w:tcMar>
              <w:top w:type="dxa" w:w="120"/>
              <w:left w:type="dxa" w:w="140"/>
              <w:bottom w:type="dxa" w:w="120"/>
              <w:right w:type="dxa" w:w="140"/>
            </w:tcMar>
          </w:tcPr>
          <w:p>
            <w:pPr>
              <w:jc w:val="center"/>
            </w:pPr>
            <w:r>
              <w:rPr>
                <w:rFonts w:ascii="Arial" w:cs="Arial" w:eastAsia="Arial" w:hAnsi="Arial"/>
                <w:b/>
                <w:bCs/>
                <w:color w:val="D5F5E3"/>
                <w:sz w:val="18"/>
                <w:szCs w:val="18"/>
              </w:rPr>
              <w:t xml:space="preserve">LAYER 2</w:t>
            </w:r>
          </w:p>
          <w:p>
            <w:pPr>
              <w:jc w:val="center"/>
            </w:pPr>
            <w:r>
              <w:rPr>
                <w:rFonts w:ascii="Arial" w:cs="Arial" w:eastAsia="Arial" w:hAnsi="Arial"/>
                <w:b/>
                <w:bCs/>
                <w:color w:val="FFFFFF"/>
                <w:sz w:val="20"/>
                <w:szCs w:val="20"/>
              </w:rPr>
              <w:t xml:space="preserve">Claude API Enrichment</w:t>
            </w:r>
          </w:p>
          <w:p>
            <w:pPr>
              <w:spacing w:before="80"/>
              <w:jc w:val="center"/>
            </w:pPr>
            <w:r>
              <w:rPr>
                <w:rFonts w:ascii="Arial" w:cs="Arial" w:eastAsia="Arial" w:hAnsi="Arial"/>
                <w:color w:val="D6EAF8"/>
                <w:sz w:val="16"/>
                <w:szCs w:val="16"/>
              </w:rPr>
              <w:t xml:space="preserve">Interpretive depth via LLM: FACTS/ANALYSIS/INFERENCE tagging, speaker rating, regulatory gap identification</w:t>
            </w:r>
          </w:p>
        </w:tc>
        <w:tc>
          <w:tcPr>
            <w:tcW w:type="dxa" w:w="200"/>
            <w:tcBorders>
              <w:top w:val="none" w:color="FFFFFF" w:sz="0"/>
              <w:left w:val="none" w:color="FFFFFF" w:sz="0"/>
              <w:bottom w:val="none" w:color="FFFFFF" w:sz="0"/>
              <w:right w:val="none" w:color="FFFFFF" w:sz="0"/>
            </w:tcBorders>
          </w:tcPr>
          <w:p>
            <w:pPr>
              <w:jc w:val="center"/>
            </w:pPr>
            <w:r>
              <w:rPr>
                <w:rFonts w:ascii="Arial" w:cs="Arial" w:eastAsia="Arial" w:hAnsi="Arial"/>
                <w:b/>
                <w:bCs/>
                <w:color w:val="1A5276"/>
                <w:sz w:val="22"/>
                <w:szCs w:val="22"/>
              </w:rPr>
              <w:t xml:space="preserve">→</w:t>
            </w:r>
          </w:p>
        </w:tc>
        <w:tc>
          <w:tcPr>
            <w:tcW w:type="dxa" w:w="4080"/>
            <w:tcBorders>
              <w:top w:val="single" w:color="CCCCCC" w:sz="1"/>
              <w:left w:val="single" w:color="CCCCCC" w:sz="1"/>
              <w:bottom w:val="single" w:color="CCCCCC" w:sz="1"/>
              <w:right w:val="single" w:color="CCCCCC" w:sz="1"/>
            </w:tcBorders>
            <w:shd w:fill="117A65" w:val="clear"/>
            <w:tcMar>
              <w:top w:type="dxa" w:w="120"/>
              <w:left w:type="dxa" w:w="140"/>
              <w:bottom w:type="dxa" w:w="120"/>
              <w:right w:type="dxa" w:w="140"/>
            </w:tcMar>
          </w:tcPr>
          <w:p>
            <w:pPr>
              <w:jc w:val="center"/>
            </w:pPr>
            <w:r>
              <w:rPr>
                <w:rFonts w:ascii="Arial" w:cs="Arial" w:eastAsia="Arial" w:hAnsi="Arial"/>
                <w:b/>
                <w:bCs/>
                <w:color w:val="D5F5E3"/>
                <w:sz w:val="18"/>
                <w:szCs w:val="18"/>
              </w:rPr>
              <w:t xml:space="preserve">LAYER 3</w:t>
            </w:r>
          </w:p>
          <w:p>
            <w:pPr>
              <w:jc w:val="center"/>
            </w:pPr>
            <w:r>
              <w:rPr>
                <w:rFonts w:ascii="Arial" w:cs="Arial" w:eastAsia="Arial" w:hAnsi="Arial"/>
                <w:b/>
                <w:bCs/>
                <w:color w:val="FFFFFF"/>
                <w:sz w:val="20"/>
                <w:szCs w:val="20"/>
              </w:rPr>
              <w:t xml:space="preserve">Human Domain Validation</w:t>
            </w:r>
          </w:p>
          <w:p>
            <w:pPr>
              <w:spacing w:before="80"/>
              <w:jc w:val="center"/>
            </w:pPr>
            <w:r>
              <w:rPr>
                <w:rFonts w:ascii="Arial" w:cs="Arial" w:eastAsia="Arial" w:hAnsi="Arial"/>
                <w:color w:val="D5F5E3"/>
                <w:sz w:val="16"/>
                <w:szCs w:val="16"/>
              </w:rPr>
              <w:t xml:space="preserve">Former SEC/CFTC regulatory expertise validates interpretations; ground-truth eval benchmarks agentic output quality</w:t>
            </w:r>
          </w:p>
        </w:tc>
      </w:tr>
    </w:tbl>
    <w:p>
      <w:pPr>
        <w:spacing w:after="120"/>
      </w:pPr>
    </w:p>
    <w:p>
      <w:pPr>
        <w:spacing w:after="100"/>
      </w:pPr>
      <w:r>
        <w:rPr>
          <w:rFonts w:ascii="Arial" w:cs="Arial" w:eastAsia="Arial" w:hAnsi="Arial"/>
          <w:sz w:val="18"/>
          <w:szCs w:val="18"/>
        </w:rPr>
        <w:t xml:space="preserve">This hybrid architecture was deliberately chosen to capture the structural efficiency of agentic pipelines (evidence labeling, confidence scoring, influence tiering) while preserving the interpretive depth that pure automation loses. The human validation layer — staffed by former SEC and CFTC professionals — is the durable competitive moat.</w:t>
      </w:r>
    </w:p>
    <w:p>
      <w:pPr>
        <w:pBdr>
          <w:bottom w:val="single" w:color="1A5276" w:sz="8" w:space="2"/>
        </w:pBdr>
        <w:spacing w:before="240" w:after="100"/>
      </w:pPr>
      <w:r>
        <w:rPr>
          <w:rFonts w:ascii="Arial" w:cs="Arial" w:eastAsia="Arial" w:hAnsi="Arial"/>
          <w:b/>
          <w:bCs/>
          <w:color w:val="1A5276"/>
          <w:sz w:val="24"/>
          <w:szCs w:val="24"/>
        </w:rPr>
        <w:t xml:space="preserve">2 — KNOWLEDGE BASE &amp; RETRIEVAL: SEC-CONSTRAINED RAG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18"/>
                <w:szCs w:val="18"/>
              </w:rPr>
              <w:t xml:space="preserve">Design Choice</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18"/>
                <w:szCs w:val="18"/>
              </w:rPr>
              <w:t xml:space="preserve">Implementation</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Technical Significance</w:t>
            </w:r>
          </w:p>
        </w:tc>
      </w:tr>
      <w:tr>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000000"/>
                <w:sz w:val="18"/>
                <w:szCs w:val="18"/>
              </w:rPr>
              <w:t xml:space="preserve">Source-constrained RAG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Only SEC.gov and configured official sources are indexed. No open-web retrieval for answers.</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Eliminates hallucination drift and unsourced inference — critical for compliance-grade outputs</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Hybrid search</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Query expansion generates multiple SEC-focused search topics; chunks are relevance-scored before synthesis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Improves recall on ambiguous queries; scores allow confidence thresholding</w:t>
            </w:r>
          </w:p>
        </w:tc>
      </w:tr>
      <w:tr>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000000"/>
                <w:sz w:val="18"/>
                <w:szCs w:val="18"/>
              </w:rPr>
              <w:t xml:space="preserve">Chunk-level citation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Source URLs are preserved at the passage/chunk level and surfaced in every output</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Enables auditable outputs; users can trace any claim to its SEC.gov source document</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Ground-truth eval suite</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63-question benchmark KB (CRI-Custody-KB-GroundTruth) used to score agentic output against expert manual analysis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Enables quantitative quality measurement and regression testing as the pipeline evolves</w:t>
            </w:r>
          </w:p>
        </w:tc>
      </w:tr>
    </w:tbl>
    <w:p>
      <w:pPr>
        <w:spacing w:after="160"/>
      </w:pPr>
    </w:p>
    <w:p>
      <w:pPr>
        <w:pBdr>
          <w:bottom w:val="single" w:color="1A5276" w:sz="8" w:space="2"/>
        </w:pBdr>
        <w:spacing w:before="240" w:after="100"/>
      </w:pPr>
      <w:r>
        <w:rPr>
          <w:rFonts w:ascii="Arial" w:cs="Arial" w:eastAsia="Arial" w:hAnsi="Arial"/>
          <w:b/>
          <w:bCs/>
          <w:color w:val="1A5276"/>
          <w:sz w:val="24"/>
          <w:szCs w:val="24"/>
        </w:rPr>
        <w:t xml:space="preserve">3 — AGENT ARCHITECTURE: THREE SPECIALIZED AGENTS</w:t>
      </w:r>
    </w:p>
    <w:p>
      <w:pPr>
        <w:spacing w:after="80"/>
      </w:pPr>
      <w:r>
        <w:rPr>
          <w:rFonts w:ascii="Arial" w:cs="Arial" w:eastAsia="Arial" w:hAnsi="Arial"/>
          <w:sz w:val="18"/>
          <w:szCs w:val="18"/>
        </w:rPr>
        <w:t xml:space="preserve">The platform is organized around three production-target agents, each handling a distinct intelligence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8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18"/>
                <w:szCs w:val="18"/>
              </w:rPr>
              <w:t xml:space="preserve">Agent</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18"/>
                <w:szCs w:val="18"/>
              </w:rPr>
              <w:t xml:space="preserve">Function</w:t>
            </w:r>
          </w:p>
        </w:tc>
        <w:tc>
          <w:tcPr>
            <w:tcW w:type="dxa" w:w="42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18"/>
                <w:szCs w:val="18"/>
              </w:rPr>
              <w:t xml:space="preserve">Key Technical Characteristics</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000000"/>
                <w:sz w:val="18"/>
                <w:szCs w:val="18"/>
              </w:rPr>
              <w:t xml:space="preserve">Custody &amp; Safeguarding Intelligence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Weekly newsletter generation; scheduled SEC discovery and extraction</w:t>
            </w:r>
          </w:p>
        </w:tc>
        <w:tc>
          <w:tcPr>
            <w:tcW w:type="dxa" w:w="4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Scheduled orchestration; SEC page crawler + document fetcher; structured output with fixed section schema; FACTS/ANALYSIS/INFERENCE tagger</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000000"/>
                <w:sz w:val="18"/>
                <w:szCs w:val="18"/>
              </w:rPr>
              <w:t xml:space="preserve">Enforcement Pattern Detection Agent</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Identifies pre-action enforcement signals and regulatory pivot patterns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Multi-source synthesis across SEC enforcement database, litigation releases, and EDGAR; pattern classification; confidence-scored inference</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000000"/>
                <w:sz w:val="18"/>
                <w:szCs w:val="18"/>
              </w:rPr>
              <w:t xml:space="preserve">Stakeholder Intelligence Network Agent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Speaker mapping, influence scoring, and cross-meeting position tracking</w:t>
            </w:r>
          </w:p>
        </w:tc>
        <w:tc>
          <w:tcPr>
            <w:tcW w:type="dxa" w:w="42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Transcript ingestion; NLP-based speaker attribution; influence and argument strength scoring with justification chains; cross-meeting deduplication</w:t>
            </w:r>
          </w:p>
        </w:tc>
      </w:tr>
    </w:tbl>
    <w:p>
      <w:pPr>
        <w:spacing w:after="160"/>
      </w:pPr>
    </w:p>
    <w:p>
      <w:pPr>
        <w:pBdr>
          <w:bottom w:val="single" w:color="1A5276" w:sz="8" w:space="2"/>
        </w:pBdr>
        <w:spacing w:before="240" w:after="100"/>
      </w:pPr>
      <w:r>
        <w:rPr>
          <w:rFonts w:ascii="Arial" w:cs="Arial" w:eastAsia="Arial" w:hAnsi="Arial"/>
          <w:b/>
          <w:bCs/>
          <w:color w:val="1A5276"/>
          <w:sz w:val="24"/>
          <w:szCs w:val="24"/>
        </w:rPr>
        <w:t xml:space="preserve">4 — DATA PIPELINE: DISCOVERY → EXTRACTION → ENRICHMENT →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6480"/>
        <w:gridCol w:w="2200"/>
      </w:tblGrid>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64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18"/>
                <w:szCs w:val="18"/>
              </w:rPr>
              <w:t xml:space="preserve">Tech Note</w:t>
            </w:r>
          </w:p>
        </w:tc>
      </w:tr>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1. Discover</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 visits configured SEC.gov pages (newsroom, task force, enforcement, rulemaking) and extracts document URLs for the target date range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Date-range filtering; configurable source list</w:t>
            </w:r>
          </w:p>
        </w:tc>
      </w:tr>
      <w:tr>
        <w:tc>
          <w:tcPr>
            <w:tcW w:type="dxa" w:w="14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18"/>
                <w:szCs w:val="18"/>
              </w:rPr>
              <w:t xml:space="preserve">2. Fetch</w:t>
            </w:r>
          </w:p>
        </w:tc>
        <w:tc>
          <w:tcPr>
            <w:tcW w:type="dxa" w:w="64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Each discovered URL is fetched; HTML, PDFs, and structured releases are parsed to extract full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Multi-format parser; handles PDF, HTML, and SEC EDGAR API formats</w:t>
            </w:r>
          </w:p>
        </w:tc>
      </w:tr>
      <w:tr>
        <w:tc>
          <w:tcPr>
            <w:tcW w:type="dxa" w:w="1400"/>
            <w:tcBorders>
              <w:top w:val="single" w:color="CCCCCC" w:sz="1"/>
              <w:left w:val="single" w:color="CCCCCC" w:sz="1"/>
              <w:bottom w:val="single" w:color="CCCCCC" w:sz="1"/>
              <w:right w:val="single" w:color="CCCCCC" w:sz="1"/>
            </w:tcBorders>
            <w:shd w:fill="117A65" w:val="clear"/>
            <w:tcMar>
              <w:top w:type="dxa" w:w="80"/>
              <w:left w:type="dxa" w:w="120"/>
              <w:bottom w:type="dxa" w:w="80"/>
              <w:right w:type="dxa" w:w="120"/>
            </w:tcMar>
          </w:tcPr>
          <w:p>
            <w:r>
              <w:rPr>
                <w:rFonts w:ascii="Arial" w:cs="Arial" w:eastAsia="Arial" w:hAnsi="Arial"/>
                <w:b/>
                <w:bCs/>
                <w:color w:val="FFFFFF"/>
                <w:sz w:val="18"/>
                <w:szCs w:val="18"/>
              </w:rPr>
              <w:t xml:space="preserve">3. Enrich</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Claude API processes extracted text: tags FACTS/ANALYSIS/INFERENCE, extracts speaker positions, identifies implications by entity type, flags regulatory gaps</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Prompt engineering layer; structured JSON output schema</w:t>
            </w:r>
          </w:p>
        </w:tc>
      </w:tr>
      <w:tr>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18"/>
                <w:szCs w:val="18"/>
              </w:rPr>
              <w:t xml:space="preserve">4. Validate</w:t>
            </w:r>
          </w:p>
        </w:tc>
        <w:tc>
          <w:tcPr>
            <w:tcW w:type="dxa" w:w="64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Domain expert validation layer reviews and corrects interpretive outputs before production delivery; ground-truth eval suite benchmarks output quality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Human-in-the-loop; Detect-Validate-Prioritize loop</w:t>
            </w:r>
          </w:p>
        </w:tc>
      </w:tr>
      <w:tr>
        <w:tc>
          <w:tcPr>
            <w:tcW w:type="dxa" w:w="14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18"/>
                <w:szCs w:val="18"/>
              </w:rPr>
              <w:t xml:space="preserve">5. Output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 outputs generated in structured formats (Markdown, DOCX, TXT) with source citation tables and inline hyperlinks</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Format-agnostic output layer; DOCX generation via docx-js</w:t>
            </w:r>
          </w:p>
        </w:tc>
      </w:tr>
    </w:tbl>
    <w:p>
      <w:pPr>
        <w:spacing w:after="160"/>
      </w:pPr>
    </w:p>
    <w:p>
      <w:pPr>
        <w:pBdr>
          <w:bottom w:val="single" w:color="1A5276" w:sz="8" w:space="2"/>
        </w:pBdr>
        <w:spacing w:before="240" w:after="100"/>
      </w:pPr>
      <w:r>
        <w:rPr>
          <w:rFonts w:ascii="Arial" w:cs="Arial" w:eastAsia="Arial" w:hAnsi="Arial"/>
          <w:b/>
          <w:bCs/>
          <w:color w:val="1A5276"/>
          <w:sz w:val="24"/>
          <w:szCs w:val="24"/>
        </w:rPr>
        <w:t xml:space="preserve">5 — KNOWN GAPS &amp; ENHANCEMENT OPPORTUNITIES</w:t>
      </w:r>
    </w:p>
    <w:p>
      <w:pPr>
        <w:spacing w:after="80"/>
      </w:pPr>
      <w:r>
        <w:rPr>
          <w:rFonts w:ascii="Arial" w:cs="Arial" w:eastAsia="Arial" w:hAnsi="Arial"/>
          <w:sz w:val="18"/>
          <w:szCs w:val="18"/>
        </w:rPr>
        <w:t xml:space="preserve">The following areas have been identified as priorities for review, stress-testing, or enhancement during the beta phase: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80"/>
        <w:gridCol w:w="300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18"/>
                <w:szCs w:val="18"/>
              </w:rPr>
              <w:t xml:space="preserve">Area</w:t>
            </w:r>
          </w:p>
        </w:tc>
        <w:tc>
          <w:tcPr>
            <w:tcW w:type="dxa" w:w="40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18"/>
                <w:szCs w:val="18"/>
              </w:rPr>
              <w:t xml:space="preserve">Current State &amp; Gap</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18"/>
                <w:szCs w:val="18"/>
              </w:rPr>
              <w:t xml:space="preserve">Candidate Approach</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000000"/>
                <w:sz w:val="18"/>
                <w:szCs w:val="18"/>
              </w:rPr>
              <w:t xml:space="preserve">Interpretive depth vs. speed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Agentic pass captures structure but loses argumentative nuance present in manual analysis (documented in benchmark comparison)</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Hybrid three-pass: agentic extraction → LLM enrichment → human validation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Enforcement pattern analysis</w:t>
            </w:r>
          </w:p>
        </w:tc>
        <w:tc>
          <w:tcPr>
            <w:tcW w:type="dxa" w:w="4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Enforcement intelligence requires multi-source synthesis (litigation releases, EDGAR, no-action letters) beyond single data streams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Multi-source enforcement database with pre-action signal classification</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000000"/>
                <w:sz w:val="18"/>
                <w:szCs w:val="18"/>
              </w:rPr>
              <w:t xml:space="preserve">Source freshness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Knowledge base reflects indexed content at ingestion time; rapidly evolving regulatory landscape creates staleness risk</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Scheduled re-indexing; incremental update pipeline triggered by SEC.gov change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AI platform selection</w:t>
            </w:r>
          </w:p>
        </w:tc>
        <w:tc>
          <w:tcPr>
            <w:tcW w:type="dxa" w:w="4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Claude API is primary enrichment layer; OpenAI platform under parallel evaluation for architecture comparison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Benchmark both on ground-truth eval suite; select based on scoring and latency</w:t>
            </w:r>
          </w:p>
        </w:tc>
      </w:tr>
      <w:t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bCs/>
                <w:color w:val="000000"/>
                <w:sz w:val="18"/>
                <w:szCs w:val="18"/>
              </w:rPr>
              <w:t xml:space="preserve">CFTC/cross-agency scope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Current beta is SEC-scoped; SEC-CFTC harmonization trend creates demand for joint-agency coverage</w:t>
            </w:r>
          </w:p>
        </w:tc>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18"/>
                <w:szCs w:val="18"/>
              </w:rPr>
              <w:t xml:space="preserve">Modular source-layer expansion; CFTC as next knowledge base addition post-MVP</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5276" w:sz="12"/>
              <w:left w:val="single" w:color="1A5276" w:sz="12"/>
              <w:bottom w:val="single" w:color="1A5276" w:sz="12"/>
              <w:right w:val="single" w:color="1A5276" w:sz="12"/>
            </w:tcBorders>
            <w:shd w:fill="E8F8F5" w:val="clear"/>
            <w:tcMar>
              <w:top w:type="dxa" w:w="160"/>
              <w:left w:type="dxa" w:w="240"/>
              <w:bottom w:type="dxa" w:w="160"/>
              <w:right w:type="dxa" w:w="240"/>
            </w:tcMar>
          </w:tcPr>
          <w:p>
            <w:pPr>
              <w:spacing w:after="80"/>
            </w:pPr>
            <w:r>
              <w:rPr>
                <w:rFonts w:ascii="Arial" w:cs="Arial" w:eastAsia="Arial" w:hAnsi="Arial"/>
                <w:b/>
                <w:bCs/>
                <w:color w:val="1A5276"/>
                <w:sz w:val="22"/>
                <w:szCs w:val="22"/>
              </w:rPr>
              <w:t xml:space="preserve">What We're Asking Tech SMEs to Evaluate</w:t>
            </w:r>
          </w:p>
          <w:p>
            <w:pPr>
              <w:pStyle w:val="ListParagraph"/>
              <w:numPr>
                <w:ilvl w:val="0"/>
                <w:numId w:val="2"/>
              </w:numPr>
              <w:spacing w:after="50"/>
            </w:pPr>
            <w:r>
              <w:rPr>
                <w:rFonts w:ascii="Arial" w:cs="Arial" w:eastAsia="Arial" w:hAnsi="Arial"/>
                <w:sz w:val="18"/>
                <w:szCs w:val="18"/>
              </w:rPr>
              <w:t xml:space="preserve">Pipeline soundness: Is the three-layer hybrid architecture well-suited to this regulatory intelligence use case?</w:t>
            </w:r>
          </w:p>
          <w:p>
            <w:pPr>
              <w:pStyle w:val="ListParagraph"/>
              <w:numPr>
                <w:ilvl w:val="0"/>
                <w:numId w:val="2"/>
              </w:numPr>
              <w:spacing w:after="50"/>
            </w:pPr>
            <w:r>
              <w:rPr>
                <w:rFonts w:ascii="Arial" w:cs="Arial" w:eastAsia="Arial" w:hAnsi="Arial"/>
                <w:sz w:val="18"/>
                <w:szCs w:val="18"/>
              </w:rPr>
              <w:t xml:space="preserve">RAG design: Are the source-constraint and chunk-level citation design choices appropriate for compliance-grade outputs?</w:t>
            </w:r>
          </w:p>
          <w:p>
            <w:pPr>
              <w:pStyle w:val="ListParagraph"/>
              <w:numPr>
                <w:ilvl w:val="0"/>
                <w:numId w:val="2"/>
              </w:numPr>
              <w:spacing w:after="50"/>
            </w:pPr>
            <w:r>
              <w:rPr>
                <w:rFonts w:ascii="Arial" w:cs="Arial" w:eastAsia="Arial" w:hAnsi="Arial"/>
                <w:sz w:val="18"/>
                <w:szCs w:val="18"/>
              </w:rPr>
              <w:t xml:space="preserve">Agent scoping: Are the three agents correctly scoped and differentiated? Are there functions that should be split or merged?</w:t>
            </w:r>
          </w:p>
          <w:p>
            <w:pPr>
              <w:pStyle w:val="ListParagraph"/>
              <w:numPr>
                <w:ilvl w:val="0"/>
                <w:numId w:val="2"/>
              </w:numPr>
              <w:spacing w:after="50"/>
            </w:pPr>
            <w:r>
              <w:rPr>
                <w:rFonts w:ascii="Arial" w:cs="Arial" w:eastAsia="Arial" w:hAnsi="Arial"/>
                <w:sz w:val="18"/>
                <w:szCs w:val="18"/>
              </w:rPr>
              <w:t xml:space="preserve">Output quality interface: Are the structured output schemas (FACTS/ANALYSIS/INFERENCE, speaker ratings, gap taxonomy) well-designed?</w:t>
            </w:r>
          </w:p>
          <w:p>
            <w:pPr>
              <w:pStyle w:val="ListParagraph"/>
              <w:numPr>
                <w:ilvl w:val="0"/>
                <w:numId w:val="2"/>
              </w:numPr>
              <w:spacing w:after="50"/>
            </w:pPr>
            <w:r>
              <w:rPr>
                <w:rFonts w:ascii="Arial" w:cs="Arial" w:eastAsia="Arial" w:hAnsi="Arial"/>
                <w:sz w:val="18"/>
                <w:szCs w:val="18"/>
              </w:rPr>
              <w:t xml:space="preserve">Enhancement priorities: Which of the identified gaps should be addressed first, and what approaches do you recommend?</w:t>
            </w:r>
          </w:p>
          <w:p>
            <w:pPr>
              <w:pStyle w:val="ListParagraph"/>
              <w:numPr>
                <w:ilvl w:val="0"/>
                <w:numId w:val="2"/>
              </w:numPr>
              <w:spacing w:after="50"/>
            </w:pPr>
            <w:r>
              <w:rPr>
                <w:rFonts w:ascii="Arial" w:cs="Arial" w:eastAsia="Arial" w:hAnsi="Arial"/>
                <w:sz w:val="18"/>
                <w:szCs w:val="18"/>
              </w:rPr>
              <w:t xml:space="preserve">Platform selection: What criteria would you apply to choose between Claude API and OpenAI for the enrichment layer?</w:t>
            </w:r>
          </w:p>
          <w:p>
            <w:pPr>
              <w:pStyle w:val="ListParagraph"/>
              <w:numPr>
                <w:ilvl w:val="0"/>
                <w:numId w:val="2"/>
              </w:numPr>
              <w:spacing w:after="50"/>
            </w:pPr>
            <w:r>
              <w:rPr>
                <w:rFonts w:ascii="Arial" w:cs="Arial" w:eastAsia="Arial" w:hAnsi="Arial"/>
                <w:sz w:val="18"/>
                <w:szCs w:val="18"/>
              </w:rPr>
              <w:t xml:space="preserve">Scalability: What risks or constraints do you foresee as the knowledge base, source coverage, or user load grows?</w:t>
            </w:r>
          </w:p>
        </w:tc>
      </w:tr>
    </w:tbl>
    <w:sectPr>
      <w:headerReference w:type="default" r:id="rId6"/>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spacing w:before="80"/>
    </w:pPr>
    <w:r>
      <w:rPr>
        <w:rFonts w:ascii="Arial" w:cs="Arial" w:eastAsia="Arial" w:hAnsi="Arial"/>
        <w:color w:val="888888"/>
        <w:sz w:val="16"/>
        <w:szCs w:val="16"/>
      </w:rPr>
      <w:t xml:space="preserve">For internal review and feedback purposes only — Crypto Regulatory Insight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single" w:color="1A5276" w:sz="12"/>
        <w:right w:val="none" w:color="FFFFFF" w:sz="0"/>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Mar>
            <w:top w:type="dxa" w:w="0"/>
            <w:left w:type="dxa" w:w="0"/>
            <w:bottom w:type="dxa" w:w="60"/>
            <w:right w:type="dxa" w:w="0"/>
          </w:tcMar>
        </w:tcPr>
        <w:p>
          <w:r>
            <w:rPr>
              <w:rFonts w:ascii="Arial" w:cs="Arial" w:eastAsia="Arial" w:hAnsi="Arial"/>
              <w:b/>
              <w:bCs/>
              <w:color w:val="1A5276"/>
              <w:sz w:val="22"/>
              <w:szCs w:val="22"/>
            </w:rPr>
            <w:t xml:space="preserve">CRYPTO REGULATORY INSIGHT</w:t>
          </w:r>
          <w:r>
            <w:rPr>
              <w:rFonts w:ascii="Arial" w:cs="Arial" w:eastAsia="Arial" w:hAnsi="Arial"/>
              <w:color w:val="555555"/>
              <w:sz w:val="20"/>
              <w:szCs w:val="20"/>
            </w:rPr>
            <w:t xml:space="preserve">   |   Technical Overview: Architecture &amp; Strengths</w:t>
          </w:r>
        </w:p>
      </w:tc>
      <w:tc>
        <w:tcPr>
          <w:tcW w:type="dxa" w:w="3080"/>
          <w:tcBorders>
            <w:top w:val="none" w:color="FFFFFF" w:sz="0"/>
            <w:left w:val="none" w:color="FFFFFF" w:sz="0"/>
            <w:bottom w:val="none" w:color="FFFFFF" w:sz="0"/>
            <w:right w:val="none" w:color="FFFFFF" w:sz="0"/>
          </w:tcBorders>
          <w:tcMar>
            <w:top w:type="dxa" w:w="0"/>
            <w:left w:type="dxa" w:w="0"/>
            <w:bottom w:type="dxa" w:w="60"/>
            <w:right w:type="dxa" w:w="0"/>
          </w:tcMar>
        </w:tcPr>
        <w:p>
          <w:pPr>
            <w:jc w:val="right"/>
          </w:pPr>
          <w:r>
            <w:rPr>
              <w:rFonts w:ascii="Arial" w:cs="Arial" w:eastAsia="Arial" w:hAnsi="Arial"/>
              <w:i/>
              <w:iCs/>
              <w:color w:val="2E86C1"/>
              <w:sz w:val="18"/>
              <w:szCs w:val="18"/>
            </w:rPr>
            <w:t xml:space="preserve">Beta Review — Tech SME Edition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2026-03-05T20:51:35.728Z</dcterms:created>
  <dcterms:modified xsi:type="dcterms:W3CDTF">2026-03-05T20:51:35.729Z</dcterms:modified>
</cp:coreProperties>
</file>

<file path=docProps/custom.xml><?xml version="1.0" encoding="utf-8"?>
<Properties xmlns="http://schemas.openxmlformats.org/officeDocument/2006/custom-properties" xmlns:vt="http://schemas.openxmlformats.org/officeDocument/2006/docPropsVTypes"/>
</file>